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jc w:val="both"/>
        <w:ind w:right="4940" w:firstLine="8"/>
        <w:spacing w:after="0" w:line="244" w:lineRule="exact"/>
        <w:tabs>
          <w:tab w:leader="none" w:pos="45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Soliciting material pursuant to Rule 14a-12 under the Exchange Act (17 CFR 240.14a-12)</w:t>
      </w: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7"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April 13, 2026, Seer, Inc. issued a press release concerning the highly contingent, non-binding and unsolicited acquisition proposal and director candidate nominations received from Bradley L. Radoff, Michael Torok and certain of their affiliates.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2" w:name="page3"/>
    <w:bookmarkEnd w:id="2"/>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1020" w:hanging="737"/>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April 13, 2026, titled “Seer Confirms Receipt of Unsolicited Proposal and Director Candidate Nominations from Radoff-JEC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-161925</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30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1021715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7"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Date: April 13,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5" w:lineRule="exact"/>
        <w:rPr>
          <w:sz w:val="20"/>
          <w:szCs w:val="20"/>
          <w:color w:val="auto"/>
        </w:rPr>
      </w:pPr>
    </w:p>
    <w:p>
      <w:pPr>
        <w:jc w:val="center"/>
        <w:ind w:left="340" w:right="540"/>
        <w:spacing w:after="0" w:line="450" w:lineRule="auto"/>
        <w:rPr>
          <w:sz w:val="20"/>
          <w:szCs w:val="20"/>
          <w:color w:val="auto"/>
        </w:rPr>
      </w:pPr>
      <w:r>
        <w:rPr>
          <w:rFonts w:ascii="Arial" w:cs="Arial" w:eastAsia="Arial" w:hAnsi="Arial"/>
          <w:sz w:val="20"/>
          <w:szCs w:val="20"/>
          <w:b w:val="1"/>
          <w:bCs w:val="1"/>
          <w:color w:val="auto"/>
        </w:rPr>
        <w:t xml:space="preserve">Seer Confirms Receipt of Unsolicited Proposal and Director Candidate Nominations from Radoff-JEC Group </w:t>
      </w:r>
      <w:r>
        <w:rPr>
          <w:rFonts w:ascii="Arial" w:cs="Arial" w:eastAsia="Arial" w:hAnsi="Arial"/>
          <w:sz w:val="20"/>
          <w:szCs w:val="20"/>
          <w:i w:val="1"/>
          <w:iCs w:val="1"/>
          <w:color w:val="auto"/>
        </w:rPr>
        <w:t>No Stockholder Action Required at This Time</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20"/>
          <w:szCs w:val="20"/>
          <w:b w:val="1"/>
          <w:bCs w:val="1"/>
          <w:color w:val="auto"/>
        </w:rPr>
        <w:t xml:space="preserve">REDWOOD CITY, Calif. – April 13, 2026 – </w:t>
      </w:r>
      <w:r>
        <w:rPr>
          <w:rFonts w:ascii="Arial" w:cs="Arial" w:eastAsia="Arial" w:hAnsi="Arial"/>
          <w:sz w:val="20"/>
          <w:szCs w:val="20"/>
          <w:color w:val="auto"/>
        </w:rPr>
        <w:t>Seer, Inc. (Nasdaq: SEER) (“Seer” or the “Company”), the pioneer and trusted</w:t>
      </w:r>
      <w:r>
        <w:rPr>
          <w:rFonts w:ascii="Arial" w:cs="Arial" w:eastAsia="Arial" w:hAnsi="Arial"/>
          <w:sz w:val="20"/>
          <w:szCs w:val="20"/>
          <w:b w:val="1"/>
          <w:bCs w:val="1"/>
          <w:color w:val="auto"/>
        </w:rPr>
        <w:t xml:space="preserve"> </w:t>
      </w:r>
      <w:r>
        <w:rPr>
          <w:rFonts w:ascii="Arial" w:cs="Arial" w:eastAsia="Arial" w:hAnsi="Arial"/>
          <w:sz w:val="20"/>
          <w:szCs w:val="20"/>
          <w:color w:val="auto"/>
        </w:rPr>
        <w:t>partner for deep, unbiased proteomic insights, today confirmed that it has received a highly contingent, non-binding and unsolicited proposal from Bradley L. Radoff and Michael Torok (together with certain of their affiliates, the “Radoff-JEC Group”) to acquire all of the outstanding shares of Seer’s Class A common stock for $2.25 per share in cash plus a contingent value right (the “Proposal”).</w:t>
      </w:r>
    </w:p>
    <w:p>
      <w:pPr>
        <w:spacing w:after="0" w:line="17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Consistent with its fiduciary duties and in consultation with its independent financial and legal advisors, the Seer Board of Directors (the “Board”) will carefully review and consider the Proposal to determine the course of action that it believes is in the best interests of the Company and all Seer stockholders.</w:t>
      </w:r>
    </w:p>
    <w:p>
      <w:pPr>
        <w:spacing w:after="0" w:line="171"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In addition, Radoff-JEC Group has nominated three director candidates to stand for election to the Board at the Company’s 2026 Annual Meeting of Stockholders (the “2026 Annual Meeting”). The Corporate Governance and Nominating Committee of the Board will review the proposed nominees in accordance with the Company’s bylaws.</w:t>
      </w:r>
    </w:p>
    <w:p>
      <w:pPr>
        <w:spacing w:after="0" w:line="171" w:lineRule="exact"/>
        <w:rPr>
          <w:sz w:val="20"/>
          <w:szCs w:val="20"/>
          <w:color w:val="auto"/>
        </w:rPr>
      </w:pPr>
    </w:p>
    <w:p>
      <w:pPr>
        <w:jc w:val="both"/>
        <w:ind w:right="340"/>
        <w:spacing w:after="0" w:line="260" w:lineRule="auto"/>
        <w:rPr>
          <w:sz w:val="20"/>
          <w:szCs w:val="20"/>
          <w:color w:val="auto"/>
        </w:rPr>
      </w:pPr>
      <w:r>
        <w:rPr>
          <w:rFonts w:ascii="Arial" w:cs="Arial" w:eastAsia="Arial" w:hAnsi="Arial"/>
          <w:sz w:val="19"/>
          <w:szCs w:val="19"/>
          <w:color w:val="auto"/>
        </w:rPr>
        <w:t>The Board will present its formal recommendation regarding the Radoff-JEC Group’s director nominations in the Company’s definitive proxy statement, to be filed with the Securities and Exchange Commission and mailed to all stockholders eligible to vote at the 2026 Annual Meeting. The date of the 2026 Annual Meeting has not yet been announced.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No stockholder action is required at this time.</w:t>
      </w:r>
    </w:p>
    <w:p>
      <w:pPr>
        <w:spacing w:after="0" w:line="202" w:lineRule="exact"/>
        <w:rPr>
          <w:sz w:val="20"/>
          <w:szCs w:val="20"/>
          <w:color w:val="auto"/>
        </w:rPr>
      </w:pPr>
    </w:p>
    <w:p>
      <w:pPr>
        <w:ind w:right="700"/>
        <w:spacing w:after="0" w:line="257" w:lineRule="auto"/>
        <w:rPr>
          <w:sz w:val="20"/>
          <w:szCs w:val="20"/>
          <w:color w:val="auto"/>
        </w:rPr>
      </w:pPr>
      <w:r>
        <w:rPr>
          <w:rFonts w:ascii="Arial" w:cs="Arial" w:eastAsia="Arial" w:hAnsi="Arial"/>
          <w:sz w:val="20"/>
          <w:szCs w:val="20"/>
          <w:color w:val="auto"/>
        </w:rPr>
        <w:t>Perella Weinberg Partners LP is serving as financial advisor to Seer and Wilson Sonsini Goodrich &amp; Rosati, Professional Corporation is serving as legal counsel.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Seer, Inc.</w:t>
      </w:r>
    </w:p>
    <w:p>
      <w:pPr>
        <w:spacing w:after="0" w:line="204"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please email us at </w:t>
      </w:r>
      <w:r>
        <w:rPr>
          <w:rFonts w:ascii="Arial" w:cs="Arial" w:eastAsia="Arial" w:hAnsi="Arial"/>
          <w:sz w:val="20"/>
          <w:szCs w:val="20"/>
          <w:color w:val="467886"/>
        </w:rPr>
        <w:t>pr@seer.bio</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0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spacing w:after="0" w:line="17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here.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the amounts printed in the 2025 Proxy Statement, such changes have been reflected on the following filings: for Mr. Farokhzad, on May 22, 2025, August 21, 2025, November 21, 2025, December 11, 2025, February 5, 2026, and February 19, 2026; for Ms. Gulyani, on July 9, 2025; for Mr. Langer, on July 9, 2025; for Mr. McGuire, on July 9, 2025 and December 11, 2025; for Mr. Nishar, on June 16, 2025 and July 9, 2025; for Mr. Ro, on September 3, 2025; for Mr. Roelofs, on July 9, 2025; and for Mr. Horn, on May 22, 2025; August 21, 2025; November 21, 2025, February 5, 2026, and February 19, 2026.</w:t>
      </w:r>
    </w:p>
    <w:p>
      <w:pPr>
        <w:spacing w:after="0" w:line="179"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2" w:right="4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 Looking Statements</w:t>
      </w:r>
    </w:p>
    <w:p>
      <w:pPr>
        <w:spacing w:after="0" w:line="204"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Patrick Schmidt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pr@seer.bio</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Joele Frank, Wilkinson Brimmer Katcher</w:t>
      </w:r>
    </w:p>
    <w:p>
      <w:pPr>
        <w:spacing w:after="0" w:line="229" w:lineRule="auto"/>
        <w:rPr>
          <w:sz w:val="20"/>
          <w:szCs w:val="20"/>
          <w:color w:val="auto"/>
        </w:rPr>
      </w:pPr>
      <w:r>
        <w:rPr>
          <w:rFonts w:ascii="Arial" w:cs="Arial" w:eastAsia="Arial" w:hAnsi="Arial"/>
          <w:sz w:val="20"/>
          <w:szCs w:val="20"/>
          <w:color w:val="auto"/>
        </w:rPr>
        <w:t>Eric Brielmann / Joseph Sala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(212) 355-4449</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Marissa Bych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2026-04-13T15:53:00Z</dcterms:created>
  <dcterms:modified xsi:type="dcterms:W3CDTF">2026-04-13T15:53:00Z</dcterms:modified>
</cp:coreProperties>
</file>