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71" w:lineRule="exact"/>
        <w:rPr>
          <w:sz w:val="24"/>
          <w:szCs w:val="24"/>
          <w:color w:val="auto"/>
        </w:rPr>
      </w:pPr>
    </w:p>
    <w:p>
      <w:pPr>
        <w:ind w:left="3960" w:right="2700" w:hanging="3952"/>
        <w:spacing w:after="0" w:line="335" w:lineRule="auto"/>
        <w:tabs>
          <w:tab w:leader="none" w:pos="264"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71" w:lineRule="exact"/>
        <w:rPr>
          <w:sz w:val="24"/>
          <w:szCs w:val="24"/>
          <w:color w:val="auto"/>
        </w:rPr>
      </w:pPr>
    </w:p>
    <w:p>
      <w:pPr>
        <w:ind w:left="3320" w:right="2780" w:hanging="3312"/>
        <w:spacing w:after="0" w:line="335" w:lineRule="auto"/>
        <w:tabs>
          <w:tab w:leader="none" w:pos="1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 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 w:lineRule="exact"/>
        <w:rPr>
          <w:rFonts w:ascii="Times New Roman" w:cs="Times New Roman" w:eastAsia="Times New Roman" w:hAnsi="Times New Roman"/>
          <w:sz w:val="16"/>
          <w:szCs w:val="16"/>
          <w:b w:val="1"/>
          <w:bCs w:val="1"/>
          <w:color w:val="auto"/>
        </w:rPr>
      </w:pPr>
    </w:p>
    <w:p>
      <w:pPr>
        <w:ind w:left="44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SEER,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132"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82-1153150</w:t>
      </w:r>
    </w:p>
    <w:p>
      <w:pPr>
        <w:spacing w:after="0" w:line="42" w:lineRule="exact"/>
        <w:rPr>
          <w:sz w:val="24"/>
          <w:szCs w:val="24"/>
          <w:color w:val="auto"/>
        </w:rPr>
      </w:pPr>
    </w:p>
    <w:p>
      <w:pPr>
        <w:sectPr>
          <w:pgSz w:w="11900" w:h="16838" w:orient="portrait"/>
          <w:cols w:equalWidth="0" w:num="2">
            <w:col w:w="7940" w:space="720"/>
            <w:col w:w="2580"/>
          </w:cols>
          <w:pgMar w:left="320" w:top="225"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42" w:lineRule="exact"/>
        <w:rPr>
          <w:sz w:val="24"/>
          <w:szCs w:val="24"/>
          <w:color w:val="auto"/>
        </w:rPr>
      </w:pPr>
    </w:p>
    <w:p>
      <w:pPr>
        <w:sectPr>
          <w:pgSz w:w="11900" w:h="16838" w:orient="portrait"/>
          <w:cols w:equalWidth="0" w:num="2">
            <w:col w:w="7020" w:space="720"/>
            <w:col w:w="3500"/>
          </w:cols>
          <w:pgMar w:left="320" w:top="22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Redwood City, California 94065</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650-453-0000</w:t>
      </w:r>
    </w:p>
    <w:p>
      <w:pPr>
        <w:sectPr>
          <w:pgSz w:w="11900" w:h="16838" w:orient="portrait"/>
          <w:cols w:equalWidth="0" w:num="1">
            <w:col w:w="11240"/>
          </w:cols>
          <w:pgMar w:left="320" w:top="225" w:right="339" w:bottom="1440" w:gutter="0" w:footer="0" w:header="0"/>
          <w:type w:val="continuous"/>
        </w:sectPr>
      </w:pP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3960" w:type="dxa"/>
            <w:vAlign w:val="bottom"/>
            <w:gridSpan w:val="5"/>
          </w:tcPr>
          <w:p>
            <w:pPr>
              <w:jc w:val="center"/>
              <w:ind w:left="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r>
      <w:tr>
        <w:trPr>
          <w:trHeight w:val="131"/>
        </w:trPr>
        <w:tc>
          <w:tcPr>
            <w:tcW w:w="3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80" w:type="dxa"/>
            <w:vAlign w:val="bottom"/>
          </w:tcPr>
          <w:p>
            <w:pPr>
              <w:spacing w:after="0"/>
              <w:rPr>
                <w:sz w:val="11"/>
                <w:szCs w:val="11"/>
                <w:color w:val="auto"/>
              </w:rPr>
            </w:pPr>
          </w:p>
        </w:tc>
      </w:tr>
      <w:tr>
        <w:trPr>
          <w:trHeight w:val="267"/>
        </w:trPr>
        <w:tc>
          <w:tcPr>
            <w:tcW w:w="3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i w:val="1"/>
                <w:iCs w:val="1"/>
                <w:color w:val="auto"/>
              </w:rPr>
              <w:t>Copies to:</w:t>
            </w:r>
          </w:p>
        </w:tc>
        <w:tc>
          <w:tcPr>
            <w:tcW w:w="3680" w:type="dxa"/>
            <w:vAlign w:val="bottom"/>
          </w:tcPr>
          <w:p>
            <w:pPr>
              <w:spacing w:after="0"/>
              <w:rPr>
                <w:sz w:val="23"/>
                <w:szCs w:val="23"/>
                <w:color w:val="auto"/>
              </w:rPr>
            </w:pPr>
          </w:p>
        </w:tc>
      </w:tr>
      <w:tr>
        <w:trPr>
          <w:trHeight w:val="213"/>
        </w:trPr>
        <w:tc>
          <w:tcPr>
            <w:tcW w:w="36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182"/>
        </w:trPr>
        <w:tc>
          <w:tcPr>
            <w:tcW w:w="3600" w:type="dxa"/>
            <w:vAlign w:val="bottom"/>
            <w:tcBorders>
              <w:top w:val="single" w:sz="8" w:color="auto"/>
            </w:tcBorders>
          </w:tcPr>
          <w:p>
            <w:pPr>
              <w:jc w:val="center"/>
              <w:ind w:left="728"/>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SEER</w:t>
            </w: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tcPr>
          <w:p>
            <w:pPr>
              <w:jc w:val="center"/>
              <w:ind w:right="62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4"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00" w:val="left"/>
          <w:tab w:leader="none" w:pos="72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As of October 31, 2025, the registrant had 51,761,273 shares of Class A common stock, $0.00001 par value per share, and 4,026,571 of Class B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94"/>
        </w:trPr>
        <w:tc>
          <w:tcPr>
            <w:tcW w:w="46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4"/>
                <w:szCs w:val="24"/>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2</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3</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6</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18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140" w:type="dxa"/>
            <w:vAlign w:val="bottom"/>
            <w:gridSpan w:val="2"/>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0" w:type="dxa"/>
            <w:vAlign w:val="bottom"/>
            <w:gridSpan w:val="13"/>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580" w:type="dxa"/>
            <w:vAlign w:val="bottom"/>
            <w:gridSpan w:val="14"/>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gridSpan w:val="16"/>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1647"/>
        </w:trPr>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22"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key performance indicators,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760" w:right="200" w:hanging="75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among others, revenue, cost of revenue, gross profit, operating expenses, loss from operations and net losses;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commercial strategy and attract customers, including our plans for international expansion;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and pricing for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Proteograph Product Suite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government regulation and legislation;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to manage our future growth effectively;</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Class A common stock;</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and risks of our investment in PrognomiQ, Inc.;</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and national and international economic conditions and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right="60" w:hanging="752"/>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tariffs and trade relations, pandemics, inflation, supply chain interruptions and foreign hostilities, on our business; and</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44,973</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40,753</w:t>
            </w: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195,657</w:t>
            </w: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3,997</w:t>
            </w: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Related party receivables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7,436</w:t>
            </w:r>
          </w:p>
        </w:tc>
        <w:tc>
          <w:tcPr>
            <w:tcW w:w="10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253,323</w:t>
            </w: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investments</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51,950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63,103</w:t>
            </w: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22,791</w:t>
            </w: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18,575</w:t>
            </w: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5,220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13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308,608</w:t>
            </w:r>
          </w:p>
        </w:tc>
        <w:tc>
          <w:tcPr>
            <w:tcW w:w="1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366,597</w:t>
            </w:r>
          </w:p>
        </w:tc>
        <w:tc>
          <w:tcPr>
            <w:tcW w:w="10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2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4,621</w:t>
            </w: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7,937</w:t>
            </w: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0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15,328</w:t>
            </w: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21,742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23,652</w:t>
            </w:r>
          </w:p>
        </w:tc>
        <w:tc>
          <w:tcPr>
            <w:tcW w:w="10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7"/>
                <w:szCs w:val="17"/>
                <w:color w:val="auto"/>
              </w:rPr>
            </w:pPr>
          </w:p>
        </w:tc>
      </w:tr>
      <w:tr>
        <w:trPr>
          <w:trHeight w:val="196"/>
        </w:trPr>
        <w:tc>
          <w:tcPr>
            <w:tcW w:w="6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1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36,794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1"/>
        </w:trPr>
        <w:tc>
          <w:tcPr>
            <w:tcW w:w="662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$0.00001 par value; 5,000,000 shares authorized as of</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September 30, 2025 and December 31, 2024; zero shares issued and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outstanding as of September 30, 2025 and December 31, 2024</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662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Class A common stock, $0.00001 par value; 94,000,000 shares authorized</w:t>
            </w: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as of September 30, 2025 and December 31, 2024; 51,759,773 and</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55,083,123 shares issued and outstanding as of September 30, 2025 and</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6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December 31, 2024, respectively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r>
      <w:tr>
        <w:trPr>
          <w:trHeight w:val="181"/>
        </w:trPr>
        <w:tc>
          <w:tcPr>
            <w:tcW w:w="662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Class B common stock, $0.00001 par value; 6,000,000 shares authorized</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6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as of September 30, 2025 and December 31, 2024; 4,026,571 and 4,044,969</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shares issued and outstanding as of September 30, 2025 and December 31,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66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2024, respectively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721,360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719,804</w:t>
            </w:r>
          </w:p>
        </w:tc>
        <w:tc>
          <w:tcPr>
            <w:tcW w:w="100" w:type="dxa"/>
            <w:vAlign w:val="bottom"/>
            <w:shd w:val="clear" w:color="auto" w:fill="CFF0FC"/>
          </w:tcPr>
          <w:p>
            <w:pPr>
              <w:spacing w:after="0"/>
              <w:rPr>
                <w:sz w:val="17"/>
                <w:szCs w:val="17"/>
                <w:color w:val="auto"/>
              </w:rPr>
            </w:pP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gain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7"/>
                <w:szCs w:val="17"/>
                <w:color w:val="auto"/>
              </w:rPr>
            </w:pPr>
          </w:p>
        </w:tc>
      </w:tr>
      <w:tr>
        <w:trPr>
          <w:trHeight w:val="203"/>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(449,978)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(392,372)</w:t>
            </w:r>
          </w:p>
        </w:tc>
      </w:tr>
      <w:tr>
        <w:trPr>
          <w:trHeight w:val="196"/>
        </w:trPr>
        <w:tc>
          <w:tcPr>
            <w:tcW w:w="66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271,814</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327,569</w:t>
            </w:r>
          </w:p>
        </w:tc>
        <w:tc>
          <w:tcPr>
            <w:tcW w:w="100" w:type="dxa"/>
            <w:vAlign w:val="bottom"/>
            <w:tcBorders>
              <w:top w:val="single" w:sz="8" w:color="CFF0FC"/>
            </w:tcBorders>
          </w:tcPr>
          <w:p>
            <w:pPr>
              <w:spacing w:after="0"/>
              <w:rPr>
                <w:sz w:val="17"/>
                <w:szCs w:val="17"/>
                <w:color w:val="auto"/>
              </w:rPr>
            </w:pPr>
          </w:p>
        </w:tc>
      </w:tr>
      <w:tr>
        <w:trPr>
          <w:trHeight w:val="216"/>
        </w:trPr>
        <w:tc>
          <w:tcPr>
            <w:tcW w:w="6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308,608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366,597</w:t>
            </w:r>
          </w:p>
        </w:tc>
        <w:tc>
          <w:tcPr>
            <w:tcW w:w="100" w:type="dxa"/>
            <w:vAlign w:val="bottom"/>
            <w:shd w:val="clear" w:color="auto" w:fill="CFF0FC"/>
          </w:tcPr>
          <w:p>
            <w:pPr>
              <w:spacing w:after="0"/>
              <w:rPr>
                <w:sz w:val="18"/>
                <w:szCs w:val="18"/>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-4739640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-2896870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-2365375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(19,346)</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(60,607)</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(76,613)</w:t>
            </w: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(4,835)</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(18,210)</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(57,433)</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(64,857)</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(18,234)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(57,606)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(64,857)</w:t>
            </w:r>
          </w:p>
        </w:tc>
        <w:tc>
          <w:tcPr>
            <w:tcW w:w="0" w:type="dxa"/>
            <w:vAlign w:val="bottom"/>
          </w:tcPr>
          <w:p>
            <w:pPr>
              <w:spacing w:after="0"/>
              <w:rPr>
                <w:sz w:val="1"/>
                <w:szCs w:val="1"/>
                <w:color w:val="auto"/>
              </w:rPr>
            </w:pPr>
          </w:p>
        </w:tc>
      </w:tr>
      <w:tr>
        <w:trPr>
          <w:trHeight w:val="210"/>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(18,110)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(19,913)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(57,311)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(63,876)</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4"/>
        </w:trPr>
        <w:tc>
          <w:tcPr>
            <w:tcW w:w="558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80" w:type="dxa"/>
            <w:vAlign w:val="bottom"/>
            <w:tcBorders>
              <w:right w:val="single" w:sz="8" w:color="CFF0FC"/>
            </w:tcBorders>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6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56,312,290</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61,186,324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57,928,898</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63,441,333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80" w:type="dxa"/>
            <w:vAlign w:val="bottom"/>
            <w:tcBorders>
              <w:bottom w:val="single" w:sz="8" w:color="CFF0FC"/>
              <w:right w:val="single" w:sz="8" w:color="CFF0FC"/>
            </w:tcBorders>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1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-3959860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-3959860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-3959860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-3128645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-3128645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-3128645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-3128645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-2836545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-2836545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-2836545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-2271395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-2271395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-2271395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-1431290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-1431290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-1431290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-1148080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-1148080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-1148080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-574040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-556895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-574040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-556895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-574040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-556895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840" w:type="dxa"/>
            <w:vAlign w:val="bottom"/>
            <w:gridSpan w:val="3"/>
            <w:vMerge w:val="restart"/>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ind w:right="141"/>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92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61"/>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01"/>
              <w:spacing w:after="0" w:line="129" w:lineRule="exact"/>
              <w:rPr>
                <w:sz w:val="20"/>
                <w:szCs w:val="20"/>
                <w:color w:val="auto"/>
              </w:rPr>
            </w:pPr>
            <w:r>
              <w:rPr>
                <w:rFonts w:ascii="Times New Roman" w:cs="Times New Roman" w:eastAsia="Times New Roman" w:hAnsi="Times New Roman"/>
                <w:sz w:val="13"/>
                <w:szCs w:val="13"/>
                <w:b w:val="1"/>
                <w:bCs w:val="1"/>
                <w:color w:val="auto"/>
                <w:w w:val="94"/>
              </w:rPr>
              <w:t>Gain</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59,128,092</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719,804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(392,372)</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327,569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 release of restricted stock</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units, net of shares settled for tax withholding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653,943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program</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(352,000)</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(19,948)</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(19,948)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59,430,035</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723,020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(412,320)</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311,006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 exercise of options and</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653,506</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program</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(3,874,486)</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(7,453)</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(7,453)</w:t>
            </w: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in connection with</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119,484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(19,424)</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(19,424)</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56,328,539</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719,728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(431,744)</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 exercise of options and</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464,205</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program</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(1,006,400)</w:t>
            </w: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05"/>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(18,234)</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(18,234)</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55,786,344</w:t>
            </w:r>
          </w:p>
        </w:tc>
        <w:tc>
          <w:tcPr>
            <w:tcW w:w="220" w:type="dxa"/>
            <w:vAlign w:val="bottom"/>
          </w:tcPr>
          <w:p>
            <w:pPr>
              <w:spacing w:after="0"/>
              <w:rPr>
                <w:sz w:val="17"/>
                <w:szCs w:val="17"/>
                <w:color w:val="auto"/>
              </w:rPr>
            </w:pP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721,360</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(449,978)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-1199515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-1199515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-1199515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-1199515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-1199515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-162560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-162560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-162560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840" w:type="dxa"/>
            <w:vAlign w:val="bottom"/>
            <w:gridSpan w:val="3"/>
            <w:vMerge w:val="restart"/>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92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61"/>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41"/>
              <w:spacing w:after="0" w:line="129"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64,298,676</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702,868</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(305,773)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396,904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638,004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early exercised stock options and restricted</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(329)</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(20,679)</w:t>
            </w: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(20,679)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64,936,680</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710,527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(326,452)</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(521)</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383,555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200,944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in connection with</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117,399</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program</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(2,029,429)</w:t>
            </w: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(3,747)</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(3,747)</w:t>
            </w:r>
          </w:p>
        </w:tc>
        <w:tc>
          <w:tcPr>
            <w:tcW w:w="0" w:type="dxa"/>
            <w:vAlign w:val="bottom"/>
          </w:tcPr>
          <w:p>
            <w:pPr>
              <w:spacing w:after="0"/>
              <w:rPr>
                <w:sz w:val="1"/>
                <w:szCs w:val="1"/>
                <w:color w:val="auto"/>
              </w:rPr>
            </w:pPr>
          </w:p>
        </w:tc>
      </w:tr>
      <w:tr>
        <w:trPr>
          <w:trHeight w:val="205"/>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(22,850)</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(22,850)</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63,225,594</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714,626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(349,302)</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 exercise of options and</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69,439</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program</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(3,710,180)</w:t>
            </w: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(6,637)</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(6,637)</w:t>
            </w:r>
          </w:p>
        </w:tc>
        <w:tc>
          <w:tcPr>
            <w:tcW w:w="0" w:type="dxa"/>
            <w:vAlign w:val="bottom"/>
          </w:tcPr>
          <w:p>
            <w:pPr>
              <w:spacing w:after="0"/>
              <w:rPr>
                <w:sz w:val="1"/>
                <w:szCs w:val="1"/>
                <w:color w:val="auto"/>
              </w:rPr>
            </w:pPr>
          </w:p>
        </w:tc>
      </w:tr>
      <w:tr>
        <w:trPr>
          <w:trHeight w:val="205"/>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(21,328)</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(21,328)</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59,584,853</w:t>
            </w:r>
          </w:p>
        </w:tc>
        <w:tc>
          <w:tcPr>
            <w:tcW w:w="220" w:type="dxa"/>
            <w:vAlign w:val="bottom"/>
          </w:tcPr>
          <w:p>
            <w:pPr>
              <w:spacing w:after="0"/>
              <w:rPr>
                <w:sz w:val="17"/>
                <w:szCs w:val="17"/>
                <w:color w:val="auto"/>
              </w:rPr>
            </w:pP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714,567</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(370,630)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-1199515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-1199515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-1199515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-1199515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-1199515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-162560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-162560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-162560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6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Borders>
              <w:bottom w:val="single" w:sz="8" w:color="auto"/>
            </w:tcBorders>
          </w:tcPr>
          <w:p>
            <w:pPr>
              <w:jc w:val="right"/>
              <w:ind w:right="9"/>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6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960" w:type="dxa"/>
            <w:vAlign w:val="bottom"/>
            <w:gridSpan w:val="2"/>
          </w:tcPr>
          <w:p>
            <w:pPr>
              <w:jc w:val="right"/>
              <w:ind w:right="85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(57,606)</w:t>
            </w:r>
          </w:p>
        </w:tc>
        <w:tc>
          <w:tcPr>
            <w:tcW w:w="980" w:type="dxa"/>
            <w:vAlign w:val="bottom"/>
          </w:tcPr>
          <w:p>
            <w:pPr>
              <w:jc w:val="right"/>
              <w:ind w:right="8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(64,857)</w:t>
            </w:r>
          </w:p>
        </w:tc>
      </w:tr>
      <w:tr>
        <w:trPr>
          <w:trHeight w:val="148"/>
        </w:trPr>
        <w:tc>
          <w:tcPr>
            <w:tcW w:w="6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12,128</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21,768</w:t>
            </w:r>
          </w:p>
        </w:tc>
        <w:tc>
          <w:tcPr>
            <w:tcW w:w="100" w:type="dxa"/>
            <w:vAlign w:val="bottom"/>
          </w:tcPr>
          <w:p>
            <w:pPr>
              <w:spacing w:after="0"/>
              <w:rPr>
                <w:sz w:val="12"/>
                <w:szCs w:val="12"/>
                <w:color w:val="auto"/>
              </w:rPr>
            </w:pPr>
          </w:p>
        </w:tc>
      </w:tr>
      <w:tr>
        <w:trPr>
          <w:trHeight w:val="148"/>
        </w:trPr>
        <w:tc>
          <w:tcPr>
            <w:tcW w:w="6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4,597</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4,568</w:t>
            </w:r>
          </w:p>
        </w:tc>
        <w:tc>
          <w:tcPr>
            <w:tcW w:w="100" w:type="dxa"/>
            <w:vAlign w:val="bottom"/>
            <w:shd w:val="clear" w:color="auto" w:fill="CFF0FC"/>
          </w:tcPr>
          <w:p>
            <w:pPr>
              <w:spacing w:after="0"/>
              <w:rPr>
                <w:sz w:val="12"/>
                <w:szCs w:val="12"/>
                <w:color w:val="auto"/>
              </w:rPr>
            </w:pPr>
          </w:p>
        </w:tc>
      </w:tr>
      <w:tr>
        <w:trPr>
          <w:trHeight w:val="148"/>
        </w:trPr>
        <w:tc>
          <w:tcPr>
            <w:tcW w:w="6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2"/>
                <w:szCs w:val="12"/>
                <w:color w:val="auto"/>
              </w:rPr>
            </w:pPr>
          </w:p>
        </w:tc>
      </w:tr>
      <w:tr>
        <w:trPr>
          <w:trHeight w:val="148"/>
        </w:trPr>
        <w:tc>
          <w:tcPr>
            <w:tcW w:w="6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amortization of premium on available-for-sale securities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w:t>
            </w:r>
          </w:p>
        </w:tc>
        <w:tc>
          <w:tcPr>
            <w:tcW w:w="100" w:type="dxa"/>
            <w:vAlign w:val="bottom"/>
            <w:shd w:val="clear" w:color="auto" w:fill="CFF0FC"/>
          </w:tcPr>
          <w:p>
            <w:pPr>
              <w:spacing w:after="0"/>
              <w:rPr>
                <w:sz w:val="12"/>
                <w:szCs w:val="12"/>
                <w:color w:val="auto"/>
              </w:rPr>
            </w:pPr>
          </w:p>
        </w:tc>
      </w:tr>
      <w:tr>
        <w:trPr>
          <w:trHeight w:val="148"/>
        </w:trPr>
        <w:tc>
          <w:tcPr>
            <w:tcW w:w="6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inventory excess and obsolescence</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2"/>
                <w:szCs w:val="12"/>
                <w:color w:val="auto"/>
              </w:rPr>
            </w:pPr>
          </w:p>
        </w:tc>
      </w:tr>
      <w:tr>
        <w:trPr>
          <w:trHeight w:val="149"/>
        </w:trPr>
        <w:tc>
          <w:tcPr>
            <w:tcW w:w="6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FF0FC"/>
          </w:tcPr>
          <w:p>
            <w:pPr>
              <w:spacing w:after="0"/>
              <w:rPr>
                <w:sz w:val="12"/>
                <w:szCs w:val="12"/>
                <w:color w:val="auto"/>
              </w:rPr>
            </w:pPr>
          </w:p>
        </w:tc>
      </w:tr>
      <w:tr>
        <w:trPr>
          <w:trHeight w:val="148"/>
        </w:trPr>
        <w:tc>
          <w:tcPr>
            <w:tcW w:w="6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equity method investment</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100" w:type="dxa"/>
            <w:vAlign w:val="bottom"/>
          </w:tcPr>
          <w:p>
            <w:pPr>
              <w:spacing w:after="0"/>
              <w:rPr>
                <w:sz w:val="12"/>
                <w:szCs w:val="12"/>
                <w:color w:val="auto"/>
              </w:rPr>
            </w:pPr>
          </w:p>
        </w:tc>
      </w:tr>
      <w:tr>
        <w:trPr>
          <w:trHeight w:val="148"/>
        </w:trPr>
        <w:tc>
          <w:tcPr>
            <w:tcW w:w="6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2"/>
                <w:szCs w:val="12"/>
                <w:color w:val="auto"/>
              </w:rPr>
            </w:pPr>
          </w:p>
        </w:tc>
      </w:tr>
      <w:tr>
        <w:trPr>
          <w:trHeight w:val="148"/>
        </w:trPr>
        <w:tc>
          <w:tcPr>
            <w:tcW w:w="6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FF0FC"/>
          </w:tcPr>
          <w:p>
            <w:pPr>
              <w:spacing w:after="0"/>
              <w:rPr>
                <w:sz w:val="12"/>
                <w:szCs w:val="12"/>
                <w:color w:val="auto"/>
              </w:rPr>
            </w:pPr>
          </w:p>
        </w:tc>
      </w:tr>
      <w:tr>
        <w:trPr>
          <w:trHeight w:val="149"/>
        </w:trPr>
        <w:tc>
          <w:tcPr>
            <w:tcW w:w="6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(2,424)</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(1,977)</w:t>
            </w:r>
          </w:p>
        </w:tc>
      </w:tr>
      <w:tr>
        <w:trPr>
          <w:trHeight w:val="148"/>
        </w:trPr>
        <w:tc>
          <w:tcPr>
            <w:tcW w:w="6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(327)</w:t>
            </w:r>
          </w:p>
        </w:tc>
      </w:tr>
      <w:tr>
        <w:trPr>
          <w:trHeight w:val="148"/>
        </w:trPr>
        <w:tc>
          <w:tcPr>
            <w:tcW w:w="6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2"/>
                <w:szCs w:val="12"/>
                <w:color w:val="auto"/>
              </w:rPr>
            </w:pPr>
          </w:p>
        </w:tc>
      </w:tr>
      <w:tr>
        <w:trPr>
          <w:trHeight w:val="148"/>
        </w:trPr>
        <w:tc>
          <w:tcPr>
            <w:tcW w:w="6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100" w:type="dxa"/>
            <w:vAlign w:val="bottom"/>
            <w:shd w:val="clear" w:color="auto" w:fill="CFF0FC"/>
          </w:tcPr>
          <w:p>
            <w:pPr>
              <w:spacing w:after="0"/>
              <w:rPr>
                <w:sz w:val="12"/>
                <w:szCs w:val="12"/>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7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(33,641)</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(34,652)</w:t>
            </w:r>
          </w:p>
        </w:tc>
      </w:tr>
      <w:tr>
        <w:trPr>
          <w:trHeight w:val="142"/>
        </w:trPr>
        <w:tc>
          <w:tcPr>
            <w:tcW w:w="6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98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(1,505)</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(4,120)</w:t>
            </w:r>
          </w:p>
        </w:tc>
      </w:tr>
      <w:tr>
        <w:trPr>
          <w:trHeight w:val="148"/>
        </w:trPr>
        <w:tc>
          <w:tcPr>
            <w:tcW w:w="6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disposal of property and equipment</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646</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securities</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(145,805)</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(209,214)</w:t>
            </w:r>
          </w:p>
        </w:tc>
      </w:tr>
      <w:tr>
        <w:trPr>
          <w:trHeight w:val="149"/>
        </w:trPr>
        <w:tc>
          <w:tcPr>
            <w:tcW w:w="6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197,181</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273,346</w:t>
            </w:r>
          </w:p>
        </w:tc>
        <w:tc>
          <w:tcPr>
            <w:tcW w:w="100" w:type="dxa"/>
            <w:vAlign w:val="bottom"/>
            <w:shd w:val="clear" w:color="auto" w:fill="CFF0FC"/>
          </w:tcPr>
          <w:p>
            <w:pPr>
              <w:spacing w:after="0"/>
              <w:rPr>
                <w:sz w:val="12"/>
                <w:szCs w:val="12"/>
                <w:color w:val="auto"/>
              </w:rPr>
            </w:pPr>
          </w:p>
        </w:tc>
      </w:tr>
      <w:tr>
        <w:trPr>
          <w:trHeight w:val="148"/>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equity security</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(1,945)</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(10,000)</w:t>
            </w:r>
          </w:p>
        </w:tc>
      </w:tr>
      <w:tr>
        <w:trPr>
          <w:trHeight w:val="142"/>
        </w:trPr>
        <w:tc>
          <w:tcPr>
            <w:tcW w:w="6740" w:type="dxa"/>
            <w:vAlign w:val="bottom"/>
            <w:tcBorders>
              <w:bottom w:val="single" w:sz="8" w:color="CFF0FC"/>
            </w:tcBorders>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9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48,572</w:t>
            </w:r>
          </w:p>
        </w:tc>
        <w:tc>
          <w:tcPr>
            <w:tcW w:w="2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50,012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7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Class A common stock options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Class A common stock under share repurchase program</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(10,141)</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(10,384)</w:t>
            </w:r>
          </w:p>
        </w:tc>
      </w:tr>
      <w:tr>
        <w:trPr>
          <w:trHeight w:val="148"/>
        </w:trPr>
        <w:tc>
          <w:tcPr>
            <w:tcW w:w="6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Taxes paid related to net settlement of restricted stock units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Class A common stock in connection with employee stock purchase plan</w:t>
            </w:r>
          </w:p>
        </w:tc>
        <w:tc>
          <w:tcPr>
            <w:tcW w:w="9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2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2"/>
                <w:szCs w:val="12"/>
                <w:color w:val="auto"/>
              </w:rPr>
            </w:pPr>
          </w:p>
        </w:tc>
      </w:tr>
      <w:tr>
        <w:trPr>
          <w:trHeight w:val="142"/>
        </w:trPr>
        <w:tc>
          <w:tcPr>
            <w:tcW w:w="674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(10,711)</w:t>
            </w: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(10,237)</w:t>
            </w:r>
          </w:p>
        </w:tc>
      </w:tr>
      <w:tr>
        <w:trPr>
          <w:trHeight w:val="142"/>
        </w:trPr>
        <w:tc>
          <w:tcPr>
            <w:tcW w:w="67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980" w:type="dxa"/>
            <w:vAlign w:val="bottom"/>
            <w:tcBorders>
              <w:top w:val="single" w:sz="8" w:color="CFF0F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4,220</w:t>
            </w:r>
          </w:p>
        </w:tc>
        <w:tc>
          <w:tcPr>
            <w:tcW w:w="260" w:type="dxa"/>
            <w:vAlign w:val="bottom"/>
            <w:tcBorders>
              <w:top w:val="single" w:sz="8" w:color="CFF0F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5,123</w:t>
            </w:r>
          </w:p>
        </w:tc>
        <w:tc>
          <w:tcPr>
            <w:tcW w:w="100" w:type="dxa"/>
            <w:vAlign w:val="bottom"/>
            <w:tcBorders>
              <w:top w:val="single" w:sz="8" w:color="CFF0FC"/>
            </w:tcBorders>
          </w:tcPr>
          <w:p>
            <w:pPr>
              <w:spacing w:after="0"/>
              <w:rPr>
                <w:sz w:val="12"/>
                <w:szCs w:val="12"/>
                <w:color w:val="auto"/>
              </w:rPr>
            </w:pPr>
          </w:p>
        </w:tc>
      </w:tr>
      <w:tr>
        <w:trPr>
          <w:trHeight w:val="148"/>
        </w:trPr>
        <w:tc>
          <w:tcPr>
            <w:tcW w:w="67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8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41,277</w:t>
            </w:r>
          </w:p>
        </w:tc>
        <w:tc>
          <w:tcPr>
            <w:tcW w:w="2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33,023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960" w:type="dxa"/>
            <w:vAlign w:val="bottom"/>
            <w:gridSpan w:val="2"/>
          </w:tcPr>
          <w:p>
            <w:pPr>
              <w:jc w:val="right"/>
              <w:ind w:right="857"/>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45,497</w:t>
            </w:r>
          </w:p>
        </w:tc>
        <w:tc>
          <w:tcPr>
            <w:tcW w:w="260" w:type="dxa"/>
            <w:vAlign w:val="bottom"/>
          </w:tcPr>
          <w:p>
            <w:pPr>
              <w:spacing w:after="0"/>
              <w:rPr>
                <w:sz w:val="12"/>
                <w:szCs w:val="12"/>
                <w:color w:val="auto"/>
              </w:rPr>
            </w:pPr>
          </w:p>
        </w:tc>
        <w:tc>
          <w:tcPr>
            <w:tcW w:w="980" w:type="dxa"/>
            <w:vAlign w:val="bottom"/>
          </w:tcPr>
          <w:p>
            <w:pPr>
              <w:jc w:val="right"/>
              <w:ind w:right="8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38,146</w:t>
            </w:r>
          </w:p>
        </w:tc>
        <w:tc>
          <w:tcPr>
            <w:tcW w:w="100" w:type="dxa"/>
            <w:vAlign w:val="bottom"/>
          </w:tcPr>
          <w:p>
            <w:pPr>
              <w:spacing w:after="0"/>
              <w:rPr>
                <w:sz w:val="12"/>
                <w:szCs w:val="12"/>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6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Capitalized stock-based compensation related to internal-use software development</w:t>
            </w:r>
          </w:p>
        </w:tc>
        <w:tc>
          <w:tcPr>
            <w:tcW w:w="1960" w:type="dxa"/>
            <w:vAlign w:val="bottom"/>
            <w:gridSpan w:val="2"/>
          </w:tcPr>
          <w:p>
            <w:pPr>
              <w:jc w:val="right"/>
              <w:ind w:right="857"/>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60" w:type="dxa"/>
            <w:vAlign w:val="bottom"/>
          </w:tcPr>
          <w:p>
            <w:pPr>
              <w:spacing w:after="0"/>
              <w:rPr>
                <w:sz w:val="12"/>
                <w:szCs w:val="12"/>
                <w:color w:val="auto"/>
              </w:rPr>
            </w:pPr>
          </w:p>
        </w:tc>
        <w:tc>
          <w:tcPr>
            <w:tcW w:w="980" w:type="dxa"/>
            <w:vAlign w:val="bottom"/>
          </w:tcPr>
          <w:p>
            <w:pPr>
              <w:jc w:val="right"/>
              <w:ind w:right="8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2"/>
                <w:szCs w:val="12"/>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67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expenses</w:t>
            </w:r>
          </w:p>
        </w:tc>
        <w:tc>
          <w:tcPr>
            <w:tcW w:w="1960" w:type="dxa"/>
            <w:vAlign w:val="bottom"/>
            <w:gridSpan w:val="2"/>
            <w:shd w:val="clear" w:color="auto" w:fill="CFF0FC"/>
          </w:tcPr>
          <w:p>
            <w:pPr>
              <w:jc w:val="right"/>
              <w:ind w:right="857"/>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85</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2"/>
                <w:szCs w:val="12"/>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67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Inventory transferred to property and equipment</w:t>
            </w:r>
          </w:p>
        </w:tc>
        <w:tc>
          <w:tcPr>
            <w:tcW w:w="1960" w:type="dxa"/>
            <w:vAlign w:val="bottom"/>
            <w:gridSpan w:val="2"/>
          </w:tcPr>
          <w:p>
            <w:pPr>
              <w:jc w:val="right"/>
              <w:ind w:right="857"/>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1,647</w:t>
            </w:r>
          </w:p>
        </w:tc>
        <w:tc>
          <w:tcPr>
            <w:tcW w:w="260" w:type="dxa"/>
            <w:vAlign w:val="bottom"/>
          </w:tcPr>
          <w:p>
            <w:pPr>
              <w:spacing w:after="0"/>
              <w:rPr>
                <w:sz w:val="11"/>
                <w:szCs w:val="11"/>
                <w:color w:val="auto"/>
              </w:rPr>
            </w:pPr>
          </w:p>
        </w:tc>
        <w:tc>
          <w:tcPr>
            <w:tcW w:w="980" w:type="dxa"/>
            <w:vAlign w:val="bottom"/>
          </w:tcPr>
          <w:p>
            <w:pPr>
              <w:jc w:val="right"/>
              <w:ind w:right="8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67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Property and equipment transferred to inventory</w:t>
            </w:r>
          </w:p>
        </w:tc>
        <w:tc>
          <w:tcPr>
            <w:tcW w:w="1960" w:type="dxa"/>
            <w:vAlign w:val="bottom"/>
            <w:gridSpan w:val="2"/>
            <w:shd w:val="clear" w:color="auto" w:fill="CFF0FC"/>
          </w:tcPr>
          <w:p>
            <w:pPr>
              <w:jc w:val="right"/>
              <w:ind w:right="857"/>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8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FF0FC"/>
          </w:tcPr>
          <w:p>
            <w:pPr>
              <w:spacing w:after="0"/>
              <w:rPr>
                <w:sz w:val="12"/>
                <w:szCs w:val="12"/>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-2356485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-1576705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Company has incurred significant losses and has had negative cash flows from operations since inception. As of September 30, 2025, the Company had cash and cash equivalents and investments of $251.2 million and an accumulated deficit of $450.0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September 30, 2025 provide sufficient capital resources to continue its operations for at least twelve months from the issuance date of the accompanying unaudited condensed consolidated financial statements.</w:t>
      </w:r>
    </w:p>
    <w:p>
      <w:pPr>
        <w:spacing w:after="0" w:line="110"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(U.S. GAAP) and pursuant to the rules and regulations of the Securities and Exchange Commission (SEC) for interim financial reporting. Accordingly, they do not include all of the information and footnotes required by U.S. GAAP for complete financial statements. The unaudited condensed consolidated financial statements should be read in conjunction with the audited consolidated financial statements and notes included in our Annual Report on Form 10-K for the year ended December 31, 2024, which was filed with the SEC on March 3, 2025. The results of operations for the three and nine months ended September 30, 2025 are not necessarily indicative of the results to be expected for the entire fiscal year or any future periods.</w:t>
      </w:r>
    </w:p>
    <w:p>
      <w:pPr>
        <w:spacing w:after="0" w:line="13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Seer, Inc. and its wholly-owned subsidiaries. All intercompany transactions and balances have been eliminated.</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restricted cash, accounts receivable,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recognized revenue from two customers, that accounted for 15% and 10% of the Company's total revenue. For the nine months ended September 30, 2025, no single customer accounted for 10% or more of the Company's total revenue. For the three and nine months ended September 30, 2024, the Company recognized revenue from a related party that accounted for 14% and 20%, respectively, of the Company’s total revenue.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48% and 39%, respectively, of the Company's total revenue, was generated outside of the United States, primarily from countries in Asia and Europe. For the three and nine months ended September 30, 2024, 29% and 32%, respectively, of the Company's total revenue, was generated outside of the United States, primarily from countries in Asia and Europe.</w:t>
      </w:r>
    </w:p>
    <w:p>
      <w:pPr>
        <w:spacing w:after="0" w:line="12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two customers, which represented 16% and 11% of the Company's total accounts receivable balance. As of December 31, 2024, no single customer accounted for 10% or more of the total accounts receivable balance, including related party receivables.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of and for the three and nine months ended September 30, 2025, as compared to the significant accounting policies described in the Company's Annual Report on Form 10-K for the fiscal year ended December 31, 2024 filed with the SEC.</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OBBBA makes permanent key elements of the Tax Cuts and Jobs Act of 2017, including 100% bonus depreciation and immediate deduction of domestic research and development costs, among other tax changes. The new legislation has multiple effective dates, with certain provisions effective in 2025 and others in the future. The Company evaluated the potential impact of the OBBBA legislation on its financial position, results of operations and cash flows. However, due to the Company’s valuation allowance position on its deferred tax assets, the OBBBA did not have a material impact on the Company’s effective tax rate or cash flow in the current fiscal year.</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Cash equivalents consist primarily of amounts invested in money market funds, U.S. Treasury securities, commercial paper, and corporate debt securities and are stated at fair value.</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held by a financial institution as security for a letter of credit issued to the lessor for one of the Company’s operating leases and is classified as noncurrent.</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amount presented in the unaudited condensed consolidated statements of cash flows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44,973</w:t>
            </w:r>
          </w:p>
        </w:tc>
        <w:tc>
          <w:tcPr>
            <w:tcW w:w="11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37,622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r>
      <w:tr>
        <w:trPr>
          <w:trHeight w:val="25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45,497</w:t>
            </w:r>
          </w:p>
        </w:tc>
        <w:tc>
          <w:tcPr>
            <w:tcW w:w="11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38,146</w:t>
            </w:r>
          </w:p>
        </w:tc>
      </w:tr>
      <w:tr>
        <w:trPr>
          <w:trHeight w:val="845"/>
        </w:trPr>
        <w:tc>
          <w:tcPr>
            <w:tcW w:w="450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jc w:val="right"/>
              <w:ind w:right="199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requirements of the ASU are effective for annual periods beginning after December 15, 2024, with early adoption permitted. The Company is currently in the process of evaluating the impact of this pronouncement on its consolidated financial statements and related disclosures.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which requires public business entities to disclose in the notes to the financial statements, among other things, specific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impact the new accounting standard will have on its expense disclosures in the notes to the consolidated financial statements and related disclosures.</w:t>
      </w:r>
    </w:p>
    <w:p>
      <w:pPr>
        <w:spacing w:after="0" w:line="1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a practical expedient to measure credit losses on current accounts receivable and current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arise from transactions accounted for under Topic 606. The practical expedient assumes that current conditions as of the balance sheet date do not change for the remaining life of the asset when developing reasonable and supportable forecasts as part of estimating expected credit losses. The update is effective for annual reporting periods beginning after December 15, 2025, and interim reporting periods within those annual reporting periods, on a prospective basis, with early adoption permitted. The Company is currently in the process of evaluating the impact of this pronouncement on its consolidated financial statements and related disclosures.</w:t>
      </w:r>
    </w:p>
    <w:p>
      <w:pPr>
        <w:spacing w:after="0" w:line="12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that were measured at fair value on a recurring basis by level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39,847</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18"/>
                <w:szCs w:val="18"/>
                <w:color w:val="auto"/>
              </w:rPr>
            </w:pPr>
          </w:p>
        </w:tc>
      </w:tr>
      <w:tr>
        <w:trPr>
          <w:trHeight w:val="210"/>
        </w:trPr>
        <w:tc>
          <w:tcPr>
            <w:tcW w:w="4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42,839</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88,030</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88,030</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12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101,043</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206,212</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206,212</w:t>
            </w:r>
          </w:p>
        </w:tc>
        <w:tc>
          <w:tcPr>
            <w:tcW w:w="120" w:type="dxa"/>
            <w:vAlign w:val="bottom"/>
          </w:tcPr>
          <w:p>
            <w:pPr>
              <w:spacing w:after="0"/>
              <w:rPr>
                <w:sz w:val="18"/>
                <w:szCs w:val="18"/>
                <w:color w:val="auto"/>
              </w:rPr>
            </w:pPr>
          </w:p>
        </w:tc>
      </w:tr>
      <w:tr>
        <w:trPr>
          <w:trHeight w:val="250"/>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209,204</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249,051</w:t>
            </w:r>
          </w:p>
        </w:tc>
        <w:tc>
          <w:tcPr>
            <w:tcW w:w="120" w:type="dxa"/>
            <w:vAlign w:val="bottom"/>
            <w:shd w:val="clear" w:color="auto" w:fill="CFF0FC"/>
          </w:tcPr>
          <w:p>
            <w:pPr>
              <w:spacing w:after="0"/>
              <w:rPr>
                <w:sz w:val="21"/>
                <w:szCs w:val="21"/>
                <w:color w:val="auto"/>
              </w:rPr>
            </w:pPr>
          </w:p>
        </w:tc>
      </w:tr>
      <w:tr>
        <w:trPr>
          <w:trHeight w:val="845"/>
        </w:trPr>
        <w:tc>
          <w:tcPr>
            <w:tcW w:w="408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-1362075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-1362075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-1362075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-1070610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-1053465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-1070610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-1053465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-1070610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r>
      <w:tr>
        <w:trPr>
          <w:trHeight w:val="209"/>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120" w:type="dxa"/>
            <w:vAlign w:val="bottom"/>
          </w:tcPr>
          <w:p>
            <w:pPr>
              <w:spacing w:after="0"/>
              <w:rPr>
                <w:sz w:val="18"/>
                <w:szCs w:val="18"/>
                <w:color w:val="auto"/>
              </w:rPr>
            </w:pPr>
          </w:p>
        </w:tc>
      </w:tr>
      <w:tr>
        <w:trPr>
          <w:trHeight w:val="229"/>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262,951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299,048</w:t>
            </w:r>
          </w:p>
        </w:tc>
        <w:tc>
          <w:tcPr>
            <w:tcW w:w="120" w:type="dxa"/>
            <w:vAlign w:val="bottom"/>
            <w:shd w:val="clear" w:color="auto" w:fill="CFF0FC"/>
          </w:tcPr>
          <w:p>
            <w:pPr>
              <w:spacing w:after="0"/>
              <w:rPr>
                <w:sz w:val="19"/>
                <w:szCs w:val="19"/>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-316230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accounts receivable, other receivables, prepaid expenses and other current assets, accounts payable and accrued expenses approximate fair value due to their short maturities.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cash equivalents and investments and the gross unrealized holding gains and losses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40" w:type="dxa"/>
            <w:vAlign w:val="bottom"/>
            <w:gridSpan w:val="2"/>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7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39,847</w:t>
            </w:r>
          </w:p>
        </w:tc>
        <w:tc>
          <w:tcPr>
            <w:tcW w:w="6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87,809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100,849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205,781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248,620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249,051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408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-1362075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-1362075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-1362075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-1071245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-1053465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-1071245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-1053465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-1071245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-1053465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gridSpan w:val="2"/>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6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150,095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96,302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298,912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-316230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September 30, 2025 and December 31, 2024, unrealized losses on available-for-sale investments are not attributable to credit risk and are considered to be temporary. As of September 30, 2025, the Company does not have investments that have been in a continuous unrealized loss position for twelve months or longer. The Company believes it is more likely than not that investments in an unrealized loss position will be held until maturity or until the recovery of the amortized cost basis of the investment. To date, the Company has not recorded any credit loss charges on marketable securities related to other-than-temporary declines in market value. As of September 30, 2025, $52.0 million of available-for-sale investments had remaining maturities primarily between one and two years. The remainder of the available-for-sale investments have a remaining maturity of one year or less. As of September 30, 2025 and December 31, 2024, the Company recorded $1.4 million and $1.9 million, respectively, of accrued interest related to its available-for-sale investments and is presented as other receivables on the unaudited condensed consolidated balance sheets.</w:t>
      </w:r>
    </w:p>
    <w:p>
      <w:pPr>
        <w:spacing w:after="0" w:line="134" w:lineRule="exact"/>
        <w:rPr>
          <w:sz w:val="20"/>
          <w:szCs w:val="20"/>
          <w:color w:val="auto"/>
        </w:rPr>
      </w:pPr>
    </w:p>
    <w:p>
      <w:pPr>
        <w:ind w:left="380" w:right="6580" w:hanging="372"/>
        <w:spacing w:after="0" w:line="440" w:lineRule="auto"/>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FINANCIAL STATEMENT INFORMATION </w:t>
      </w:r>
      <w:r>
        <w:rPr>
          <w:rFonts w:ascii="Times New Roman" w:cs="Times New Roman" w:eastAsia="Times New Roman" w:hAnsi="Times New Roman"/>
          <w:sz w:val="18"/>
          <w:szCs w:val="18"/>
          <w:b w:val="1"/>
          <w:bCs w:val="1"/>
          <w:i w:val="1"/>
          <w:iCs w:val="1"/>
          <w:color w:val="auto"/>
        </w:rPr>
        <w:t>Inventory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4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3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26,494</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(18,539)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(16,814)</w:t>
            </w:r>
          </w:p>
        </w:tc>
      </w:tr>
      <w:tr>
        <w:trPr>
          <w:trHeight w:val="20"/>
        </w:trPr>
        <w:tc>
          <w:tcPr>
            <w:tcW w:w="7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-454025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depreciation and amortization expense of $1.5 million and $4.6 million, respectively. For the three and nine months ended September 30, 2024, the Company recognized depreciation and amortization expense of $1.6 million and $4.6 million, respectively.</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8"/>
                <w:szCs w:val="18"/>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00" w:type="dxa"/>
            <w:vAlign w:val="bottom"/>
            <w:shd w:val="clear" w:color="auto" w:fill="CFF0FC"/>
          </w:tcPr>
          <w:p>
            <w:pPr>
              <w:spacing w:after="0"/>
              <w:rPr>
                <w:sz w:val="19"/>
                <w:szCs w:val="19"/>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2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DEFERRED REVENUE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Product revenue consists of instruments with embedded software essential to the instrument's functionality and consumables. Service revenue primarily consists of revenue received from the generation and analysis of proteomic data on behalf of customers. Related party revenue is comprised of both the sale of products and services performed for related parties, as further discussed in Note 10. Other revenue consists of shipping revenue and lease arrangements.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activities consist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8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 and noncurrent, as of the beginning of period</w:t>
            </w:r>
          </w:p>
        </w:tc>
        <w:tc>
          <w:tcPr>
            <w:tcW w:w="3480" w:type="dxa"/>
            <w:vAlign w:val="bottom"/>
            <w:gridSpan w:val="2"/>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12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53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 and noncurrent, as of the end of period</w:t>
            </w:r>
          </w:p>
        </w:tc>
        <w:tc>
          <w:tcPr>
            <w:tcW w:w="2400" w:type="dxa"/>
            <w:vAlign w:val="bottom"/>
          </w:tcPr>
          <w:p>
            <w:pPr>
              <w:spacing w:after="0"/>
              <w:rPr>
                <w:sz w:val="18"/>
                <w:szCs w:val="18"/>
                <w:color w:val="auto"/>
              </w:rPr>
            </w:pPr>
          </w:p>
        </w:tc>
        <w:tc>
          <w:tcPr>
            <w:tcW w:w="1080" w:type="dxa"/>
            <w:vAlign w:val="bottom"/>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Pr>
          <w:p>
            <w:pPr>
              <w:spacing w:after="0"/>
              <w:rPr>
                <w:sz w:val="18"/>
                <w:szCs w:val="18"/>
                <w:color w:val="auto"/>
              </w:rPr>
            </w:pPr>
          </w:p>
        </w:tc>
        <w:tc>
          <w:tcPr>
            <w:tcW w:w="12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transaction price allocated to remaining performance obligations relates to amounts allocated to products, services and lease arrangements for which revenue has not yet been recognized. A significant portion of these performance obligations relate to service obligations that will be satisfied and recognized as revenue in future periods. As of September 30, 2025, the Company had $0.5 million of remaining performance obligations, of which 85% is expected to be recognized within twelve months.</w:t>
      </w:r>
    </w:p>
    <w:p>
      <w:pPr>
        <w:spacing w:after="0" w:line="122" w:lineRule="exact"/>
        <w:rPr>
          <w:sz w:val="20"/>
          <w:szCs w:val="20"/>
          <w:color w:val="auto"/>
        </w:rPr>
      </w:pPr>
    </w:p>
    <w:p>
      <w:pPr>
        <w:ind w:left="380" w:right="6520" w:hanging="372"/>
        <w:spacing w:after="0" w:line="440" w:lineRule="auto"/>
        <w:tabs>
          <w:tab w:leader="none" w:pos="36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AND STOCKHOLDERS’ EQUITY </w:t>
      </w:r>
      <w:r>
        <w:rPr>
          <w:rFonts w:ascii="Times New Roman" w:cs="Times New Roman" w:eastAsia="Times New Roman" w:hAnsi="Times New Roman"/>
          <w:sz w:val="18"/>
          <w:szCs w:val="18"/>
          <w:b w:val="1"/>
          <w:bCs w:val="1"/>
          <w:i w:val="1"/>
          <w:iCs w:val="1"/>
          <w:color w:val="auto"/>
        </w:rPr>
        <w:t>Common Stock</w:t>
      </w:r>
    </w:p>
    <w:p>
      <w:pPr>
        <w:spacing w:after="0" w:line="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is authorized to issue 105,000,000 shares of capital stock consisting of 94,000,000 shares of Class A common stock, 6,000,000 shares of Class B common stock, and 5,000,000 shares of preferred stock.</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The Class B common stock is set to automatically convert into Class A common stock on December 9, 2025. On October 10, 2025, the Company filed a preliminary proxy statement with the SEC to seek stockholder approval of a proposed amendment to the Company's certificate of incorporation that would extend the automatic conversion date of the Class B common stock to December 9, 2030. On November 5, 2025, the Company determined to not pursue this action further and allow the Class B common stock to automatically convert into Class A common stock pursuant to the Company’s current certificate of incorporation, due to being informed by Nasdaq of its position, in a departure from recent precedent and related guidance, that the proposed amendment would violate Nasdaq’s listing standards. Holders of common stock are entitled to dividends as declared by the Board of Directors, subject to rights of holders of all classes of stock outstanding having priority rights as to dividends. There have been no dividends declared to date.</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share repurchase activity under the Share Repurchase Program for the period indicated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0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1,006,400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3,710,180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5,232,886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5,739,609</w:t>
            </w:r>
          </w:p>
        </w:tc>
        <w:tc>
          <w:tcPr>
            <w:tcW w:w="12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cost </w:t>
            </w:r>
            <w:r>
              <w:rPr>
                <w:rFonts w:ascii="Times New Roman" w:cs="Times New Roman" w:eastAsia="Times New Roman" w:hAnsi="Times New Roman"/>
                <w:sz w:val="24"/>
                <w:szCs w:val="24"/>
                <w:color w:val="auto"/>
                <w:vertAlign w:val="superscript"/>
              </w:rPr>
              <w:t>(1)</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2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Average per share cost </w:t>
            </w:r>
            <w:r>
              <w:rPr>
                <w:rFonts w:ascii="Times New Roman" w:cs="Times New Roman" w:eastAsia="Times New Roman" w:hAnsi="Times New Roman"/>
                <w:sz w:val="24"/>
                <w:szCs w:val="24"/>
                <w:color w:val="auto"/>
                <w:vertAlign w:val="superscript"/>
              </w:rPr>
              <w:t>(2)</w:t>
            </w: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18"/>
                <w:szCs w:val="18"/>
                <w:color w:val="auto"/>
              </w:rPr>
            </w:pPr>
          </w:p>
        </w:tc>
      </w:tr>
    </w:tbl>
    <w:p>
      <w:pPr>
        <w:spacing w:after="0" w:line="55"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broker commissions and excludes excise tax.</w:t>
      </w:r>
    </w:p>
    <w:p>
      <w:pPr>
        <w:spacing w:after="0" w:line="72" w:lineRule="exact"/>
        <w:rPr>
          <w:rFonts w:ascii="Times New Roman" w:cs="Times New Roman" w:eastAsia="Times New Roman" w:hAnsi="Times New Roman"/>
          <w:sz w:val="19"/>
          <w:szCs w:val="19"/>
          <w:color w:val="auto"/>
          <w:vertAlign w:val="superscript"/>
        </w:rPr>
      </w:pPr>
    </w:p>
    <w:p>
      <w:pPr>
        <w:ind w:left="300" w:hanging="292"/>
        <w:spacing w:after="0" w:line="201" w:lineRule="auto"/>
        <w:tabs>
          <w:tab w:leader="none" w:pos="3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is calculated on a settlement basis and excludes broker commissions and excise tax.</w:t>
      </w:r>
    </w:p>
    <w:p>
      <w:pPr>
        <w:spacing w:after="0" w:line="1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has a total of $3.1 million, excluding broker commissions and excise tax, available under the current authorization for additional share repurchases.</w:t>
      </w:r>
    </w:p>
    <w:p>
      <w:pPr>
        <w:spacing w:after="0" w:line="104"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September 30, 2025, there are 17,785,881 shares of Class A common stock reserved for issuance under the 2020 Equity Incentive Plan, 3,183,434 shares of which are available for issuance in connection with grants of future awards.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nine months ended September 30, 2025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13,198,232</w:t>
            </w:r>
          </w:p>
        </w:tc>
        <w:tc>
          <w:tcPr>
            <w:tcW w:w="200" w:type="dxa"/>
            <w:vAlign w:val="bottom"/>
            <w:tcBorders>
              <w:lef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937,366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(22,717)</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(578,011)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13,534,870</w:t>
            </w:r>
          </w:p>
        </w:tc>
        <w:tc>
          <w:tcPr>
            <w:tcW w:w="200" w:type="dxa"/>
            <w:vAlign w:val="bottom"/>
            <w:tcBorders>
              <w:left w:val="single" w:sz="8" w:color="CFF0FC"/>
            </w:tcBorders>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September 30, 2025</w:t>
            </w:r>
          </w:p>
        </w:tc>
        <w:tc>
          <w:tcPr>
            <w:tcW w:w="18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8,272,121</w:t>
            </w:r>
          </w:p>
        </w:tc>
        <w:tc>
          <w:tcPr>
            <w:tcW w:w="200" w:type="dxa"/>
            <w:vAlign w:val="bottom"/>
          </w:tcPr>
          <w:p>
            <w:pPr>
              <w:spacing w:after="0"/>
              <w:rPr>
                <w:sz w:val="17"/>
                <w:szCs w:val="17"/>
                <w:color w:val="auto"/>
              </w:rPr>
            </w:pP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activity for the nine months ended September 30, 2025 is as follows: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4,450,441</w:t>
            </w:r>
          </w:p>
        </w:tc>
        <w:tc>
          <w:tcPr>
            <w:tcW w:w="200" w:type="dxa"/>
            <w:vAlign w:val="bottom"/>
            <w:tcBorders>
              <w:lef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1,298,983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(2,108,601)</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3,271,339</w:t>
            </w:r>
          </w:p>
        </w:tc>
        <w:tc>
          <w:tcPr>
            <w:tcW w:w="200" w:type="dxa"/>
            <w:vAlign w:val="bottom"/>
            <w:tcBorders>
              <w:left w:val="single" w:sz="8" w:color="CFF0FC"/>
            </w:tcBorders>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-1833880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-1816735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connection with the vesting of restricted stock units, the Company withheld shares of Class A common stock to satisfy tax withholding and remittance obligations. As of September 30, 2025, the Company withheld 359,664 shares of Class A common stock, which were retired, for $0.8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2,138,712 shares of Class A common stock are reserved for issuance under the employee stock purchase plan (ESPP) as of September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119,484 shares of Class A common stock were issued under the ESPP.</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recognized in the Company’s unaudited condensed consolidated statements of operations and comprehensive loss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5"/>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2,117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3,593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September 30, 2025 and December 31, 2024, which is secured by restricted cash and is presented as noncurrent at each date based on the term of the underlying lease.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and supplemental information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7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82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shd w:val="clear" w:color="auto" w:fill="CFF0FC"/>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8"/>
                <w:szCs w:val="18"/>
                <w:color w:val="auto"/>
              </w:rPr>
            </w:pP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100" w:type="dxa"/>
            <w:vAlign w:val="bottom"/>
          </w:tcPr>
          <w:p>
            <w:pPr>
              <w:spacing w:after="0"/>
              <w:rPr>
                <w:sz w:val="18"/>
                <w:szCs w:val="18"/>
                <w:color w:val="auto"/>
              </w:rPr>
            </w:pPr>
          </w:p>
        </w:tc>
        <w:tc>
          <w:tcPr>
            <w:tcW w:w="72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1,214</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3,888</w:t>
            </w:r>
          </w:p>
        </w:tc>
        <w:tc>
          <w:tcPr>
            <w:tcW w:w="12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4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gridSpan w:val="12"/>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8"/>
                <w:szCs w:val="18"/>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5"/>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-825500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-825500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costs primarily consist of common area maintenance.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16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7620</wp:posOffset>
            </wp:positionV>
            <wp:extent cx="21513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836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tabs>
          <w:tab w:leader="none" w:pos="7720" w:val="left"/>
          <w:tab w:leader="none" w:pos="8860" w:val="left"/>
          <w:tab w:leader="none" w:pos="9560" w:val="left"/>
          <w:tab w:leader="none" w:pos="10700" w:val="left"/>
        </w:tabs>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2,878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3,029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future minimum commitments under the Company’s non-cancelable facility operating leases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98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3,957</w:t>
            </w:r>
          </w:p>
        </w:tc>
      </w:tr>
      <w:tr>
        <w:trPr>
          <w:trHeight w:val="216"/>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4,191</w:t>
            </w:r>
          </w:p>
        </w:tc>
      </w:tr>
      <w:tr>
        <w:trPr>
          <w:trHeight w:val="216"/>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4,312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20" w:type="dxa"/>
            <w:vAlign w:val="bottom"/>
          </w:tcPr>
          <w:p>
            <w:pPr>
              <w:spacing w:after="0"/>
              <w:rPr>
                <w:sz w:val="18"/>
                <w:szCs w:val="18"/>
                <w:color w:val="auto"/>
              </w:rPr>
            </w:pPr>
          </w:p>
        </w:tc>
      </w:tr>
      <w:tr>
        <w:trPr>
          <w:trHeight w:val="209"/>
        </w:trPr>
        <w:tc>
          <w:tcPr>
            <w:tcW w:w="8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30,062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adjustment for minimum lease commitments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(5,813)</w:t>
            </w:r>
          </w:p>
        </w:tc>
      </w:tr>
      <w:tr>
        <w:trPr>
          <w:trHeight w:val="20"/>
        </w:trPr>
        <w:tc>
          <w:tcPr>
            <w:tcW w:w="8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8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24,249</w:t>
            </w:r>
          </w:p>
        </w:tc>
      </w:tr>
      <w:tr>
        <w:trPr>
          <w:trHeight w:val="20"/>
        </w:trPr>
        <w:tc>
          <w:tcPr>
            <w:tcW w:w="8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6"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Obligations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certain purchase commitments related to its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$0.4 million and $4.5 million as of September 30, 2025 and December 31, 2024, respectively.</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September 30, 2025 and December 31, 2024, the Company does not have any material indemnification claims that were probable or reasonably possible and consequently has not recorded related liabilities.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not currently a party to any material legal proceedings.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PrognomiQ, Inc. (PrognomiQ) constitutes a related party and, as of September 30, 2025 and December 31, 2024, the Company recorded $0.3 million and $0.4 million in related party receivables, respectively, on the condensed consolidated balance sheets mainly due from product sales and services revenue. For the three and nine months ended September 30, 2025, the Company recognized revenue of $0.3 million and $0.8 million, respectively, primarily from services. For the three and nine months ended September 30, 2024, the Company recognized revenue of $0.5 million and $2.0 million, respectively, of which $0.4 million and $1.6 million, respectively, were from product sales. This is presented as related party revenue on the unaudited condensed consolidated statements of operations and comprehensive loss.</w:t>
      </w:r>
    </w:p>
    <w:p>
      <w:pPr>
        <w:spacing w:after="0" w:line="13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August 12, 2024, the Company entered into a preferred stock purchase agreement with PrognomiQ, pursuant to which the Company purchased $10.0 million of PrognomiQ's Series D Preferred Stock. Subsequently, on July 31, 2025, the Company made an additional $1.9 million investment in the same series. The investment is accounted for as an equity security in accordance with ASC 321.</w:t>
      </w:r>
    </w:p>
    <w:p>
      <w:pPr>
        <w:spacing w:after="0" w:line="12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September 30, 2025, the carrying value of the investment was $4.5 million and is included in other assets on the unaudited condensed consolidated balance sheets. The carrying value is adjusted to the Company's share in loss in the equity method investment. There were no impairment and recognized gains or losses to the carrying value for the three and nine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8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loss attributable to Class A and Class B</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(57,606)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(64,857)</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attributable to Class A</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Class B common stockholders, basic</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56,312,290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61,186,324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57,928,898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63,441,333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Class A and</w:t>
            </w: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Class B common stockholders, basic and</w:t>
            </w:r>
          </w:p>
        </w:tc>
        <w:tc>
          <w:tcPr>
            <w:tcW w:w="760" w:type="dxa"/>
            <w:vAlign w:val="bottom"/>
            <w:vMerge w:val="restart"/>
            <w:shd w:val="clear" w:color="auto" w:fill="CFF0FC"/>
          </w:tcPr>
          <w:p>
            <w:pPr>
              <w:spacing w:after="0"/>
              <w:rPr>
                <w:sz w:val="18"/>
                <w:szCs w:val="18"/>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(0.99)</w:t>
            </w:r>
          </w:p>
        </w:tc>
        <w:tc>
          <w:tcPr>
            <w:tcW w:w="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4"/>
        </w:trPr>
        <w:tc>
          <w:tcPr>
            <w:tcW w:w="406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7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32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20" w:type="dxa"/>
            <w:vAlign w:val="bottom"/>
            <w:tcBorders>
              <w:bottom w:val="single" w:sz="8" w:color="auto"/>
            </w:tcBorders>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options issued and outstanding</w:t>
            </w:r>
          </w:p>
        </w:tc>
        <w:tc>
          <w:tcPr>
            <w:tcW w:w="4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13,534,870</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13,811,855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3,271,339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ESPP shares to be issued</w:t>
            </w:r>
          </w:p>
        </w:tc>
        <w:tc>
          <w:tcPr>
            <w:tcW w:w="29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133,683</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16,939,892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18,615,541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9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segment net loss, including significant segment expenses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7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8"/>
                <w:szCs w:val="18"/>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Compensation expenses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28,294</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expenses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Facility expenses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9"/>
                <w:szCs w:val="9"/>
                <w:color w:val="auto"/>
              </w:rPr>
              <w:t>(1)</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81,643</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(4,835)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(18,234)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(57,606)</w:t>
            </w:r>
          </w:p>
        </w:tc>
        <w:tc>
          <w:tcPr>
            <w:tcW w:w="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(64,857)</w:t>
            </w:r>
          </w:p>
        </w:tc>
      </w:tr>
      <w:tr>
        <w:trPr>
          <w:trHeight w:val="20"/>
        </w:trPr>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-1002030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-1002030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-1002030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includes laboratory expenses, travel expenses, and allocated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long-lived assets were primarily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ability to generate product and service revenue sufficient to achieve profitability, if ever, will depend on the successful commercialization of the Proteograph Product Suite and related products and services. In May 2025, we advanced our commercial offering with the launch of the new Proteograph Product Suite, featuring Proteograph ONE Assay and SP200 Automation Instrument. With the new Proteograph workflow, we believe we have achieved a transformative milestone by significantly improving the scalability, reproducibility, and affordability of deep proteomic analysis. These advancements push the boundaries of the original capabilities of the Proteograph Product Suite launched in 2021, addressing historical industry-wide limitations in which deep workflows faced challenges scaling efficiently, manual handling introduced variability, and large-scale studies were hindered by prohibitive costs.</w:t>
      </w:r>
    </w:p>
    <w:p>
      <w:pPr>
        <w:spacing w:after="0" w:line="1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are commercializing the Proteograph Product Suite as an integrated solution comprised of consumables, our SP100 or SP200 automation instrument and software. Our commercial strategy is focused on growing adoption by the research community of the Proteograph, expanding the installed base, increasing utilization to generate revenue from the purchase of Proteograph consumables and growing our service offering through the Seer Technology Access Center (STAC). We expect a highly efficient sales model because our workflow integrates with most existing proteomics laboratories’ workflows and also complements large-scale genomics research. We are focused on removing barriers to access to the Proteograph, including through the STAC service offering.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designed the SP100 and SP200 automation instruments and have outsourced their manufacturing to Hamilton Company, a leading manufacturer of automated liquid handling workstations. We have entered into a non-exclusive agreement with Hamilton that covers the manufacturing of the SP100 and SP200 automation instruments and their continued supply on a purchase order basis. Starting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and 2024, we incurred a net loss of $57.6 million and $64.9 million and used $33.6 million and $34.7 million of cash in operations, respectively. As of September 30, 2025, we had an accumulated deficit of $450.0 million, and cash, cash equivalents, and investments of $251.2 million. We expect to continue to incur significant losses and do not expect positive cash flows from operations for the foreseeable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may increase in connection with our ongoing activities, as we:</w:t>
      </w:r>
    </w:p>
    <w:p>
      <w:pPr>
        <w:spacing w:after="0" w:line="171"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broadly commercialize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sales, marketing, service, support and distribution infrastructure as part of our commercialization efforts;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build-out and expand our in-house NP manufacturing capabilities;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research and development of other products and enhancements to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infrastructure to operate and scale as a public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is comprised of both product sales and services performed for related parties. Other revenue consists of shipping revenue and lease arrangements. Our revenue is primarily generated domestically. We intend to focus our commercial efforts in the United States and expect to grow our international presence.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utilize third-party manufacturers for production of our instruments and we manufacture our NPs and assemble our assay kits internally. Cost of revenue consists primarily of costs of the components of the Proteograph Product Suite, including the instruments and consumables, costs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earned on cash, cash equivalents and investments, asset disposals, realized and unrealized gains and losses on foreign currency transactions, and loss in the equity method investment.</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Income tax expense results from our wholly-owned foreign subsidiaries. We maintain a full valuation allowance on our domestic deferred tax assets as we have concluded that it is more likely than not that the deferred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Three Months Ended September 30,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80" w:type="dxa"/>
            <w:vAlign w:val="bottom"/>
            <w:gridSpan w:val="2"/>
            <w:vMerge w:val="continue"/>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
        </w:trPr>
        <w:tc>
          <w:tcPr>
            <w:tcW w:w="574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party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574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7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9"/>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(2,170)</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(2,637)</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7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26,263</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(4,807)</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74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(19,346)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(1,317)</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(1,419)</w:t>
            </w: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(558)</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7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(1,861)</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74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(18,210)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gridSpan w:val="2"/>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74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(18,234)</w:t>
            </w:r>
          </w:p>
        </w:tc>
        <w:tc>
          <w:tcPr>
            <w:tcW w:w="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1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gridSpan w:val="8"/>
          </w:tcPr>
          <w:p>
            <w:pPr>
              <w:ind w:left="42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4,121</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Revenue remained flat during the three months ended September 30, 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gridSpan w:val="8"/>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-4885690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-4885690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-4885690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-4885690</wp:posOffset>
            </wp:positionV>
            <wp:extent cx="1454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-4053840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-4053840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-4053840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-4053840</wp:posOffset>
            </wp:positionV>
            <wp:extent cx="1454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-3762375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-3762375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-3762375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-3762375</wp:posOffset>
            </wp:positionV>
            <wp:extent cx="1454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-3196590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-3196590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-3196590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-3196590</wp:posOffset>
            </wp:positionV>
            <wp:extent cx="1454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-2356485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-2356485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-2356485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-2356485</wp:posOffset>
            </wp:positionV>
            <wp:extent cx="1454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-2073910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-2073910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-2073910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-2073910</wp:posOffset>
            </wp:positionV>
            <wp:extent cx="1454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remained flat during the three months ended September 30, 2025.</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6"/>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12,967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(2,170)</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8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2025, decreased by $2.2 million, or 17%, compared to the three months ended September 30, 2024. The decrease was primarily due to a $0.8 million decrease in stock-based compensation, a $0.8 million decrease in allocated costs, a $0.3 million decrease in laboratory expenses and a $0.2 million decrease in depreciation of laboratory equipment.</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6"/>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13,296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(2,637)</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2025, decreased by $2.6 million, or 20%, compared to the three months ended September 30, 2024. The decrease was primarily due to a $1.9 million decrease in stock-based compensation and a $0.3 million decrease in business expenses.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6"/>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(1,861)</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Total other income for the three months ended September 30, 2025, decreased by $1.9 million, or 62%, compared to the three months ended September 30, 2024. The decrease was mainly due to the loss in the equity method investment and lower rates of interest earned on cash invested in money market funds, U.S. Treasury securities, commercial paper, and corporate debt securities.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Nine Months Ended September 30,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tcBorders>
            <w:gridSpan w:val="2"/>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8"/>
          </w:tcPr>
          <w:p>
            <w:pPr>
              <w:jc w:val="center"/>
              <w:ind w:right="8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6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34,132</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37,966</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(3,834)</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66,889</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81,643</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(14,754)</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(3,974)</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(8,582)</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(57,606)</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(64,857)</w:t>
            </w:r>
          </w:p>
        </w:tc>
        <w:tc>
          <w:tcPr>
            <w:tcW w:w="16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1"/>
              </w:rPr>
              <w:t>in</w:t>
            </w: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i w:val="1"/>
                <w:iCs w:val="1"/>
                <w:color w:val="auto"/>
                <w:w w:val="90"/>
              </w:rPr>
              <w:t>(dollars</w:t>
            </w:r>
          </w:p>
        </w:tc>
        <w:tc>
          <w:tcPr>
            <w:tcW w:w="300" w:type="dxa"/>
            <w:vAlign w:val="bottom"/>
            <w:gridSpan w:val="2"/>
            <w:vMerge w:val="continue"/>
          </w:tcPr>
          <w:p>
            <w:pPr>
              <w:spacing w:after="0"/>
              <w:rPr>
                <w:sz w:val="12"/>
                <w:szCs w:val="12"/>
                <w:color w:val="auto"/>
              </w:rPr>
            </w:pPr>
          </w:p>
        </w:tc>
        <w:tc>
          <w:tcPr>
            <w:tcW w:w="1120" w:type="dxa"/>
            <w:vAlign w:val="bottom"/>
            <w:tcBorders>
              <w:top w:val="single" w:sz="8" w:color="auto"/>
            </w:tcBorders>
            <w:gridSpan w:val="3"/>
          </w:tcPr>
          <w:p>
            <w:pPr>
              <w:jc w:val="right"/>
              <w:ind w:right="600"/>
              <w:spacing w:after="0" w:line="142" w:lineRule="exact"/>
              <w:rPr>
                <w:sz w:val="20"/>
                <w:szCs w:val="20"/>
                <w:color w:val="auto"/>
              </w:rPr>
            </w:pPr>
            <w:r>
              <w:rPr>
                <w:rFonts w:ascii="Times New Roman" w:cs="Times New Roman" w:eastAsia="Times New Roman" w:hAnsi="Times New Roman"/>
                <w:sz w:val="14"/>
                <w:szCs w:val="14"/>
                <w:i w:val="1"/>
                <w:iCs w:val="1"/>
                <w:color w:val="auto"/>
                <w:w w:val="81"/>
              </w:rPr>
              <w:t>thousands)</w:t>
            </w: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12,377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10,170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2,207</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-3813810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-3813810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-3813810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-3813810</wp:posOffset>
            </wp:positionV>
            <wp:extent cx="1454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-2982595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-2982595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-2982595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-2982595</wp:posOffset>
            </wp:positionV>
            <wp:extent cx="1454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-2691130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-2691130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-2691130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-2691130</wp:posOffset>
            </wp:positionV>
            <wp:extent cx="1454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-2125345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-2125345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-2125345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-2125345</wp:posOffset>
            </wp:positionV>
            <wp:extent cx="1454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-1285240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-1285240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-1285240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-1285240</wp:posOffset>
            </wp:positionV>
            <wp:extent cx="1454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-1002030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-1002030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-1002030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-1002030</wp:posOffset>
            </wp:positionV>
            <wp:extent cx="1454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6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Revenue for the nine months ended September 30, 2025, increased by $2.2 million, or 22%, compared to the nine months ended September 30, 2024. The increase was due to higher product sales and service revenue during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20" w:type="dxa"/>
            <w:vAlign w:val="bottom"/>
          </w:tcPr>
          <w:p>
            <w:pPr>
              <w:spacing w:after="0"/>
              <w:rPr>
                <w:sz w:val="15"/>
                <w:szCs w:val="15"/>
                <w:color w:val="auto"/>
              </w:rPr>
            </w:pPr>
          </w:p>
        </w:tc>
        <w:tc>
          <w:tcPr>
            <w:tcW w:w="8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82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vMerge w:val="continue"/>
          </w:tcPr>
          <w:p>
            <w:pPr>
              <w:spacing w:after="0"/>
              <w:rPr>
                <w:sz w:val="12"/>
                <w:szCs w:val="12"/>
                <w:color w:val="auto"/>
              </w:rPr>
            </w:pPr>
          </w:p>
        </w:tc>
        <w:tc>
          <w:tcPr>
            <w:tcW w:w="82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6,095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5,140</w:t>
            </w:r>
          </w:p>
        </w:tc>
        <w:tc>
          <w:tcPr>
            <w:tcW w:w="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955</w:t>
            </w:r>
          </w:p>
        </w:tc>
        <w:tc>
          <w:tcPr>
            <w:tcW w:w="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Cost of revenue for the nine months ended September 30, 2025, increased by $1.0 million, or 19%, compared to the nine months ended September 30, 2024. The increase was primarily due to higher volume from consumables sales and increase in service revenue.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5"/>
                <w:szCs w:val="15"/>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34,132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37,966</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(3,834)</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2025, decreased by $3.8 million, or 10%, compared to the nine months ended September 30, 2024. The decrease was primarily due to a $1.9 million decrease in allocated costs, a $1.6 million decrease in stock-based compensation, a $0.4 million decrease in laboratory expenses, and a $0.3 million decrease in depreciation of laboratory equipment. The decrease is offset by a $0.4 million increase in employee compensation costs.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5"/>
                <w:szCs w:val="15"/>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32,757</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43,677</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(10,920)</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2025, decreased by $10.9 million, or 25%, compared to the nine months ended September 30, 2024. The decrease was primarily due to a $7.3 million decrease in stock-based compensation, a $1.8 million decrease in professional services, a $0.7 million decrease in allocated costs, a $0.4 million decrease in business expenses, a $0.3 million decrease in facility expenses, and a $0.3 million decrease in travel expenses.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5"/>
                <w:szCs w:val="15"/>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3,174</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11,756</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(8,582)</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Total other income for the nine months ended September 30, 2025, decreased by $8.6 million, or 73%, compared to the nine months ended September 30, 2024. The decrease was mainly due to the loss in the equity method investment, lower rates of interest earned on cash invested in money market funds, U.S. Treasury securities, commercial paper, and corporate debt securities and loss on asset disposals.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Quarterly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September 30, 2025 and December 31, 2024, which is secured by restricted cash and is presented as noncurrent at each date based on the term of the underlying lease.</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we have certain purchase commitments related to our inventory management, cloud-based information systems, property and equipment maintenance and support services, and various other products and services over periods that extend beyond one year.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$0.4 million as of September 30, 2025.</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20" w:type="dxa"/>
            <w:vAlign w:val="bottom"/>
            <w:gridSpan w:val="3"/>
          </w:tcPr>
          <w:p>
            <w:pPr>
              <w:jc w:val="right"/>
              <w:ind w:right="60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48,572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50,012</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9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8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4,220</w:t>
            </w:r>
          </w:p>
        </w:tc>
        <w:tc>
          <w:tcPr>
            <w:tcW w:w="11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9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8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1111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operating activities was $33.6 million, primarily attributable to a net loss of $57.6 million and partially offset by non-cash charges of $24.1 million. Non-cash charges primarily consisted of $12.1 million of stock-based compensation, $4.6 million of depreciation and amortization, $4.8 million of loss on equity method investment, $1.5 million of net amortization of premium on available-for-sale securities, and $1.0 million of loss on disposal of property and equipment.</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operating activities was $34.7 million, attributable to a net loss of $64.9 million, partially offset by non-cash charges of $30.2 million. Non-cash charges primarily consisted of stock-based compensation of $21.8 million, $4.6 million of depreciation and amortization, $2.6 million of net amortization of premium on available-for-sale securities, loss on equity method investment of $0.9 million, and $0.3 million of loss on disposal of property and equipment.</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cash provided by investing activities was $48.6 million, which was attributable to the proceeds from maturities of available-for-sale securities of $197.2 million and proceeds from disposal of property and equipment of $0.6 million. This was offset by the purchases of available-for-sale securities of $145.8 million, purchase of investment in equity security of $1.9 million, and purchases of property and equipment, primarily for laboratory equipment, of $1.5 million.</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investing activities was $50.0 million, which related to the proceeds from maturities of available-for-sale securities of $273.3 million. This was offset by the purchases of available-for-sale securities of $209.2 million, purchase of investment in equity security of $10.0 million, and purchases of property and equipment, primarily for laboratory equipment, of $4.1 million.</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financing activities was $10.7 million, which was primarily attributable to the repurchases of Class A common stock under our share repurchase program of $10.1 million and the taxes withholding payments related to net settlement of restricted stock units of $0.8 million. This was partially offset by primarily the proceeds of $0.2 million from the issuance of Class A common stock in connection with the employee stock purchase plan.</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financing activities was $10.2 million, which was primarily attributable to the repurchases of Class A common stock under our share repurchase program of $10.3 million. This partially was offset by the proceeds of $0.1 million from the issuance of Class A common stock in connection with the employee stock purchase plan.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as discussed in our Annual Report on Form 10-K for the fiscal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three and nine months ended September 30, 2025, compared to the disclosures in Part II, Item 7A of our Annual Report on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September 30, 2025,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under the Exchange Act,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more fully described below.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factors and uncertainties that make investing in our company risky include, among others:</w:t>
      </w:r>
    </w:p>
    <w:p>
      <w:pPr>
        <w:spacing w:after="0" w:line="153" w:lineRule="exact"/>
        <w:rPr>
          <w:sz w:val="20"/>
          <w:szCs w:val="20"/>
          <w:color w:val="auto"/>
        </w:rPr>
      </w:pPr>
    </w:p>
    <w:p>
      <w:pPr>
        <w:ind w:left="300" w:right="12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7" w:lineRule="exact"/>
        <w:rPr>
          <w:rFonts w:ascii="Times New Roman" w:cs="Times New Roman" w:eastAsia="Times New Roman" w:hAnsi="Times New Roman"/>
          <w:sz w:val="18"/>
          <w:szCs w:val="18"/>
          <w:color w:val="auto"/>
        </w:rPr>
      </w:pPr>
    </w:p>
    <w:p>
      <w:pPr>
        <w:ind w:left="300" w:right="42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current business and the prospects for our future viability, and to predict our future performance;</w:t>
      </w:r>
    </w:p>
    <w:p>
      <w:pPr>
        <w:spacing w:after="0" w:line="107" w:lineRule="exact"/>
        <w:rPr>
          <w:rFonts w:ascii="Times New Roman" w:cs="Times New Roman" w:eastAsia="Times New Roman" w:hAnsi="Times New Roman"/>
          <w:sz w:val="18"/>
          <w:szCs w:val="18"/>
          <w:color w:val="auto"/>
        </w:rPr>
      </w:pPr>
    </w:p>
    <w:p>
      <w:pPr>
        <w:ind w:left="300" w:right="62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rFonts w:ascii="Times New Roman" w:cs="Times New Roman" w:eastAsia="Times New Roman" w:hAnsi="Times New Roman"/>
          <w:sz w:val="18"/>
          <w:szCs w:val="18"/>
          <w:color w:val="auto"/>
        </w:rPr>
      </w:pPr>
    </w:p>
    <w:p>
      <w:pPr>
        <w:ind w:left="300" w:right="10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our commercialization plan, and we may not be able to commercialize the Proteograph Product Suite as planned;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success depends on broad scientific and market acceptance of the Proteograph, which we may fail to achieve;</w:t>
      </w:r>
    </w:p>
    <w:p>
      <w:pPr>
        <w:spacing w:after="0" w:line="171" w:lineRule="exact"/>
        <w:rPr>
          <w:rFonts w:ascii="Times New Roman" w:cs="Times New Roman" w:eastAsia="Times New Roman" w:hAnsi="Times New Roman"/>
          <w:sz w:val="18"/>
          <w:szCs w:val="18"/>
          <w:color w:val="auto"/>
        </w:rPr>
      </w:pPr>
    </w:p>
    <w:p>
      <w:pPr>
        <w:ind w:left="300" w:right="16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Proteograph Product Suite is successfully commercialized and achieves broad scientific and market acceptance, if we fail to improve it or introduce compelling new products or services, our revenues and our prospects could be harmed;</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could adversely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right="140" w:hanging="292"/>
        <w:spacing w:after="0" w:line="266"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rFonts w:ascii="Times New Roman" w:cs="Times New Roman" w:eastAsia="Times New Roman" w:hAnsi="Times New Roman"/>
          <w:sz w:val="18"/>
          <w:szCs w:val="18"/>
          <w:color w:val="auto"/>
        </w:rPr>
      </w:pPr>
    </w:p>
    <w:p>
      <w:pPr>
        <w:ind w:left="300" w:right="500" w:hanging="292"/>
        <w:spacing w:after="0" w:line="282"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and recruit qualified employees, and retain or maintain our employee base, it may adversely impact our business and operations; and</w:t>
      </w:r>
    </w:p>
    <w:p>
      <w:pPr>
        <w:spacing w:after="0" w:line="107" w:lineRule="exact"/>
        <w:rPr>
          <w:rFonts w:ascii="Times New Roman" w:cs="Times New Roman" w:eastAsia="Times New Roman" w:hAnsi="Times New Roman"/>
          <w:sz w:val="18"/>
          <w:szCs w:val="18"/>
          <w:color w:val="auto"/>
        </w:rPr>
      </w:pPr>
    </w:p>
    <w:p>
      <w:pPr>
        <w:ind w:left="300" w:right="100" w:hanging="292"/>
        <w:spacing w:after="0" w:line="266"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early-stage life sciences technology company, and we have incurred significant losses since we were formed in 2017, and expect to continue to incur losses in the future. As of September 30, 2025, we had an accumulated deficit of $450.0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3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in the early stages of commercialization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8"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the Proteograph Product Suite on our anticipated timeline;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services, including customer service;</w:t>
      </w:r>
    </w:p>
    <w:p>
      <w:pPr>
        <w:spacing w:after="0" w:line="171" w:lineRule="exact"/>
        <w:rPr>
          <w:rFonts w:ascii="Times New Roman" w:cs="Times New Roman" w:eastAsia="Times New Roman" w:hAnsi="Times New Roman"/>
          <w:sz w:val="18"/>
          <w:szCs w:val="18"/>
          <w:color w:val="auto"/>
        </w:rPr>
      </w:pPr>
    </w:p>
    <w:p>
      <w:pPr>
        <w:ind w:left="300" w:hanging="292"/>
        <w:spacing w:after="0" w:line="266"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the Proteograph Product Suite, including our SP100 or SP200 automation instrument, proprietary engineered nanoparticle (NP) technology and Proteograph Analysis Suite software, which may change from time to time;</w:t>
      </w:r>
    </w:p>
    <w:p>
      <w:pPr>
        <w:spacing w:after="0" w:line="121" w:lineRule="exact"/>
        <w:rPr>
          <w:rFonts w:ascii="Times New Roman" w:cs="Times New Roman" w:eastAsia="Times New Roman" w:hAnsi="Times New Roman"/>
          <w:sz w:val="18"/>
          <w:szCs w:val="18"/>
          <w:color w:val="auto"/>
        </w:rPr>
      </w:pPr>
    </w:p>
    <w:p>
      <w:pPr>
        <w:ind w:left="300" w:right="40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the Proteograph Product Suite,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the Proteograph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300" w:right="20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third-party distributorships, the quantity of our products they elect to hold in inventory, and their ability to promote and sell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the Proteograph Product Suite and related services;</w:t>
      </w:r>
    </w:p>
    <w:p>
      <w:pPr>
        <w:spacing w:after="0" w:line="171" w:lineRule="exact"/>
        <w:rPr>
          <w:rFonts w:ascii="Times New Roman" w:cs="Times New Roman" w:eastAsia="Times New Roman" w:hAnsi="Times New Roman"/>
          <w:sz w:val="18"/>
          <w:szCs w:val="18"/>
          <w:color w:val="auto"/>
        </w:rPr>
      </w:pPr>
    </w:p>
    <w:p>
      <w:pPr>
        <w:ind w:left="300" w:right="28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the Proteograph Product Suite and associated consumables,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unpredictable nature of the sales cycle;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time needed to procure SP100 and SP200 automation instruments from our third-party contract manufacturer;</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force, which if less than anticipated, could significantly impair our ability to generate revenue;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customers to exercise Proteograph purchase options;</w:t>
      </w:r>
    </w:p>
    <w:p>
      <w:pPr>
        <w:spacing w:after="0" w:line="171" w:lineRule="exact"/>
        <w:rPr>
          <w:rFonts w:ascii="Times New Roman" w:cs="Times New Roman" w:eastAsia="Times New Roman" w:hAnsi="Times New Roman"/>
          <w:sz w:val="18"/>
          <w:szCs w:val="18"/>
          <w:color w:val="auto"/>
        </w:rPr>
      </w:pPr>
    </w:p>
    <w:p>
      <w:pPr>
        <w:ind w:left="300" w:right="40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and the ability to collect on the accounts receivable of our customers;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changes in accounting rules and regulations, or modifications to our accounting policies;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300" w:right="620" w:hanging="292"/>
        <w:spacing w:after="0" w:line="282"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investment in life sciences and research industries, our business operations, and resources and operations of our customers, suppliers, and distributors;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and</w:t>
      </w:r>
    </w:p>
    <w:p>
      <w:pPr>
        <w:spacing w:after="0" w:line="171" w:lineRule="exact"/>
        <w:rPr>
          <w:rFonts w:ascii="Times New Roman" w:cs="Times New Roman" w:eastAsia="Times New Roman" w:hAnsi="Times New Roman"/>
          <w:sz w:val="18"/>
          <w:szCs w:val="18"/>
          <w:color w:val="auto"/>
        </w:rPr>
      </w:pPr>
    </w:p>
    <w:p>
      <w:pPr>
        <w:ind w:left="300" w:right="100" w:hanging="292"/>
        <w:spacing w:after="0" w:line="282"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such as inflation, tariffs and trade relations, interest rates, bank failures and other factors, including factors unrelated to our operating performance or the operating performance of our competitors.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the Proteograph Product Suite may be smaller or different from estimated, and new market opportunities may not develop as quickly as we expect, or at all, limiting our ability to successfully sell our products.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including as a result of the impact of artificial intelligence (AI).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early stages of commercialization, and we may not be able to commercialize the Proteograph Product Suite as planned.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only recently initiated the broad commercialization of the Proteograph Product Suite and related products and services, and we may not be able to successfully execute on this phase as planned due to:</w:t>
      </w:r>
    </w:p>
    <w:p>
      <w:pPr>
        <w:spacing w:after="0" w:line="108" w:lineRule="exact"/>
        <w:rPr>
          <w:sz w:val="20"/>
          <w:szCs w:val="20"/>
          <w:color w:val="auto"/>
        </w:rPr>
      </w:pPr>
    </w:p>
    <w:p>
      <w:pPr>
        <w:ind w:left="300" w:right="380" w:hanging="292"/>
        <w:spacing w:after="0" w:line="282"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the capabilities and value proposition of the Proteograph Product Suite with key opinion leaders and other customers in a timely fashion;</w:t>
      </w:r>
    </w:p>
    <w:p>
      <w:pPr>
        <w:spacing w:after="0" w:line="107" w:lineRule="exact"/>
        <w:rPr>
          <w:rFonts w:ascii="Times New Roman" w:cs="Times New Roman" w:eastAsia="Times New Roman" w:hAnsi="Times New Roman"/>
          <w:sz w:val="18"/>
          <w:szCs w:val="18"/>
          <w:color w:val="auto"/>
        </w:rPr>
      </w:pPr>
    </w:p>
    <w:p>
      <w:pPr>
        <w:ind w:left="300" w:right="460" w:hanging="292"/>
        <w:spacing w:after="0" w:line="266"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spacing w:after="0" w:line="12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industry or market conditions, customer requirements or competitor offerings during broad commercialization;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continuing the build-out of our sales, customer support and marketing organization as needed for broad commercialization;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ramping up manufacturing, either internally or through our suppliers, to meet the expected demand for broad commercialization; and</w:t>
      </w:r>
    </w:p>
    <w:p>
      <w:pPr>
        <w:spacing w:after="0" w:line="171" w:lineRule="exact"/>
        <w:rPr>
          <w:rFonts w:ascii="Times New Roman" w:cs="Times New Roman" w:eastAsia="Times New Roman" w:hAnsi="Times New Roman"/>
          <w:sz w:val="18"/>
          <w:szCs w:val="18"/>
          <w:color w:val="auto"/>
        </w:rPr>
      </w:pPr>
    </w:p>
    <w:p>
      <w:pPr>
        <w:ind w:left="300" w:right="260" w:hanging="292"/>
        <w:spacing w:after="0" w:line="282" w:lineRule="auto"/>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and research industries, our business operations, and resources and the operations of our customers, suppliers and supply chain, and distributors.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our broad commercial release phase is unsuccessful, our financial results will be adversely impacted.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execute on our commercialization plan, our success depends on broad scientific and market acceptance of the Proteograph Product Suite, which we may fail to achieve.</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in achieving commercial market acceptance, include:</w:t>
      </w:r>
    </w:p>
    <w:p>
      <w:pPr>
        <w:spacing w:after="0" w:line="171" w:lineRule="exact"/>
        <w:rPr>
          <w:sz w:val="20"/>
          <w:szCs w:val="20"/>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increase awareness of the capabilities of the Proteograph Product Suite;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Proteograph Product Suite to perform intended use applications broadly in the hands of customers;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products and workflows;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Proteograph’s ease of use and whether it reliably provides advantages over other alternative technologies;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the Proteograph Product Suite by academic institutions, laboratories, biopharmaceutical companies and others;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the Proteograph Product Suite;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services and solutions that achieve commercial market acceptance;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and commercialize products that perform similar functions as the Proteograph;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sales force is less successful than anticipated, we may not be successful in commercializing the Proteograph Product Suite.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will face a number of risks, including:</w:t>
      </w:r>
    </w:p>
    <w:p>
      <w:pPr>
        <w:spacing w:after="0" w:line="129" w:lineRule="exact"/>
        <w:rPr>
          <w:sz w:val="20"/>
          <w:szCs w:val="20"/>
          <w:color w:val="auto"/>
        </w:rPr>
      </w:pPr>
    </w:p>
    <w:p>
      <w:pPr>
        <w:ind w:left="300" w:right="520" w:hanging="292"/>
        <w:spacing w:after="0" w:line="282"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customer service and support force necessary to commercialize and gain market acceptance for our technology;</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customer service and support force may be unable to initiate and execute successful commercialization activities.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Proteograph Product Suite is successfully commercialized and achieves broad scientific and market acceptance, if we fail to improve it or introduce compelling new products and services, our revenues and our prospects could be harmed.</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epidemics could adversely impact our business and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spacing w:after="0" w:line="126" w:lineRule="exact"/>
        <w:rPr>
          <w:sz w:val="20"/>
          <w:szCs w:val="20"/>
          <w:color w:val="auto"/>
        </w:rPr>
      </w:pPr>
    </w:p>
    <w:p>
      <w:pPr>
        <w:ind w:left="300" w:right="120" w:hanging="292"/>
        <w:spacing w:after="0" w:line="282"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capacity or shutdowns of laboratories and other institutions as well as reduced or delayed spending on instruments and consumables as a result of shutdowns and delays;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and</w:t>
      </w:r>
    </w:p>
    <w:p>
      <w:pPr>
        <w:spacing w:after="0" w:line="171" w:lineRule="exact"/>
        <w:rPr>
          <w:rFonts w:ascii="Times New Roman" w:cs="Times New Roman" w:eastAsia="Times New Roman" w:hAnsi="Times New Roman"/>
          <w:sz w:val="18"/>
          <w:szCs w:val="18"/>
          <w:color w:val="auto"/>
        </w:rPr>
      </w:pPr>
    </w:p>
    <w:p>
      <w:pPr>
        <w:ind w:left="300" w:right="20" w:hanging="292"/>
        <w:spacing w:after="0" w:line="266"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and SP200 automation instruments, Hamilton Company, and could worsen over time. Any of these occurrences, and any new epidemics, could significantly harm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ability to raise capital and our business, results of operations and financial condition.</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Additionally, there is ongoing uncertainty regarding the current administration’s economic and other policies and priorities, such as potential changes in trade restrictions or relationships, tariffs and exchange controls, and potential retaliatory tariffs by other countries. Any of the foregoing could harm our business, and we cannot anticipate all of the ways in which the current economic climate and financial market conditions could adversely impact our ability to raise capital, business, results of operations, and financial condition, and cause the stock price of our Class A common stock to decline.</w:t>
      </w:r>
    </w:p>
    <w:p>
      <w:pPr>
        <w:spacing w:after="0" w:line="13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impair our ability to access our cash, cash equivalents and investments and to timely meet our financial obligations to our vendors and others.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Federal Deposit Insurance Corporation or Securities Investor Protection Corporation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growth or financial resources, our business and prospects will be harmed.</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including with respect to H-1B visas, could restrain the flow of technical and professional talent into the United States and may inhibit our ability to hire qualified personnel.</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be dependent upon revenue generated from the sale of the Proteograph Product Suite and related services for the foreseeable future.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including as a result of AI,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have been concentrated in a small number of customers.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are in the early stages of our commercialization plan and our revenues have been concentrated in a relatively small number of customers, including a related party, PrognomiQ. For the nine months ended September 30, 2025, no single customer accounted for 10% or more of our revenue. For the nine months ended September 30, 2024, there was one customer, PrognomiQ, that accounted for 20% of our revenue.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cs="Times New Roman" w:eastAsia="Times New Roman" w:hAnsi="Times New Roman"/>
          <w:sz w:val="18"/>
          <w:szCs w:val="18"/>
          <w:i w:val="1"/>
          <w:iCs w:val="1"/>
          <w:color w:val="auto"/>
        </w:rPr>
        <w:t>- Revenue and Deferred Revenue</w:t>
      </w:r>
      <w:r>
        <w:rPr>
          <w:rFonts w:ascii="Times New Roman" w:cs="Times New Roman" w:eastAsia="Times New Roman" w:hAnsi="Times New Roman"/>
          <w:sz w:val="18"/>
          <w:szCs w:val="18"/>
          <w:color w:val="auto"/>
        </w:rPr>
        <w:t xml:space="preserve"> and Note 10 - </w:t>
      </w:r>
      <w:r>
        <w:rPr>
          <w:rFonts w:ascii="Times New Roman" w:cs="Times New Roman" w:eastAsia="Times New Roman" w:hAnsi="Times New Roman"/>
          <w:sz w:val="18"/>
          <w:szCs w:val="18"/>
          <w:i w:val="1"/>
          <w:iCs w:val="1"/>
          <w:color w:val="auto"/>
        </w:rPr>
        <w:t xml:space="preserve">Related Party Transactions </w:t>
      </w:r>
      <w:r>
        <w:rPr>
          <w:rFonts w:ascii="Times New Roman" w:cs="Times New Roman" w:eastAsia="Times New Roman" w:hAnsi="Times New Roman"/>
          <w:sz w:val="18"/>
          <w:szCs w:val="18"/>
          <w:color w:val="auto"/>
        </w:rPr>
        <w:t>to our notes to financial statements included in Part I, Item 1, herein for further information regarding our relationship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PrognomiQ.</w:t>
      </w:r>
    </w:p>
    <w:p>
      <w:pPr>
        <w:spacing w:after="0" w:line="13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w:t>
      </w:r>
    </w:p>
    <w:p>
      <w:pPr>
        <w:spacing w:after="0" w:line="126" w:lineRule="exact"/>
        <w:rPr>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1"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right="240" w:hanging="292"/>
        <w:spacing w:after="0" w:line="282" w:lineRule="auto"/>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and funding by commercial companies in their efforts around therapeutic and diagnostic product development and their adoption and use of the Proteograph Product Suite;</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in the scientific community, including researchers’ opinions of the utility of the Proteograph solution;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of the Proteograph Product Suite in published research;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 especially government- or grant-funded customers, whose cycles often coincide with government fiscal year ends;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or service offerings or pricing;</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the Proteograph Product Suite.</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Recently, budget cuts and layoffs at various federal agencies and programs, including at the National Institute of Health (NIH), have created uncertainty and led to budget cuts at various research organizations and institutes that rely on NIH funding.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3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due to tariffs, trade restrictions, or other reasons, our business and commercialization efforts would be harmed.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w:t>
      </w:r>
    </w:p>
    <w:p>
      <w:pPr>
        <w:spacing w:after="0" w:line="12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products, and we may be unable to consistently manufacture or source our SP100 and SP200 automation instruments and consumables to the necessary specifications or in quantities necessary to meet demand on a timely basis and at acceptable performance and cost levels.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and SP200 automation instruments so that they consistently achieve the product specifications and produce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defects or errors, which may give rise to claims against us, adversely affect market adoption of the Proteograph Product Suite, damage our reputation, and adversely affect our business, financial condition, and results of operations.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manufacturing the Proteograph Product Suite, we depend upon third parties for the supply of our instruments and various components, many of which require a significant degree of technical expertise to produce. If our suppliers fail to produce our SP100 and SP200 automation instruments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Proteograph Product Suite contains defects, we may experience:</w:t>
      </w:r>
    </w:p>
    <w:p>
      <w:pPr>
        <w:spacing w:after="0" w:line="171" w:lineRule="exact"/>
        <w:rPr>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for the Proteograph or expansion of the Proteograph Product Suite sales;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and customer service and support costs due to product repair or replacement;</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to our service department; and</w:t>
      </w:r>
    </w:p>
    <w:p>
      <w:pPr>
        <w:spacing w:after="0" w:line="171" w:lineRule="exact"/>
        <w:rPr>
          <w:rFonts w:ascii="Times New Roman" w:cs="Times New Roman" w:eastAsia="Times New Roman" w:hAnsi="Times New Roman"/>
          <w:sz w:val="18"/>
          <w:szCs w:val="18"/>
          <w:color w:val="auto"/>
        </w:rPr>
      </w:pPr>
    </w:p>
    <w:p>
      <w:pPr>
        <w:ind w:left="300" w:right="40" w:hanging="292"/>
        <w:spacing w:after="0" w:line="282"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hazardous material or environmental compliance claims, which could be costly and time consuming to defend and result in substantial damages.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12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risks related to using, handling, storing, importing, exporting, and transferring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1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and will continue to spend significant amounts of effort continuing to develop our software to meet our customers’ and potential customers’ evolving needs, including as a result of AI.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1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300" w:right="160" w:hanging="292"/>
        <w:spacing w:after="0" w:line="261"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25" w:lineRule="exact"/>
        <w:rPr>
          <w:rFonts w:ascii="Times New Roman" w:cs="Times New Roman" w:eastAsia="Times New Roman" w:hAnsi="Times New Roman"/>
          <w:sz w:val="18"/>
          <w:szCs w:val="18"/>
          <w:color w:val="auto"/>
        </w:rPr>
      </w:pPr>
    </w:p>
    <w:p>
      <w:pPr>
        <w:ind w:left="300" w:right="280" w:hanging="292"/>
        <w:spacing w:after="0" w:line="282"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U.S. Foreign Corrupt Practices Act (FCPA), and other U.S. federal laws and regulations, including with respect to not doing business with sanctioned parties, as prohibited by the office of Foreign Asset Control;</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 including, without limitation, with respect to biological samples, and trade retaliation laws;</w:t>
      </w:r>
    </w:p>
    <w:p>
      <w:pPr>
        <w:spacing w:after="0" w:line="171" w:lineRule="exact"/>
        <w:rPr>
          <w:rFonts w:ascii="Times New Roman" w:cs="Times New Roman" w:eastAsia="Times New Roman" w:hAnsi="Times New Roman"/>
          <w:sz w:val="18"/>
          <w:szCs w:val="18"/>
          <w:color w:val="auto"/>
        </w:rPr>
      </w:pPr>
    </w:p>
    <w:p>
      <w:pPr>
        <w:ind w:left="300" w:right="360" w:hanging="292"/>
        <w:spacing w:after="0" w:line="282"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both inbound and outbound cross-border investment, including enhanced oversight by the Committee on Foreign Investment in the United States (CFIUS) and substantial restrictions on investment from China;</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300" w:right="200" w:hanging="292"/>
        <w:spacing w:after="0" w:line="282"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transactions or payments denominated in foreign currency, longer payment cycles and difficulties in enforcing agreements and collecting receivables through certain foreign legal systems;</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300" w:right="140" w:hanging="292"/>
        <w:spacing w:after="0" w:line="266" w:lineRule="auto"/>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w:t>
      </w:r>
    </w:p>
    <w:p>
      <w:pPr>
        <w:spacing w:after="0" w:line="121"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consequences associated with tariffs, changes in trade restrictions or relationships, potential retaliatory tariffs and actions from other countries, customs charges, bureaucratic requirements, and other trade barriers;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operations and business may be negatively affected.</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4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addition, although we intend to require contract terms obligating our distributors to comply with all applicable laws regarding the sale of our products, including regulatory labeling, protection of personal data, U.S. export regulations and the FCPA, we may not be able to ensure proper compliance. If our distributors fail to effectively market and sell our products in full compliance with applicable laws and regulations, our results of operations and business may suffer.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operations will suffer.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Bio-Techne, Bruker, Danaher, DiaSorin, and Thermo Fisher Scientific. We also compete with a number of companies that have developed, or are developing, proteomic products and solutions, such as Alamar Biosciences, Nautilus Biotechnology, Quanterix, Quantum-Si and Standard BioTools.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may enjoy a number of competitive advantages over us, including:</w:t>
      </w:r>
    </w:p>
    <w:p>
      <w:pPr>
        <w:spacing w:after="0" w:line="108" w:lineRule="exact"/>
        <w:rPr>
          <w:sz w:val="20"/>
          <w:szCs w:val="20"/>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including through the use of AI,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We will consider raising additional capital in the future to expand our business, to pursue strategic investments, to take advantage of financing opportunities or for other reasons, including:</w:t>
      </w:r>
    </w:p>
    <w:p>
      <w:pPr>
        <w:spacing w:after="0" w:line="108" w:lineRule="exact"/>
        <w:rPr>
          <w:sz w:val="20"/>
          <w:szCs w:val="20"/>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the Proteograph Product Suite;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the Proteograph Product Suite or any other future products;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investing in technologies and other intellectual property rights;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businesses or assets;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300" w:right="180" w:hanging="292"/>
        <w:spacing w:after="0" w:line="282" w:lineRule="auto"/>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commercializing the Proteograph Product Suite and new products, and the cost of the sales and marketing activities associated with establishing adoption of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spacing w:after="0" w:line="13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spacing w:after="0" w:line="12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PrognomiQ as a separate healthcare company in the area of disease testing.</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the Company purchased $10.0 million of PrognomiQ's Series D Preferred Stock. Subsequently, on July 31, 2025, the Company made an additional $1.9 million investment in the same series. As of September 30, 2025, we held approximately 24% of the outstanding capital stock of PrognomiQ. We may not realize the potential benefits of forming PrognomiQ for a variety of reasons, including:</w:t>
      </w:r>
    </w:p>
    <w:p>
      <w:pPr>
        <w:spacing w:after="0" w:line="133" w:lineRule="exact"/>
        <w:rPr>
          <w:sz w:val="20"/>
          <w:szCs w:val="20"/>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be unable to successfully develop viable testing products;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PrognomiQ’s business may not help demonstrate the value of the Proteograph;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reach agreement with PrognomiQ on future commercial arrangements;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need to raise additional funding in the future and be unable to do so; and</w:t>
      </w:r>
    </w:p>
    <w:p>
      <w:pPr>
        <w:spacing w:after="0" w:line="171" w:lineRule="exact"/>
        <w:rPr>
          <w:rFonts w:ascii="Times New Roman" w:cs="Times New Roman" w:eastAsia="Times New Roman" w:hAnsi="Times New Roman"/>
          <w:sz w:val="18"/>
          <w:szCs w:val="18"/>
          <w:color w:val="auto"/>
        </w:rPr>
      </w:pPr>
    </w:p>
    <w:p>
      <w:pPr>
        <w:ind w:left="300" w:right="800" w:hanging="292"/>
        <w:spacing w:after="0" w:line="282" w:lineRule="auto"/>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PrognomiQ and our continuing equity position in PrognomiQ may add complexities to our business from a finance, tax and accounting perspective.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Reporting</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2024,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Class A common stock.</w:t>
      </w:r>
    </w:p>
    <w:p>
      <w:pPr>
        <w:spacing w:after="0" w:line="13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17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products are labeled, promoted, and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FDA will begin to enforce the QMSR requirements upon the effective date, February 2, 2026.</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In 2023,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Legislative and administrative proposals to amend the FDA's oversight of LDTs have been introduced in recent years, including the Verifying Accurate Leading-edge IVCT Development Act of 2021 (VALID Act). In May 2024, the FDA published a final rule to regulate LDTs, which was vacated by the Texas district court in March 2025, clarifying that, while the FDA has jurisdiction to regulate diagnostic products, or tangible goods, the FDA does not have authority to regulate professional services performed by CLIA certified laboratories and regulated professionals. In June 2024, the U.S. Supreme Court overruled the case that established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the LDT final rule and other rules and policies of the FDA. We cannot predict the outcome of these judicial challenges or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There is significant uncertainty in the life sciences industry due to the current government shutdown, layoffs and staff departures at the federal agencies, like the FDA, tariffs, and funding cuts for research, which can have a material effect on the operations of our customers and their demand for our products.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It is unclear how future legislation, executive orders, new regulations, and other actions by federal and state governments, including changes in the leadership of FDA and other federal agencies, will impact the industry, including our business and that of our customers. Budget cuts to research and at federal agencies, layoffs at federal agencies, hiring freezes, return-to-office policies, the current government shutdown, lapse in government appropriations and other measures taken by the current administration, including measures by the Department of Government Efficiency, can have a material impact on our industry, including the business of our customers and our operations.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operations and prospects in various geographies.</w:t>
      </w:r>
    </w:p>
    <w:p>
      <w:pPr>
        <w:spacing w:after="0" w:line="13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limited precedent for the court, increasing the uncertainty of any patent litigation in Europe.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or services could be found invalid or unenforceable if challenged.</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For example, on October 7, 2024, PreOmics GmbH and Biognosys AG filed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(Case No. IPR2024-01473), challenging the validity of select claims of U.S. Patent No. 11,435,360 (the “’360 patent”), which is exclusively licensed from The Brigham and Women’s Hospital, Inc. (BWH); and on April 17, 2025, the Patent Trial and Appeal Board (PTAB) of the USPTO instituted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certain claims. The petition alleges, among other things, the challenged claims are invalid for anticipation or obviousness over the prior art. In Germany, an anonymous third party initiated a nullity action against European Patent EP3554681 and a cancellation request against Utility Model Patent No. 202017007363 on November 18, 2024 and January 13, 2025, respectively, which patents are exclusively licensed from BWH. These actions allege, among other things, that the patents are invalid for lack of novelty and inventive step over the prior art. Furthermore, on May 27, 2025, an anonymous third party filed an Opposition to European Patent 4,056,263, which is exclusively licensed from BWH, alleging, among other things, that the patent is invalid for lack of novelty and inventive step. These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relied and expect to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alleging,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services and technologies, including the Proteograph Product Suite for an adequate amount of time.</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patent and pending patent application in Europe owned by a third party directed to a method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or other foreign patent offices review the patent claims, such as in an </w:t>
      </w:r>
      <w:r>
        <w:rPr>
          <w:rFonts w:ascii="Times New Roman" w:cs="Times New Roman" w:eastAsia="Times New Roman" w:hAnsi="Times New Roman"/>
          <w:sz w:val="17"/>
          <w:szCs w:val="17"/>
          <w:i w:val="1"/>
          <w:iCs w:val="1"/>
          <w:color w:val="auto"/>
        </w:rPr>
        <w:t>ex-parte</w:t>
      </w:r>
      <w:r>
        <w:rPr>
          <w:rFonts w:ascii="Times New Roman" w:cs="Times New Roman" w:eastAsia="Times New Roman" w:hAnsi="Times New Roman"/>
          <w:sz w:val="17"/>
          <w:szCs w:val="17"/>
          <w:color w:val="auto"/>
        </w:rPr>
        <w:t xml:space="preserv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proceeding, opposition or other comparable proceeding.</w:t>
      </w:r>
    </w:p>
    <w:p>
      <w:pPr>
        <w:spacing w:after="0" w:line="3"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auto"/>
        </w:rPr>
        <w:t>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advisors or independent contractors may have wrongfully used or disclosed, or may in the future wrongfully use or disclose, confidential information or alleged trade secrets of ours, third parties or former employers of theirs.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and engaged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spacing w:after="0" w:line="13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71" w:lineRule="exact"/>
        <w:rPr>
          <w:rFonts w:ascii="Times New Roman" w:cs="Times New Roman" w:eastAsia="Times New Roman" w:hAnsi="Times New Roman"/>
          <w:sz w:val="18"/>
          <w:szCs w:val="18"/>
          <w:color w:val="auto"/>
        </w:rPr>
      </w:pPr>
    </w:p>
    <w:p>
      <w:pPr>
        <w:ind w:left="300" w:right="480" w:hanging="292"/>
        <w:spacing w:after="0" w:line="282" w:lineRule="auto"/>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technology and processes infringe on intellectual property of the licensor that is not subject to the licensing agreement;</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or services in the future.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39"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300" w:right="8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or services that are similar to products and technologies we may develop or utilize similar technology that are not covered by the claims of the patents that we own or license now or in the future;</w:t>
      </w:r>
    </w:p>
    <w:p>
      <w:pPr>
        <w:spacing w:after="0" w:line="107" w:lineRule="exact"/>
        <w:rPr>
          <w:rFonts w:ascii="Times New Roman" w:cs="Times New Roman" w:eastAsia="Times New Roman" w:hAnsi="Times New Roman"/>
          <w:sz w:val="18"/>
          <w:szCs w:val="18"/>
          <w:color w:val="auto"/>
        </w:rPr>
      </w:pPr>
    </w:p>
    <w:p>
      <w:pPr>
        <w:ind w:left="300" w:right="2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left="300" w:right="44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07" w:lineRule="exact"/>
        <w:rPr>
          <w:rFonts w:ascii="Times New Roman" w:cs="Times New Roman" w:eastAsia="Times New Roman" w:hAnsi="Times New Roman"/>
          <w:sz w:val="18"/>
          <w:szCs w:val="18"/>
          <w:color w:val="auto"/>
        </w:rPr>
      </w:pPr>
    </w:p>
    <w:p>
      <w:pPr>
        <w:ind w:left="300" w:right="14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and our licensed pending patent applications, or those that we may own or license in the future, will not lead to issued patents;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left="300" w:right="54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left="300" w:right="340" w:hanging="292"/>
        <w:spacing w:after="0" w:line="282" w:lineRule="auto"/>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sustained.</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2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listing requirements of the Nasdaq Global Select Market, we may be delisted and the price of our Class A common stock and our ability to access the capital markets could be negatively impacted.</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fail to satisfy one or more of the Nasdaq Global Select Market requirements for continued listing of our Class A common stock in the future. For example, on July 7, 2025, we notified The Nasdaq Stock Market LLC (Nasdaq) that following our 2025 annual meeting of stockholders, we would no longer be in compliance with the Nasdaq Listing Rule 5605(c)(2)(A), which requires that (i) the Audit Committee of the Board be composed of at least three members, and (ii) that one member of the Audit Committee qualifies as an “audit committee financial expert” under Item 407(d)(5)(iii) of Regulation S-K. During such period of noncompliance, we relied on the cure period provided by the Nasdaq Listing Rule 5605(c)(4)(B). On September 2, 2025, the Board appointed Isaac Ro to serve on the Audit Committee and determined that he met the requirements to qualify as the “audit committee financial expert” under Item 407(d)(5)(ii) of Regulation S-K. We believe that Mr. Ro’s appointment resolved any potential non-compliance with the applicable Nasdaq Listing Rules.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launch and commercialization of our products meets the expectations of securities analysts and investors;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being less than anticipated or operating expenses being more than anticipated;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300" w:right="38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left="300" w:right="320" w:hanging="292"/>
        <w:spacing w:after="0" w:line="266"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strategies that may drive down the price of our Class A common stock;</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300" w:right="22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sales of our Class A common stock or Class B common stock by our insiders or other stockholders, or future stock issuances;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solvency of financial institutions with which we have financial deposits or investments in excess of insurance limits;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changes in tariffs or trade restrictions or relationships;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natural disasters or major catastrophic events.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may become the target of securities litigation or shareholder activism in the future which could result in substantial costs and divert management’s attention and resources from our business.</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0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Class A common stock, which is our publicly-traded class of stock, has one vote per share, and our Class B common stock has ten votes per share, except as otherwise required by law. Our Class B common stock is held by our founders and early investors. As of October 31, 2025, the holders of our Class B common stock hold in the aggregate 43.8 % of the voting power of our capital stock, which may increase from time to time.</w:t>
      </w:r>
    </w:p>
    <w:p>
      <w:pPr>
        <w:spacing w:after="0" w:line="12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is set to automatically convert into Class A common stock on December 9, 2025. On October 10, 2025, the Company filed a preliminary proxy statement with the SEC to seek stockholder approval of a proposed amendment to the Company's certificate of incorporation that would extend the automatic conversion date of the Class B common stock to December 9, 2030. On November 5, 2025, the Company determined to not pursue this action further and allow the Class B common stock to automatically convert into Class A common stock pursuant to the Company’s current certificate of incorporation, due to being informed by Nasdaq of its position, in a departure from recent precedent and related guidance, that the proposed amendment would violate Nasdaq’s listing standards. The conversion of Class B common stock to Class A common stock will have the effect, over time, of increasing the relative voting power of those individual holders of Class B common stock who retain their shares over the long term.</w:t>
      </w:r>
    </w:p>
    <w:p>
      <w:pPr>
        <w:spacing w:after="0" w:line="14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analysts, including securities analysts do not publish research or reports about our business or if they publish negative evaluations of our Class A common stock, the price of our Class A common stock could decline.</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Class A common stock or that we will repurchase shares at favorable prices.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Repurchasing our Class A common stock reduces the amount of cash we have available, and we may fail to realize the anticipated long-term stockholder value of any share repurchase program.</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30" w:lineRule="exact"/>
        <w:rPr>
          <w:sz w:val="20"/>
          <w:szCs w:val="20"/>
          <w:color w:val="auto"/>
        </w:rPr>
      </w:pPr>
    </w:p>
    <w:p>
      <w:pPr>
        <w:jc w:val="both"/>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26" w:lineRule="exact"/>
        <w:rPr>
          <w:sz w:val="20"/>
          <w:szCs w:val="20"/>
          <w:color w:val="auto"/>
        </w:rPr>
      </w:pPr>
    </w:p>
    <w:p>
      <w:pPr>
        <w:ind w:left="300" w:right="20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would result in a change in control of our company requires the approval of a majority of our outstanding Class B common stock voting as a separate class;</w:t>
      </w:r>
    </w:p>
    <w:p>
      <w:pPr>
        <w:spacing w:after="0" w:line="107" w:lineRule="exact"/>
        <w:rPr>
          <w:rFonts w:ascii="Times New Roman" w:cs="Times New Roman" w:eastAsia="Times New Roman" w:hAnsi="Times New Roman"/>
          <w:sz w:val="18"/>
          <w:szCs w:val="18"/>
          <w:color w:val="auto"/>
        </w:rPr>
      </w:pPr>
    </w:p>
    <w:p>
      <w:pPr>
        <w:ind w:left="300" w:right="120" w:hanging="292"/>
        <w:spacing w:after="0" w:line="266"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1" w:lineRule="exact"/>
        <w:rPr>
          <w:rFonts w:ascii="Times New Roman" w:cs="Times New Roman" w:eastAsia="Times New Roman" w:hAnsi="Times New Roman"/>
          <w:sz w:val="18"/>
          <w:szCs w:val="18"/>
          <w:color w:val="auto"/>
        </w:rPr>
      </w:pPr>
    </w:p>
    <w:p>
      <w:pPr>
        <w:ind w:left="300" w:right="46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300" w:right="8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our amended and restated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only be able to take action at a meeting of stockholders and may not be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able to act by written consent only if the action is first recommended or approved by the board of directors;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may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left="300" w:right="64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the board of directors, chief executive officer or a majority of the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right="320" w:hanging="292"/>
        <w:spacing w:after="0" w:line="282"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left="300" w:right="480" w:hanging="292"/>
        <w:spacing w:after="0" w:line="282"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 and changes to U.S. tax laws may cause us to make adjustments to our financial statements.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of December 31, 2024, we had U.S. federal and state net operating loss carryforwards (NOLs) of $182.3 million and $185.7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U.S. federal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 For example,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increased costs and management resources as a result of operating as a public company.</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and/or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matters are subject to evolving expectations from customers, regulators, investors and other stakeholders and may expose us to reputational, cost and other risks.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Companies across all industries are subject to evolving expectations regarding ESG matters. Failure to implement the appropriate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29"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facilities in Redwood City and those of our third-party manufacturers are vulnerable to natural disasters, public health crises, including the impact of health epidemics,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vendors, partners or customers, experience a significant disruption in our information technology systems or breaches of data security, our business could be adversely affected.</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software bugs and technical errors, and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technical errors and cybersecurity attacks than if such security procedures were finalized. Despite any of our current or future efforts to protect against technical errors, cybersecurity attacks and data security breaches, there is no guarantee that our efforts are adequate to safeguard against all such errors,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our security measures, or those of our vendors, partners and customers, are compromised due to any technical errors,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technical errors,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incidents could compromise our customers’ networks and the information stored there could be accessed, publicly disclosed, lost or stolen.</w:t>
      </w:r>
    </w:p>
    <w:p>
      <w:pPr>
        <w:spacing w:after="0" w:line="13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the California Privacy Rights Act (CPRA), which went into effect on January 1, 2023,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month-to-month summary of information with respect to purchases of Class A common stock made during the three months ended September 30, 2025: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(in</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thousands) of</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16"/>
                <w:szCs w:val="16"/>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35"/>
        </w:trPr>
        <w:tc>
          <w:tcPr>
            <w:tcW w:w="5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(2)</w:t>
            </w:r>
          </w:p>
        </w:tc>
        <w:tc>
          <w:tcPr>
            <w:tcW w:w="220" w:type="dxa"/>
            <w:vAlign w:val="bottom"/>
          </w:tcPr>
          <w:p>
            <w:pPr>
              <w:spacing w:after="0"/>
              <w:rPr>
                <w:sz w:val="11"/>
                <w:szCs w:val="11"/>
                <w:color w:val="auto"/>
              </w:rPr>
            </w:pPr>
          </w:p>
        </w:tc>
        <w:tc>
          <w:tcPr>
            <w:tcW w:w="120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or Programs </w:t>
            </w:r>
            <w:r>
              <w:rPr>
                <w:rFonts w:ascii="Times New Roman" w:cs="Times New Roman" w:eastAsia="Times New Roman" w:hAnsi="Times New Roman"/>
                <w:sz w:val="15"/>
                <w:szCs w:val="15"/>
                <w:b w:val="1"/>
                <w:bCs w:val="1"/>
                <w:color w:val="auto"/>
                <w:vertAlign w:val="superscript"/>
              </w:rPr>
              <w:t>(3)</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41"/>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or Programs </w:t>
            </w:r>
            <w:r>
              <w:rPr>
                <w:rFonts w:ascii="Times New Roman" w:cs="Times New Roman" w:eastAsia="Times New Roman" w:hAnsi="Times New Roman"/>
                <w:sz w:val="15"/>
                <w:szCs w:val="15"/>
                <w:b w:val="1"/>
                <w:bCs w:val="1"/>
                <w:color w:val="auto"/>
                <w:vertAlign w:val="superscript"/>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July 31</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1,006,400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3" w:lineRule="exact"/>
        <w:rPr>
          <w:sz w:val="20"/>
          <w:szCs w:val="20"/>
          <w:color w:val="auto"/>
        </w:rPr>
      </w:pPr>
    </w:p>
    <w:p>
      <w:pPr>
        <w:ind w:left="300" w:hanging="292"/>
        <w:spacing w:after="0"/>
        <w:tabs>
          <w:tab w:leader="none" w:pos="30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shares of Class A common stock were retired upon repurchase.</w:t>
      </w:r>
    </w:p>
    <w:p>
      <w:pPr>
        <w:spacing w:after="0" w:line="16" w:lineRule="exact"/>
        <w:rPr>
          <w:rFonts w:ascii="Times New Roman" w:cs="Times New Roman" w:eastAsia="Times New Roman" w:hAnsi="Times New Roman"/>
          <w:sz w:val="19"/>
          <w:szCs w:val="19"/>
          <w:color w:val="auto"/>
          <w:vertAlign w:val="superscript"/>
        </w:rPr>
      </w:pPr>
    </w:p>
    <w:p>
      <w:pPr>
        <w:ind w:left="300" w:hanging="292"/>
        <w:spacing w:after="0" w:line="189" w:lineRule="auto"/>
        <w:tabs>
          <w:tab w:leader="none" w:pos="30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is calculated on a settlement basis and excludes broker commissions and excise tax.</w:t>
      </w:r>
    </w:p>
    <w:p>
      <w:pPr>
        <w:spacing w:after="0" w:line="3" w:lineRule="exact"/>
        <w:rPr>
          <w:rFonts w:ascii="Times New Roman" w:cs="Times New Roman" w:eastAsia="Times New Roman" w:hAnsi="Times New Roman"/>
          <w:sz w:val="19"/>
          <w:szCs w:val="19"/>
          <w:color w:val="auto"/>
          <w:vertAlign w:val="superscript"/>
        </w:rPr>
      </w:pPr>
    </w:p>
    <w:p>
      <w:pPr>
        <w:ind w:left="300" w:right="400" w:hanging="292"/>
        <w:spacing w:after="0" w:line="202" w:lineRule="auto"/>
        <w:tabs>
          <w:tab w:leader="none" w:pos="30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3, 2024, the Company’s Board of Directors approved the Share Repurchase Program under which the Company is authorized to purchase up to $25.0 million of its issued and outstanding Class A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August 8, 2025, Deep Nishar, a member of the Board of Directors of the Company, entered into a Rule 10b5-1 trading plan. Mr. Nishar’s plan provides for the sale from time to time of an aggregate of up to 15,831 shares of Class A common stock. The trading plan will expire on July 31, 2026, or earlier if all transactions under the trading plan are completed. Mr. Nishar’s trading plan was entered into during an open insider trading window and is intended to satisfy the affirmative defense of Rule 10b5-1(c) under the Exchange Act and the Company’s policies regarding insider transactions.</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than as disclosed above, no other director or officer, as defined in Rule 16a-1(f) under the Exchange Act, adopted or terminated a “Rule 10b5-1 trading arrangement” or “non-Rule 10b5-1 trading arrangement,” each as defined in Item 408 of Regulation S-K, during the quarter ended September 30, 2025.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gridSpan w:val="8"/>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479"/>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4"/>
                <w:szCs w:val="24"/>
                <w:color w:val="auto"/>
              </w:rPr>
            </w:pPr>
          </w:p>
        </w:tc>
        <w:tc>
          <w:tcPr>
            <w:tcW w:w="5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8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10"/>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4"/>
                <w:szCs w:val="24"/>
                <w:color w:val="auto"/>
              </w:rPr>
            </w:pPr>
          </w:p>
        </w:tc>
        <w:tc>
          <w:tcPr>
            <w:tcW w:w="5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w:t>
            </w:r>
          </w:p>
        </w:tc>
        <w:tc>
          <w:tcPr>
            <w:tcW w:w="6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8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10"/>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4"/>
                <w:szCs w:val="24"/>
                <w:color w:val="auto"/>
              </w:rPr>
            </w:pPr>
          </w:p>
        </w:tc>
        <w:tc>
          <w:tcPr>
            <w:tcW w:w="5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w:t>
            </w:r>
          </w:p>
        </w:tc>
        <w:tc>
          <w:tcPr>
            <w:tcW w:w="18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320" w:type="dxa"/>
            <w:vAlign w:val="bottom"/>
            <w:gridSpan w:val="6"/>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3"/>
              </w:rPr>
              <w:t>2002.</w:t>
            </w:r>
          </w:p>
        </w:tc>
        <w:tc>
          <w:tcPr>
            <w:tcW w:w="20" w:type="dxa"/>
            <w:vAlign w:val="bottom"/>
            <w:tcBorders>
              <w:bottom w:val="single" w:sz="8" w:color="0000EE"/>
            </w:tcBorders>
          </w:tcPr>
          <w:p>
            <w:pPr>
              <w:spacing w:after="0"/>
              <w:rPr>
                <w:sz w:val="15"/>
                <w:szCs w:val="15"/>
                <w:color w:val="auto"/>
              </w:rPr>
            </w:pPr>
          </w:p>
        </w:tc>
        <w:tc>
          <w:tcPr>
            <w:tcW w:w="3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4"/>
                <w:szCs w:val="24"/>
                <w:color w:val="auto"/>
              </w:rPr>
            </w:pPr>
          </w:p>
        </w:tc>
        <w:tc>
          <w:tcPr>
            <w:tcW w:w="5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w:t>
            </w:r>
          </w:p>
        </w:tc>
        <w:tc>
          <w:tcPr>
            <w:tcW w:w="220" w:type="dxa"/>
            <w:vAlign w:val="bottom"/>
            <w:gridSpan w:val="5"/>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320" w:type="dxa"/>
            <w:vAlign w:val="bottom"/>
            <w:gridSpan w:val="6"/>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3"/>
              </w:rPr>
              <w:t>2002.</w:t>
            </w:r>
          </w:p>
        </w:tc>
        <w:tc>
          <w:tcPr>
            <w:tcW w:w="20" w:type="dxa"/>
            <w:vAlign w:val="bottom"/>
            <w:tcBorders>
              <w:bottom w:val="single" w:sz="8" w:color="0000EE"/>
            </w:tcBorders>
          </w:tcPr>
          <w:p>
            <w:pPr>
              <w:spacing w:after="0"/>
              <w:rPr>
                <w:sz w:val="15"/>
                <w:szCs w:val="15"/>
                <w:color w:val="auto"/>
              </w:rPr>
            </w:pPr>
          </w:p>
        </w:tc>
        <w:tc>
          <w:tcPr>
            <w:tcW w:w="3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423"/>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101.INS</w:t>
            </w:r>
          </w:p>
        </w:tc>
        <w:tc>
          <w:tcPr>
            <w:tcW w:w="100" w:type="dxa"/>
            <w:vAlign w:val="bottom"/>
          </w:tcPr>
          <w:p>
            <w:pPr>
              <w:spacing w:after="0"/>
              <w:rPr>
                <w:sz w:val="24"/>
                <w:szCs w:val="24"/>
                <w:color w:val="auto"/>
              </w:rPr>
            </w:pPr>
          </w:p>
        </w:tc>
        <w:tc>
          <w:tcPr>
            <w:tcW w:w="52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100" w:type="dxa"/>
            <w:vAlign w:val="bottom"/>
          </w:tcPr>
          <w:p>
            <w:pPr>
              <w:spacing w:after="0"/>
              <w:rPr>
                <w:sz w:val="24"/>
                <w:szCs w:val="24"/>
                <w:color w:val="auto"/>
              </w:rPr>
            </w:pPr>
          </w:p>
        </w:tc>
        <w:tc>
          <w:tcPr>
            <w:tcW w:w="52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Linkbase Documents</w:t>
            </w: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83" w:lineRule="exact"/>
        <w:rPr>
          <w:sz w:val="20"/>
          <w:szCs w:val="20"/>
          <w:color w:val="auto"/>
        </w:rPr>
      </w:pPr>
    </w:p>
    <w:p>
      <w:pPr>
        <w:jc w:val="both"/>
        <w:ind w:left="1220" w:right="4720" w:hanging="787"/>
        <w:spacing w:after="0" w:line="265" w:lineRule="auto"/>
        <w:tabs>
          <w:tab w:leader="none" w:pos="122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107" w:lineRule="exact"/>
        <w:rPr>
          <w:rFonts w:ascii="Times New Roman" w:cs="Times New Roman" w:eastAsia="Times New Roman" w:hAnsi="Times New Roman"/>
          <w:sz w:val="17"/>
          <w:szCs w:val="17"/>
          <w:color w:val="auto"/>
        </w:rPr>
      </w:pPr>
    </w:p>
    <w:p>
      <w:pPr>
        <w:ind w:firstLine="8"/>
        <w:spacing w:after="0" w:line="229" w:lineRule="auto"/>
        <w:tabs>
          <w:tab w:leader="none" w:pos="10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19030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37" w:lineRule="exact"/>
        <w:rPr>
          <w:sz w:val="20"/>
          <w:szCs w:val="20"/>
          <w:color w:val="auto"/>
        </w:rPr>
      </w:pPr>
    </w:p>
    <w:p>
      <w:pPr>
        <w:ind w:left="60"/>
        <w:spacing w:after="0"/>
        <w:tabs>
          <w:tab w:leader="none" w:pos="5760" w:val="left"/>
          <w:tab w:leader="none" w:pos="634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Omid Farokhzad, M.D.</w:t>
      </w:r>
    </w:p>
    <w:p>
      <w:pPr>
        <w:spacing w:after="0" w:line="5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-127635</wp:posOffset>
            </wp:positionV>
            <wp:extent cx="29832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5760" w:val="left"/>
          <w:tab w:leader="none" w:pos="634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Horn</w:t>
      </w:r>
    </w:p>
    <w:p>
      <w:pPr>
        <w:spacing w:after="0" w:line="5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-127635</wp:posOffset>
            </wp:positionV>
            <wp:extent cx="29832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4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Omid Farokhzad, certify that:</w:t>
      </w:r>
    </w:p>
    <w:p>
      <w:pPr>
        <w:spacing w:after="0" w:line="212"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Seer, Inc.;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ind w:left="1140" w:right="62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218"/>
        </w:trPr>
        <w:tc>
          <w:tcPr>
            <w:tcW w:w="54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Omid Farokhzad</w:t>
            </w:r>
          </w:p>
        </w:tc>
        <w:tc>
          <w:tcPr>
            <w:tcW w:w="4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54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43"/>
        </w:trPr>
        <w:tc>
          <w:tcPr>
            <w:tcW w:w="5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Horn, certify that:</w:t>
      </w:r>
    </w:p>
    <w:p>
      <w:pPr>
        <w:spacing w:after="0" w:line="212"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Seer, Inc.;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ind w:left="1140" w:right="62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David Horn</w:t>
            </w:r>
          </w:p>
        </w:tc>
        <w:tc>
          <w:tcPr>
            <w:tcW w:w="4240" w:type="dxa"/>
            <w:vAlign w:val="bottom"/>
          </w:tcPr>
          <w:p>
            <w:pPr>
              <w:spacing w:after="0"/>
              <w:rPr>
                <w:sz w:val="17"/>
                <w:szCs w:val="17"/>
                <w:color w:val="auto"/>
              </w:rPr>
            </w:pPr>
          </w:p>
        </w:tc>
      </w:tr>
      <w:tr>
        <w:trPr>
          <w:trHeight w:val="218"/>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Horn</w:t>
            </w:r>
          </w:p>
        </w:tc>
      </w:tr>
      <w:tr>
        <w:trPr>
          <w:trHeight w:val="216"/>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2275"/>
        </w:trPr>
        <w:tc>
          <w:tcPr>
            <w:tcW w:w="5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Seer, Inc. (the “Company”) on Form 10-Q for the period ended September 30, 2025 as filed with the Securities and Exchange Commission on the date hereof (the “Report”), I, Omid Farokhzad, hereby certify, pursuant to 18 U.S.C. § 1350, as adopted pursuant to § 906 of the Sarbanes-Oxley Act of 2002, that:</w:t>
      </w:r>
    </w:p>
    <w:p>
      <w:pPr>
        <w:spacing w:after="0" w:line="162"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218"/>
        </w:trPr>
        <w:tc>
          <w:tcPr>
            <w:tcW w:w="54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Omid Farokhzad</w:t>
            </w:r>
          </w:p>
        </w:tc>
        <w:tc>
          <w:tcPr>
            <w:tcW w:w="4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54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5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4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Seer, Inc. (the “Company”) on Form 10-Q for the period ended September 30, 2025 as filed with the Securities and Exchange Commission on the date hereof (the “Report”), I, David Horn, hereby certify, pursuant to 18 U.S.C. § 1350, as adopted pursuant to §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David Horn</w:t>
            </w:r>
          </w:p>
        </w:tc>
        <w:tc>
          <w:tcPr>
            <w:tcW w:w="4240" w:type="dxa"/>
            <w:vAlign w:val="bottom"/>
          </w:tcPr>
          <w:p>
            <w:pPr>
              <w:spacing w:after="0"/>
              <w:rPr>
                <w:sz w:val="17"/>
                <w:szCs w:val="17"/>
                <w:color w:val="auto"/>
              </w:rPr>
            </w:pPr>
          </w:p>
        </w:tc>
      </w:tr>
      <w:tr>
        <w:trPr>
          <w:trHeight w:val="218"/>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Horn</w:t>
            </w:r>
          </w:p>
        </w:tc>
      </w:tr>
      <w:tr>
        <w:trPr>
          <w:trHeight w:val="216"/>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1627"/>
        </w:trPr>
        <w:tc>
          <w:tcPr>
            <w:tcW w:w="5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8" w:name="page99"/>
    <w:bookmarkEnd w:id="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upperLetter"/>
      <w:start w:val="24"/>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7"/>
    </w:lvl>
  </w:abstractNum>
  <w:abstractNum w:abstractNumId="12">
    <w:nsid w:val="1E7FF521"/>
    <w:multiLevelType w:val="hybridMultilevel"/>
    <w:lvl w:ilvl="0">
      <w:lvlJc w:val="left"/>
      <w:lvlText w:val="%1."/>
      <w:numFmt w:val="decimal"/>
      <w:start w:val="8"/>
    </w:lvl>
  </w:abstractNum>
  <w:abstractNum w:abstractNumId="13">
    <w:nsid w:val="7C3DBD3D"/>
    <w:multiLevelType w:val="hybridMultilevel"/>
    <w:lvl w:ilvl="0">
      <w:lvlJc w:val="left"/>
      <w:lvlText w:val="%1."/>
      <w:numFmt w:val="decimal"/>
      <w:start w:val="9"/>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
      <w:numFmt w:val="bullet"/>
      <w:start w:val="1"/>
    </w:lvl>
    <w:lvl w:ilvl="1">
      <w:lvlJc w:val="left"/>
      <w:lvlText w:val="%2"/>
      <w:numFmt w:val="decimal"/>
      <w:start w:val="104"/>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2025-11-06T15:58:52Z</dcterms:created>
  <dcterms:modified xsi:type="dcterms:W3CDTF">2025-11-06T15:58:52Z</dcterms:modified>
</cp:coreProperties>
</file>