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TERRANCE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17, 2022 or (ii) the day prior to the date of the Issuer's next annual meeting of stockholders.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53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17003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2021-06-22T17:37:07Z</dcterms:created>
  <dcterms:modified xsi:type="dcterms:W3CDTF">2021-06-22T17:37:07Z</dcterms:modified>
</cp:coreProperties>
</file>