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the Filing Fee (Check the appropriate box):</w:t>
      </w:r>
    </w:p>
    <w:p>
      <w:pPr>
        <w:spacing w:after="0" w:line="22"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1431925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On April 27, 2026, the following email was distributed to employees of Seer,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Seer Team,</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I’m writing to provide an update on my note regarding the unsolicited proposal received from the Radoff-JEC Group. You might have seen that this proposal was further revised on April 24.</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After careful review and consideration, Seer’s Board of Directors, in consultation with its independent financial and legal advisors, has unanimously determined to reject the Radoff-JEC Group’s revised proposal. The Board concluded that the revised proposal is not in the best interests of the Company or its stockholders. You can read more about the Board’s decision in our press release here [LINK].</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Board’s decision reflects our enduring confidence in Seer’s strategy and the compelling opportunities ahead as we continue to advance our platform. Our Proteograph® Product Suite represents a leading platform for scalable, deep, unbiased proteomics, with the ability to unlock significant long-term value. We are encouraged by ongoing growth in our installed base, securing additional population-scale cohort and biobank studies, and strong external validation, including more than 80 peer-reviewed publications that demonstrate the impact of our technology and its growing relevance across the field of proteomics. Seer’s position in this space is also supported by 240 issued patents and patent applications worldwide, including 82 issued patents.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Seer’s achievements are a testament to your talent and hard work. The Board and management team believe that we are well positioned to strengthen our leadership as the preferred unbiased proteomic platform for AI-driven biology and to capitalize on the significant opportunities ahead.</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What’s important for you to know is that it remains business as usual at Seer – please continue to focus on the important work at hand and delivering for our customers. As a reminder, please direct any media inquiries to Patrick Schmidt at </w:t>
      </w:r>
      <w:r>
        <w:rPr>
          <w:rFonts w:ascii="Times New Roman" w:cs="Times New Roman" w:eastAsia="Times New Roman" w:hAnsi="Times New Roman"/>
          <w:sz w:val="18"/>
          <w:szCs w:val="18"/>
          <w:color w:val="467886"/>
        </w:rPr>
        <w:t>pr@seer.bio</w:t>
      </w:r>
      <w:r>
        <w:rPr>
          <w:rFonts w:ascii="Times New Roman" w:cs="Times New Roman" w:eastAsia="Times New Roman" w:hAnsi="Times New Roman"/>
          <w:sz w:val="18"/>
          <w:szCs w:val="18"/>
          <w:color w:val="auto"/>
        </w:rPr>
        <w:t xml:space="preserve">, and any investor or other third-party inquiries to </w:t>
      </w:r>
      <w:r>
        <w:rPr>
          <w:rFonts w:ascii="Times New Roman" w:cs="Times New Roman" w:eastAsia="Times New Roman" w:hAnsi="Times New Roman"/>
          <w:sz w:val="18"/>
          <w:szCs w:val="18"/>
          <w:color w:val="467886"/>
        </w:rPr>
        <w:t>investor@seer.bio</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dedication to Seer – your efforts are critical to our continued progress.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Seer, its directors and certain executive officers are participants in the solicitation of proxies from stockholders in connection with Seer’s 2026 Annual Meeting of Stockholders (the “Annual Meeting”). Seer plans to file a proxy statement (the “2026 Proxy Statement”) with the Securities and Exchange Commission (the “SEC”) in connection with the solicitation of proxies for the Annual Meeting.</w:t>
      </w:r>
    </w:p>
    <w:p>
      <w:pPr>
        <w:spacing w:after="0" w:line="176" w:lineRule="exact"/>
        <w:rPr>
          <w:sz w:val="20"/>
          <w:szCs w:val="20"/>
          <w:color w:val="auto"/>
        </w:rPr>
      </w:pPr>
    </w:p>
    <w:p>
      <w:pPr>
        <w:spacing w:after="0" w:line="253" w:lineRule="auto"/>
        <w:rPr>
          <w:rFonts w:ascii="Times New Roman" w:cs="Times New Roman" w:eastAsia="Times New Roman" w:hAnsi="Times New Roman"/>
          <w:sz w:val="18"/>
          <w:szCs w:val="18"/>
          <w:color w:val="00778B"/>
        </w:rPr>
      </w:pPr>
      <w:r>
        <w:rPr>
          <w:rFonts w:ascii="Times New Roman" w:cs="Times New Roman" w:eastAsia="Times New Roman" w:hAnsi="Times New Roman"/>
          <w:sz w:val="18"/>
          <w:szCs w:val="18"/>
          <w:color w:val="auto"/>
        </w:rPr>
        <w:t xml:space="preserve">Omid Farokhzad, Meeta Gulyani, Robert Langer, Terrance McGuire, Deep Nishar, Isaac Ro and Nicolas Roelofs, all of whom are members of Seer’s board of directors, and David Horn, Seer’s president and chief financial officer, are participants in Seer’s solicitation. Additional information regarding such participants, including their direct or indirect interests, by security holdings or otherwise, will be included in the 2026 Proxy Statement and other relevant documents to be filed by Seer with the SEC in connection with the Annual Meeting. Information relating to the foregoing can also be found in Seer’s definitive proxy statement for its 2025 Annual Meeting of Stockholders (the “2025 Proxy Statement”), which was filed with the SEC on May 28, 2025, and is available </w:t>
      </w:r>
      <w:hyperlink r:id="rId9">
        <w:r>
          <w:rPr>
            <w:rFonts w:ascii="Times New Roman" w:cs="Times New Roman" w:eastAsia="Times New Roman" w:hAnsi="Times New Roman"/>
            <w:sz w:val="18"/>
            <w:szCs w:val="18"/>
            <w:u w:val="single" w:color="auto"/>
            <w:color w:val="00778B"/>
          </w:rPr>
          <w:t>here</w:t>
        </w:r>
      </w:hyperlink>
      <w:r>
        <w:rPr>
          <w:rFonts w:ascii="Times New Roman" w:cs="Times New Roman" w:eastAsia="Times New Roman" w:hAnsi="Times New Roman"/>
          <w:sz w:val="18"/>
          <w:szCs w:val="18"/>
          <w:color w:val="auto"/>
        </w:rPr>
        <w:t xml:space="preserve">. Particular attention is directed to the sections of the 2025 Proxy Statement captioned “Board of Directors and Corporate Governance,” “Executive Compensation,” “Named Executive Officer Compensation Overview,” “Security Ownership of Certain Beneficial Owners and Management” and “Certain Relationships, Related Party and Other Transactions.” To the extent that holdings of such participants in Seer’s securities have changed since </w:t>
      </w:r>
      <w:hyperlink r:id="rId10">
        <w:r>
          <w:rPr>
            <w:rFonts w:ascii="Times New Roman" w:cs="Times New Roman" w:eastAsia="Times New Roman" w:hAnsi="Times New Roman"/>
            <w:sz w:val="18"/>
            <w:szCs w:val="18"/>
            <w:color w:val="auto"/>
          </w:rPr>
          <w:t xml:space="preserve">the amounts printed in the 2025 Proxy Statement, such changes have been reflected on the following filings: for Mr. Farokhzad, on </w:t>
        </w:r>
        <w:r>
          <w:rPr>
            <w:rFonts w:ascii="Times New Roman" w:cs="Times New Roman" w:eastAsia="Times New Roman" w:hAnsi="Times New Roman"/>
            <w:sz w:val="18"/>
            <w:szCs w:val="18"/>
            <w:u w:val="single" w:color="auto"/>
            <w:color w:val="00778B"/>
          </w:rPr>
          <w:t>May 22,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778B"/>
          </w:rPr>
          <w:t>August</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778B"/>
          </w:rPr>
          <w:t>21, 2025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u w:val="single" w:color="auto"/>
            <w:color w:val="00778B"/>
          </w:rPr>
          <w:t>November 21,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u w:val="single" w:color="auto"/>
            <w:color w:val="00778B"/>
          </w:rPr>
          <w:t>December 11,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u w:val="single" w:color="auto"/>
            <w:color w:val="00778B"/>
          </w:rPr>
          <w:t>February 5, 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u w:val="single" w:color="auto"/>
            <w:color w:val="00778B"/>
          </w:rPr>
          <w:t>February 19, 2026</w:t>
        </w:r>
        <w:r>
          <w:rPr>
            <w:rFonts w:ascii="Times New Roman" w:cs="Times New Roman" w:eastAsia="Times New Roman" w:hAnsi="Times New Roman"/>
            <w:sz w:val="18"/>
            <w:szCs w:val="18"/>
            <w:color w:val="000000"/>
          </w:rPr>
          <w:t>; for Ms. Gulyani, on</w:t>
        </w:r>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u w:val="single" w:color="auto"/>
            <w:color w:val="00778B"/>
          </w:rPr>
          <w:t>July 9, 2025</w:t>
        </w:r>
        <w:r>
          <w:rPr>
            <w:rFonts w:ascii="Times New Roman" w:cs="Times New Roman" w:eastAsia="Times New Roman" w:hAnsi="Times New Roman"/>
            <w:sz w:val="18"/>
            <w:szCs w:val="18"/>
            <w:color w:val="000000"/>
          </w:rPr>
          <w:t>; for Mr. Langer, on</w:t>
        </w:r>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u w:val="single" w:color="auto"/>
            <w:color w:val="00778B"/>
          </w:rPr>
          <w:t>July 9,</w:t>
        </w:r>
      </w:hyperlink>
      <w:r>
        <w:rPr>
          <w:rFonts w:ascii="Times New Roman" w:cs="Times New Roman" w:eastAsia="Times New Roman" w:hAnsi="Times New Roman"/>
          <w:sz w:val="18"/>
          <w:szCs w:val="18"/>
          <w:color w:val="00778B"/>
        </w:rPr>
        <w:t xml:space="preserve"> </w:t>
      </w:r>
      <w:hyperlink r:id="rId11">
        <w:r>
          <w:rPr>
            <w:rFonts w:ascii="Times New Roman" w:cs="Times New Roman" w:eastAsia="Times New Roman" w:hAnsi="Times New Roman"/>
            <w:sz w:val="18"/>
            <w:szCs w:val="18"/>
            <w:u w:val="single" w:color="auto"/>
            <w:color w:val="00778B"/>
          </w:rPr>
          <w:t>2025</w:t>
        </w:r>
        <w:r>
          <w:rPr>
            <w:rFonts w:ascii="Times New Roman" w:cs="Times New Roman" w:eastAsia="Times New Roman" w:hAnsi="Times New Roman"/>
            <w:sz w:val="18"/>
            <w:szCs w:val="18"/>
            <w:color w:val="000000"/>
          </w:rPr>
          <w:t>; for Mr. McGuire, on</w:t>
        </w:r>
        <w:r>
          <w:rPr>
            <w:rFonts w:ascii="Times New Roman" w:cs="Times New Roman" w:eastAsia="Times New Roman" w:hAnsi="Times New Roman"/>
            <w:sz w:val="18"/>
            <w:szCs w:val="18"/>
            <w:color w:val="00778B"/>
          </w:rPr>
          <w:t xml:space="preserve"> </w:t>
        </w:r>
      </w:hyperlink>
      <w:hyperlink r:id="rId12">
        <w:r>
          <w:rPr>
            <w:rFonts w:ascii="Times New Roman" w:cs="Times New Roman" w:eastAsia="Times New Roman" w:hAnsi="Times New Roman"/>
            <w:sz w:val="18"/>
            <w:szCs w:val="18"/>
            <w:u w:val="single" w:color="auto"/>
            <w:color w:val="00778B"/>
          </w:rPr>
          <w:t xml:space="preserve">July 9, 2025 </w:t>
        </w:r>
      </w:hyperlink>
      <w:hyperlink r:id="rId1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778B"/>
          </w:rPr>
          <w:t xml:space="preserve"> </w:t>
        </w:r>
      </w:hyperlink>
      <w:hyperlink r:id="rId13">
        <w:r>
          <w:rPr>
            <w:rFonts w:ascii="Times New Roman" w:cs="Times New Roman" w:eastAsia="Times New Roman" w:hAnsi="Times New Roman"/>
            <w:sz w:val="18"/>
            <w:szCs w:val="18"/>
            <w:u w:val="single" w:color="auto"/>
            <w:color w:val="00778B"/>
          </w:rPr>
          <w:t>December 11, 2025</w:t>
        </w:r>
      </w:hyperlink>
      <w:hyperlink r:id="rId11">
        <w:r>
          <w:rPr>
            <w:rFonts w:ascii="Times New Roman" w:cs="Times New Roman" w:eastAsia="Times New Roman" w:hAnsi="Times New Roman"/>
            <w:sz w:val="18"/>
            <w:szCs w:val="18"/>
            <w:color w:val="000000"/>
          </w:rPr>
          <w:t>; for Mr. Nishar, on</w:t>
        </w:r>
        <w:r>
          <w:rPr>
            <w:rFonts w:ascii="Times New Roman" w:cs="Times New Roman" w:eastAsia="Times New Roman" w:hAnsi="Times New Roman"/>
            <w:sz w:val="18"/>
            <w:szCs w:val="18"/>
            <w:color w:val="00778B"/>
          </w:rPr>
          <w:t xml:space="preserve"> </w:t>
        </w:r>
      </w:hyperlink>
      <w:hyperlink r:id="rId14">
        <w:r>
          <w:rPr>
            <w:rFonts w:ascii="Times New Roman" w:cs="Times New Roman" w:eastAsia="Times New Roman" w:hAnsi="Times New Roman"/>
            <w:sz w:val="18"/>
            <w:szCs w:val="18"/>
            <w:u w:val="single" w:color="auto"/>
            <w:color w:val="00778B"/>
          </w:rPr>
          <w:t xml:space="preserve">June 16, 2025 </w:t>
        </w:r>
      </w:hyperlink>
      <w:hyperlink r:id="rId1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778B"/>
          </w:rPr>
          <w:t xml:space="preserve"> </w:t>
        </w:r>
      </w:hyperlink>
      <w:hyperlink r:id="rId15">
        <w:r>
          <w:rPr>
            <w:rFonts w:ascii="Times New Roman" w:cs="Times New Roman" w:eastAsia="Times New Roman" w:hAnsi="Times New Roman"/>
            <w:sz w:val="18"/>
            <w:szCs w:val="18"/>
            <w:u w:val="single" w:color="auto"/>
            <w:color w:val="00778B"/>
          </w:rPr>
          <w:t>July 9, 2025</w:t>
        </w:r>
      </w:hyperlink>
      <w:hyperlink r:id="rId11">
        <w:r>
          <w:rPr>
            <w:rFonts w:ascii="Times New Roman" w:cs="Times New Roman" w:eastAsia="Times New Roman" w:hAnsi="Times New Roman"/>
            <w:sz w:val="18"/>
            <w:szCs w:val="18"/>
            <w:color w:val="000000"/>
          </w:rPr>
          <w:t>; for Mr. Ro, on</w:t>
        </w:r>
        <w:r>
          <w:rPr>
            <w:rFonts w:ascii="Times New Roman" w:cs="Times New Roman" w:eastAsia="Times New Roman" w:hAnsi="Times New Roman"/>
            <w:sz w:val="18"/>
            <w:szCs w:val="18"/>
            <w:color w:val="00778B"/>
          </w:rPr>
          <w:t xml:space="preserve"> </w:t>
        </w:r>
      </w:hyperlink>
      <w:hyperlink r:id="rId16">
        <w:r>
          <w:rPr>
            <w:rFonts w:ascii="Times New Roman" w:cs="Times New Roman" w:eastAsia="Times New Roman" w:hAnsi="Times New Roman"/>
            <w:sz w:val="18"/>
            <w:szCs w:val="18"/>
            <w:u w:val="single" w:color="auto"/>
            <w:color w:val="00778B"/>
          </w:rPr>
          <w:t>September 3, 2025</w:t>
        </w:r>
      </w:hyperlink>
      <w:hyperlink r:id="rId11">
        <w:r>
          <w:rPr>
            <w:rFonts w:ascii="Times New Roman" w:cs="Times New Roman" w:eastAsia="Times New Roman" w:hAnsi="Times New Roman"/>
            <w:sz w:val="18"/>
            <w:szCs w:val="18"/>
            <w:color w:val="000000"/>
          </w:rPr>
          <w:t>; for</w:t>
        </w:r>
      </w:hyperlink>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color w:val="000000"/>
        </w:rPr>
        <w:t>Mr. Roelofs, on</w:t>
      </w:r>
    </w:p>
    <w:p>
      <w:pPr>
        <w:spacing w:after="0" w:line="20" w:lineRule="exact"/>
        <w:rPr>
          <w:rFonts w:ascii="Times New Roman" w:cs="Times New Roman" w:eastAsia="Times New Roman" w:hAnsi="Times New Roman"/>
          <w:sz w:val="18"/>
          <w:szCs w:val="18"/>
          <w:color w:val="00778B"/>
        </w:rPr>
      </w:pPr>
      <w:r>
        <w:rPr>
          <w:rFonts w:ascii="Times New Roman" w:cs="Times New Roman" w:eastAsia="Times New Roman" w:hAnsi="Times New Roman"/>
          <w:sz w:val="18"/>
          <w:szCs w:val="18"/>
          <w:color w:val="00778B"/>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rPr>
          <w:rFonts w:ascii="Times New Roman" w:cs="Times New Roman" w:eastAsia="Times New Roman" w:hAnsi="Times New Roman"/>
          <w:sz w:val="18"/>
          <w:szCs w:val="18"/>
          <w:color w:val="00778B"/>
        </w:rPr>
      </w:pPr>
      <w:hyperlink r:id="rId18">
        <w:r>
          <w:rPr>
            <w:rFonts w:ascii="Times New Roman" w:cs="Times New Roman" w:eastAsia="Times New Roman" w:hAnsi="Times New Roman"/>
            <w:sz w:val="18"/>
            <w:szCs w:val="18"/>
            <w:u w:val="single" w:color="auto"/>
            <w:color w:val="00778B"/>
          </w:rPr>
          <w:t>July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color w:val="000000"/>
        </w:rPr>
        <w:t>and for Mr. Horn, on</w:t>
      </w:r>
      <w:r>
        <w:rPr>
          <w:rFonts w:ascii="Times New Roman" w:cs="Times New Roman" w:eastAsia="Times New Roman" w:hAnsi="Times New Roman"/>
          <w:sz w:val="18"/>
          <w:szCs w:val="18"/>
          <w:color w:val="00778B"/>
        </w:rPr>
        <w:t xml:space="preserve"> </w:t>
      </w:r>
      <w:hyperlink r:id="rId19">
        <w:r>
          <w:rPr>
            <w:rFonts w:ascii="Times New Roman" w:cs="Times New Roman" w:eastAsia="Times New Roman" w:hAnsi="Times New Roman"/>
            <w:sz w:val="18"/>
            <w:szCs w:val="18"/>
            <w:u w:val="single" w:color="auto"/>
            <w:color w:val="00778B"/>
          </w:rPr>
          <w:t>May 22,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778B"/>
        </w:rPr>
        <w:t xml:space="preserve"> </w:t>
      </w:r>
      <w:hyperlink r:id="rId20">
        <w:r>
          <w:rPr>
            <w:rFonts w:ascii="Times New Roman" w:cs="Times New Roman" w:eastAsia="Times New Roman" w:hAnsi="Times New Roman"/>
            <w:sz w:val="18"/>
            <w:szCs w:val="18"/>
            <w:u w:val="single" w:color="auto"/>
            <w:color w:val="00778B"/>
          </w:rPr>
          <w:t>August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778B"/>
        </w:rPr>
        <w:t xml:space="preserve"> </w:t>
      </w:r>
      <w:hyperlink r:id="rId21">
        <w:r>
          <w:rPr>
            <w:rFonts w:ascii="Times New Roman" w:cs="Times New Roman" w:eastAsia="Times New Roman" w:hAnsi="Times New Roman"/>
            <w:sz w:val="18"/>
            <w:szCs w:val="18"/>
            <w:u w:val="single" w:color="auto"/>
            <w:color w:val="00778B"/>
          </w:rPr>
          <w:t>November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778B"/>
        </w:rPr>
        <w:t xml:space="preserve"> </w:t>
      </w:r>
      <w:hyperlink r:id="rId22">
        <w:r>
          <w:rPr>
            <w:rFonts w:ascii="Times New Roman" w:cs="Times New Roman" w:eastAsia="Times New Roman" w:hAnsi="Times New Roman"/>
            <w:sz w:val="18"/>
            <w:szCs w:val="18"/>
            <w:u w:val="single" w:color="auto"/>
            <w:color w:val="00778B"/>
          </w:rPr>
          <w:t>February 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778B"/>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778B"/>
        </w:rPr>
        <w:t xml:space="preserve"> </w:t>
      </w:r>
      <w:hyperlink r:id="rId23">
        <w:r>
          <w:rPr>
            <w:rFonts w:ascii="Times New Roman" w:cs="Times New Roman" w:eastAsia="Times New Roman" w:hAnsi="Times New Roman"/>
            <w:sz w:val="18"/>
            <w:szCs w:val="18"/>
            <w:u w:val="single" w:color="auto"/>
            <w:color w:val="00778B"/>
          </w:rPr>
          <w:t>February 19, 2026</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778B"/>
        </w:rPr>
      </w:pPr>
    </w:p>
    <w:p>
      <w:pPr>
        <w:spacing w:after="0" w:line="254" w:lineRule="auto"/>
        <w:rPr>
          <w:sz w:val="20"/>
          <w:szCs w:val="20"/>
          <w:color w:val="auto"/>
        </w:rPr>
      </w:pPr>
      <w:r>
        <w:rPr>
          <w:rFonts w:ascii="Times New Roman" w:cs="Times New Roman" w:eastAsia="Times New Roman" w:hAnsi="Times New Roman"/>
          <w:sz w:val="18"/>
          <w:szCs w:val="18"/>
          <w:color w:val="auto"/>
        </w:rPr>
        <w:t>Promptly after filing its definitive 2026 Proxy Statement with the SEC, Seer will mail the definitive 2026 Proxy Statement and a BLUE proxy card to each stockholder entitled to vote at the Annual Meeting. STOCKHOLDERS ARE URGED TO READ THE 2026 PROXY STATEMENT (INCLUDING ANY AMENDMENTS OR SUPPLEMENTS THERETO) AND ANY OTHER RELEVANT DOCUMENTS THAT SEER WILL FILE WITH THE SEC WHEN THEY BECOME AVAILABLE BECAUSE THEY WILL CONTAIN IMPORTANT INFORMATION. Stockholders may obtain, free of charge, Seer’s proxy statement (in both preliminary and definitive form), any amendments or supplements thereto, and any other relevant documents filed by Seer with the SEC in connection with the Annual Meeting at the SEC’s website, which is located here. Copies of Seer’s definitive 2026 Proxy Statement, any amendments or supplements thereto, and any other relevant documents filed by Seer with the SEC in connection with the Annual Meeting will also be available, free of charge, at Seer’s website, which is located here, or by writing to Investor Relations, Seer, Inc., 3800 Bridge Parkway, Suite 102, Redwood City, CA 94065.</w:t>
      </w:r>
    </w:p>
    <w:p>
      <w:pPr>
        <w:spacing w:after="0" w:line="184" w:lineRule="exact"/>
        <w:rPr>
          <w:rFonts w:ascii="Times New Roman" w:cs="Times New Roman" w:eastAsia="Times New Roman" w:hAnsi="Times New Roman"/>
          <w:sz w:val="18"/>
          <w:szCs w:val="18"/>
          <w:color w:val="00778B"/>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rFonts w:ascii="Times New Roman" w:cs="Times New Roman" w:eastAsia="Times New Roman" w:hAnsi="Times New Roman"/>
          <w:sz w:val="18"/>
          <w:szCs w:val="18"/>
          <w:color w:val="00778B"/>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capital deployment objectives, platform opportunities, strategic opportunities and prospects.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20" w:lineRule="exact"/>
        <w:rPr>
          <w:rFonts w:ascii="Times New Roman" w:cs="Times New Roman" w:eastAsia="Times New Roman" w:hAnsi="Times New Roman"/>
          <w:sz w:val="18"/>
          <w:szCs w:val="18"/>
          <w:color w:val="00778B"/>
        </w:rPr>
      </w:pPr>
      <w:r>
        <w:rPr>
          <w:rFonts w:ascii="Times New Roman" w:cs="Times New Roman" w:eastAsia="Times New Roman" w:hAnsi="Times New Roman"/>
          <w:sz w:val="18"/>
          <w:szCs w:val="18"/>
          <w:color w:val="00778B"/>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7" Type="http://schemas.openxmlformats.org/officeDocument/2006/relationships/image" Target="media/image2.png"/><Relationship Id="rId24" Type="http://schemas.openxmlformats.org/officeDocument/2006/relationships/image" Target="media/image3.png"/><Relationship Id="rId9" Type="http://schemas.openxmlformats.org/officeDocument/2006/relationships/hyperlink" Target="https://www.sec.gov/Archives/edgar/data/1726445/000095017025078352/ck0001726445-20250528.htm" TargetMode="External"/><Relationship Id="rId10" Type="http://schemas.openxmlformats.org/officeDocument/2006/relationships/hyperlink" Target="https://www.sec.gov/Archives/edgar/data/1586852/000141588925022594/xslF345X05/form4-08212025_080814.xml" TargetMode="External"/><Relationship Id="rId11" Type="http://schemas.openxmlformats.org/officeDocument/2006/relationships/hyperlink" Target="https://www.sec.gov/Archives/edgar/data/1239757/000141588925019571/xslF345X05/form4-07092025_080719.xml" TargetMode="External"/><Relationship Id="rId12" Type="http://schemas.openxmlformats.org/officeDocument/2006/relationships/hyperlink" Target="https://www.sec.gov/Archives/edgar/data/1117003/000141588925019573/xslF345X05/form4-07092025_080731.xml" TargetMode="External"/><Relationship Id="rId13" Type="http://schemas.openxmlformats.org/officeDocument/2006/relationships/hyperlink" Target="https://www.sec.gov/Archives/edgar/data/1726445/000111700325000005/xslF345X05/form4-12122025_011208.xml" TargetMode="External"/><Relationship Id="rId14" Type="http://schemas.openxmlformats.org/officeDocument/2006/relationships/hyperlink" Target="https://www.sec.gov/Archives/edgar/data/1519500/000141588925017434/xslF345X05/form4-06162025_100649.xml" TargetMode="External"/><Relationship Id="rId15" Type="http://schemas.openxmlformats.org/officeDocument/2006/relationships/hyperlink" Target="https://www.sec.gov/Archives/edgar/data/1519500/000141588925019575/xslF345X05/form4-07092025_080759.xml" TargetMode="External"/><Relationship Id="rId16" Type="http://schemas.openxmlformats.org/officeDocument/2006/relationships/hyperlink" Target="https://www.sec.gov/Archives/edgar/data/1873463/000141588925023618/xslF345X05/form4-09042025_010927.xml" TargetMode="External"/><Relationship Id="rId18" Type="http://schemas.openxmlformats.org/officeDocument/2006/relationships/hyperlink" Target="https://www.sec.gov/Archives/edgar/data/1292341/000141588925019577/xslF345X05/form4-07092025_080741.xml" TargetMode="External"/><Relationship Id="rId19" Type="http://schemas.openxmlformats.org/officeDocument/2006/relationships/hyperlink" Target="https://www.sec.gov/Archives/edgar/data/1834217/000141588925014130/xslF345X05/form4-05222025_080548.xml" TargetMode="External"/><Relationship Id="rId20" Type="http://schemas.openxmlformats.org/officeDocument/2006/relationships/hyperlink" Target="https://www.sec.gov/Archives/edgar/data/1834217/000141588925022596/xslF345X05/form4-08212025_080834.xml" TargetMode="External"/><Relationship Id="rId21" Type="http://schemas.openxmlformats.org/officeDocument/2006/relationships/hyperlink" Target="https://www.sec.gov/Archives/edgar/data/1834217/000183421725000005/xslF345X05/form4-11212025_101114.xml" TargetMode="External"/><Relationship Id="rId22" Type="http://schemas.openxmlformats.org/officeDocument/2006/relationships/hyperlink" Target="https://www.sec.gov/Archives/edgar/data/1834217/000183421726000002/xslF345X05/form4-02052026_110224.xml" TargetMode="External"/><Relationship Id="rId23" Type="http://schemas.openxmlformats.org/officeDocument/2006/relationships/hyperlink" Target="https://www.sec.gov/Archives/edgar/data/1834217/000183421726000004/xslF345X05/form4-02192026_090244.x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2026-04-27T15:49:58Z</dcterms:created>
  <dcterms:modified xsi:type="dcterms:W3CDTF">2026-04-27T15:49:58Z</dcterms:modified>
</cp:coreProperties>
</file>