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5266690</wp:posOffset>
            </wp:positionH>
            <wp:positionV relativeFrom="paragraph">
              <wp:posOffset>-626110</wp:posOffset>
            </wp:positionV>
            <wp:extent cx="58420" cy="6394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3980815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890" cy="4872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4872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Nishar Dipchand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SEER,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3800 BRIDGE PARKWAY, SUITE 102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Seer,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SEER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03/02/2022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0"/>
        <w:spacing w:after="0"/>
        <w:tabs>
          <w:tab w:leader="none" w:pos="499" w:val="left"/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7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30,000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13.84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03/02/2022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03/02/2032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30,000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-2099945</wp:posOffset>
            </wp:positionV>
            <wp:extent cx="29210" cy="21050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05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Shares subject to the option vest in 36 equal monthly installments beginning on April 1, 2022.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David Horn, by power of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8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19500" TargetMode="External"/><Relationship Id="rId13" Type="http://schemas.openxmlformats.org/officeDocument/2006/relationships/hyperlink" Target="http://www.sec.gov/cgi-bin/browse-edgar?action=getcompany&amp;CIK=00017264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2022-03-03T15:49:39Z</dcterms:created>
  <dcterms:modified xsi:type="dcterms:W3CDTF">2022-03-03T15:49:39Z</dcterms:modified>
</cp:coreProperties>
</file>