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45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4554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SINGER DAVID B</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Arial" w:cs="Arial" w:eastAsia="Arial" w:hAnsi="Arial"/>
                <w:sz w:val="10"/>
                <w:szCs w:val="10"/>
                <w:color w:val="auto"/>
              </w:rPr>
              <w:t>(Last)</w:t>
            </w:r>
          </w:p>
        </w:tc>
        <w:tc>
          <w:tcPr>
            <w:tcW w:w="1080" w:type="dxa"/>
            <w:vAlign w:val="bottom"/>
          </w:tcPr>
          <w:p>
            <w:pPr>
              <w:ind w:left="1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4"/>
          </w:tcPr>
          <w:p>
            <w:pPr>
              <w:ind w:left="20"/>
              <w:spacing w:after="0"/>
              <w:rPr>
                <w:sz w:val="20"/>
                <w:szCs w:val="20"/>
                <w:color w:val="auto"/>
              </w:rPr>
            </w:pPr>
            <w:r>
              <w:rPr>
                <w:rFonts w:ascii="Arial" w:cs="Arial" w:eastAsia="Arial" w:hAnsi="Arial"/>
                <w:sz w:val="13"/>
                <w:szCs w:val="13"/>
                <w:color w:val="0000FF"/>
              </w:rPr>
              <w:t>ONE LETTERMAN DRIVE, BUILDING 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0000FF"/>
              </w:rPr>
              <w:t>SUITE DM100</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9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0000FF"/>
              </w:rPr>
              <w:t>SAN</w:t>
            </w:r>
          </w:p>
        </w:tc>
        <w:tc>
          <w:tcPr>
            <w:tcW w:w="1080" w:type="dxa"/>
            <w:vAlign w:val="bottom"/>
            <w:vMerge w:val="restart"/>
          </w:tcPr>
          <w:p>
            <w:pPr>
              <w:ind w:left="120"/>
              <w:spacing w:after="0"/>
              <w:rPr>
                <w:sz w:val="20"/>
                <w:szCs w:val="20"/>
                <w:color w:val="auto"/>
              </w:rPr>
            </w:pPr>
            <w:r>
              <w:rPr>
                <w:rFonts w:ascii="Arial" w:cs="Arial" w:eastAsia="Arial" w:hAnsi="Arial"/>
                <w:sz w:val="13"/>
                <w:szCs w:val="13"/>
                <w:color w:val="0000FF"/>
              </w:rPr>
              <w:t>CA</w:t>
            </w:r>
          </w:p>
        </w:tc>
        <w:tc>
          <w:tcPr>
            <w:tcW w:w="1140" w:type="dxa"/>
            <w:vAlign w:val="bottom"/>
            <w:vMerge w:val="restart"/>
          </w:tcPr>
          <w:p>
            <w:pPr>
              <w:ind w:left="100"/>
              <w:spacing w:after="0"/>
              <w:rPr>
                <w:sz w:val="20"/>
                <w:szCs w:val="20"/>
                <w:color w:val="auto"/>
              </w:rPr>
            </w:pPr>
            <w:r>
              <w:rPr>
                <w:rFonts w:ascii="Arial" w:cs="Arial" w:eastAsia="Arial" w:hAnsi="Arial"/>
                <w:sz w:val="13"/>
                <w:szCs w:val="13"/>
                <w:color w:val="0000FF"/>
              </w:rPr>
              <w:t>94129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color w:val="0000FF"/>
              </w:rPr>
              <w:t>FRANCISCO</w:t>
            </w: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740" w:type="dxa"/>
            <w:vAlign w:val="bottom"/>
            <w:gridSpan w:val="3"/>
          </w:tcPr>
          <w:p>
            <w:pPr>
              <w:ind w:left="60"/>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Seer,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SEER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6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4"/>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740" w:type="dxa"/>
            <w:vAlign w:val="bottom"/>
            <w:gridSpan w:val="3"/>
          </w:tcPr>
          <w:p>
            <w:pPr>
              <w:ind w:left="6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0" w:type="dxa"/>
            <w:vAlign w:val="bottom"/>
          </w:tcPr>
          <w:p>
            <w:pPr>
              <w:spacing w:after="0"/>
              <w:rPr>
                <w:sz w:val="9"/>
                <w:szCs w:val="9"/>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38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12"/>
        </w:trPr>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380" w:type="dxa"/>
            <w:vAlign w:val="bottom"/>
          </w:tcPr>
          <w:p>
            <w:pPr>
              <w:spacing w:after="0"/>
              <w:rPr>
                <w:sz w:val="9"/>
                <w:szCs w:val="9"/>
                <w:color w:val="auto"/>
              </w:rPr>
            </w:pP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8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2796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279654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20" w:type="dxa"/>
            <w:vAlign w:val="bottom"/>
            <w:gridSpan w:val="2"/>
          </w:tcPr>
          <w:p>
            <w:pPr>
              <w:ind w:left="4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9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8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92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Form: Direct (D)</w:t>
            </w:r>
          </w:p>
        </w:tc>
        <w:tc>
          <w:tcPr>
            <w:tcW w:w="162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2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2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4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19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840" w:type="dxa"/>
            <w:vAlign w:val="bottom"/>
          </w:tcPr>
          <w:p>
            <w:pPr>
              <w:ind w:left="2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940" w:type="dxa"/>
            <w:vAlign w:val="bottom"/>
            <w:vMerge w:val="continue"/>
          </w:tcPr>
          <w:p>
            <w:pPr>
              <w:spacing w:after="0"/>
              <w:rPr>
                <w:sz w:val="11"/>
                <w:szCs w:val="11"/>
                <w:color w:val="auto"/>
              </w:rPr>
            </w:pPr>
          </w:p>
        </w:tc>
        <w:tc>
          <w:tcPr>
            <w:tcW w:w="840" w:type="dxa"/>
            <w:vAlign w:val="bottom"/>
          </w:tcPr>
          <w:p>
            <w:pPr>
              <w:ind w:left="2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A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(1)</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89"/>
              </w:rPr>
              <w:t>1,280,724</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B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(3)</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89"/>
              </w:rPr>
              <w:t>1,275,928</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(3)</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C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(4)</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265,434</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(4)</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D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326,269</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(5)</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D-1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242,204</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B Common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(7)</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101,761</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(7)</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A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(1)</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777,593</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(1)</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B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(3)</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700,762</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(3)</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C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(4)</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145,780</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(4)</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D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179,192</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(5)</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Series D-1 Convertible Preferred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(6)</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58"/>
              <w:spacing w:after="0"/>
              <w:rPr>
                <w:sz w:val="20"/>
                <w:szCs w:val="20"/>
                <w:color w:val="auto"/>
              </w:rPr>
            </w:pPr>
            <w:r>
              <w:rPr>
                <w:rFonts w:ascii="Arial" w:cs="Arial" w:eastAsia="Arial" w:hAnsi="Arial"/>
                <w:sz w:val="13"/>
                <w:szCs w:val="13"/>
                <w:color w:val="0000FF"/>
                <w:w w:val="89"/>
              </w:rPr>
              <w:t>131,627</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(6)</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2C2C2C"/>
            </w:tcBorders>
          </w:tcPr>
          <w:p>
            <w:pPr>
              <w:spacing w:after="0"/>
              <w:rPr>
                <w:sz w:val="20"/>
                <w:szCs w:val="20"/>
                <w:color w:val="auto"/>
              </w:rPr>
            </w:pPr>
          </w:p>
        </w:tc>
        <w:tc>
          <w:tcPr>
            <w:tcW w:w="37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B Common Stock</w:t>
            </w:r>
          </w:p>
        </w:tc>
        <w:tc>
          <w:tcPr>
            <w:tcW w:w="66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(7)</w:t>
            </w:r>
          </w:p>
        </w:tc>
        <w:tc>
          <w:tcPr>
            <w:tcW w:w="194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Borders>
              <w:bottom w:val="single" w:sz="8" w:color="2C2C2C"/>
            </w:tcBorders>
          </w:tcPr>
          <w:p>
            <w:pPr>
              <w:jc w:val="center"/>
              <w:ind w:left="138"/>
              <w:spacing w:after="0"/>
              <w:rPr>
                <w:sz w:val="20"/>
                <w:szCs w:val="20"/>
                <w:color w:val="auto"/>
              </w:rPr>
            </w:pPr>
            <w:r>
              <w:rPr>
                <w:rFonts w:ascii="Arial" w:cs="Arial" w:eastAsia="Arial" w:hAnsi="Arial"/>
                <w:sz w:val="13"/>
                <w:szCs w:val="13"/>
                <w:color w:val="0000FF"/>
                <w:w w:val="90"/>
              </w:rPr>
              <w:t>61,789</w:t>
            </w:r>
          </w:p>
        </w:tc>
        <w:tc>
          <w:tcPr>
            <w:tcW w:w="720" w:type="dxa"/>
            <w:vAlign w:val="bottom"/>
            <w:tcBorders>
              <w:bottom w:val="single" w:sz="8" w:color="2C2C2C"/>
            </w:tcBorders>
          </w:tcPr>
          <w:p>
            <w:pPr>
              <w:jc w:val="right"/>
              <w:ind w:right="236"/>
              <w:spacing w:after="0"/>
              <w:rPr>
                <w:sz w:val="20"/>
                <w:szCs w:val="20"/>
                <w:color w:val="auto"/>
              </w:rPr>
            </w:pPr>
            <w:r>
              <w:rPr>
                <w:rFonts w:ascii="Arial" w:cs="Arial" w:eastAsia="Arial" w:hAnsi="Arial"/>
                <w:sz w:val="8"/>
                <w:szCs w:val="8"/>
                <w:color w:val="008000"/>
              </w:rPr>
              <w:t>(7)</w:t>
            </w:r>
          </w:p>
        </w:tc>
        <w:tc>
          <w:tcPr>
            <w:tcW w:w="92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2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-2084070</wp:posOffset>
            </wp:positionV>
            <wp:extent cx="6985000" cy="1983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5000" cy="1983105"/>
                    </a:xfrm>
                    <a:prstGeom prst="rect">
                      <a:avLst/>
                    </a:prstGeom>
                    <a:noFill/>
                  </pic:spPr>
                </pic:pic>
              </a:graphicData>
            </a:graphic>
          </wp:anchor>
        </w:drawing>
      </w:r>
    </w:p>
    <w:p>
      <w:pPr>
        <w:spacing w:after="0" w:line="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A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jc w:val="both"/>
        <w:ind w:left="40" w:right="14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reported shares are held of record by Maverick Ventures Investment Fund, L.P. ("Maverick Ventures Fund"). Maverick Capital Ventures, LLC (Maverick Ventures) is the general partner of Maverick Ventures Fund. As a Managing Partner of Maverick Ventures, the reporting person shares voting and dispositive power with respect to the shares held by Maverick Ventures Fund. The reporting person disclaims beneficial ownership of the reported securities of the Issuer held of record by Maverick Ventures Fund except to the extent of his pecuniary interest therein.</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B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C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D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D-1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share of Class B Common Stock is convertible at any time into Class A Common Stock on a one-to-one basis at the reporting person's election and has no expiration date.</w:t>
      </w:r>
    </w:p>
    <w:p>
      <w:pPr>
        <w:spacing w:after="0" w:line="35" w:lineRule="exact"/>
        <w:rPr>
          <w:rFonts w:ascii="Arial" w:cs="Arial" w:eastAsia="Arial" w:hAnsi="Arial"/>
          <w:sz w:val="10"/>
          <w:szCs w:val="10"/>
          <w:color w:val="008000"/>
        </w:rPr>
      </w:pPr>
    </w:p>
    <w:p>
      <w:pPr>
        <w:ind w:left="40" w:right="100" w:hanging="10"/>
        <w:spacing w:after="0" w:line="294"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reported shares are held of record by Maverick Advisors Fund, L.P. ("Maverick Advisors"). Maverick Ventures is the general partner of Maverick Advisors. As a Managing Partner of Maverick Ventures, the reporting person shares voting and dispositive power with respect to the shares held by Maverick Advisors. The reporting person disclaims beneficial ownership of the reported securities of the Issuer held of record by Maverick Advisors except to the extent of his pecuniary interest therein.</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David Singer</w:t>
            </w:r>
          </w:p>
        </w:tc>
        <w:tc>
          <w:tcPr>
            <w:tcW w:w="600" w:type="dxa"/>
            <w:vAlign w:val="bottom"/>
          </w:tcPr>
          <w:p>
            <w:pPr>
              <w:spacing w:after="0"/>
              <w:rPr>
                <w:sz w:val="20"/>
                <w:szCs w:val="20"/>
                <w:color w:val="auto"/>
              </w:rPr>
            </w:pPr>
            <w:r>
              <w:rPr>
                <w:rFonts w:ascii="Arial" w:cs="Arial" w:eastAsia="Arial" w:hAnsi="Arial"/>
                <w:sz w:val="13"/>
                <w:szCs w:val="13"/>
                <w:color w:val="0000FF"/>
                <w:w w:val="89"/>
              </w:rPr>
              <w:t>12/03/2020</w:t>
            </w:r>
          </w:p>
        </w:tc>
      </w:tr>
      <w:tr>
        <w:trPr>
          <w:trHeight w:val="20"/>
        </w:trPr>
        <w:tc>
          <w:tcPr>
            <w:tcW w:w="6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David Singer</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David Singer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0366"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2020-12-03T18:53:14Z</dcterms:created>
  <dcterms:modified xsi:type="dcterms:W3CDTF">2020-12-03T18:53:14Z</dcterms:modified>
</cp:coreProperties>
</file>