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302026_080726.xml.htm"/>
      <w:bookmarkStart w:id="1" w:name="ksform407302026_0807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 Isaac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3800 BRIDGE PARKWAY,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Seer, Inc.</w:t>
              </w:r>
            </w:hyperlink>
            <w:r>
              <w:rPr/>
              <w:t xml:space="preserve"> [ </w:t>
            </w:r>
            <w:r>
              <w:rPr>
                <w:rFonts w:ascii="Times;serif" w:hAnsi="Times;serif"/>
                <w:color w:val="0000FF"/>
                <w:sz w:val="24"/>
                <w:shd w:fill="FFFFFF" w:val="clear"/>
              </w:rPr>
              <w:t>SEER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12,375</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53,375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are represented by restricted stock units, or RSUs, which vest on the earlier of (i) July 28, 2027 or (ii) the day prior to the date of the Issuer's next annual meeting of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subject to the option vest on the earlier of (i) July 28, 2027 or (ii) the day prior to the date of the Issuer's next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Horn,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3463" TargetMode="External"/><Relationship Id="rId5" Type="http://schemas.openxmlformats.org/officeDocument/2006/relationships/hyperlink" Target="http://www.sec.gov/cgi-bin/browse-edgar?action=getcompany&amp;CIK=00017264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3450</Characters>
  <CharactersWithSpaces>4026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