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4"/>
          <w:szCs w:val="14"/>
          <w:b w:val="1"/>
          <w:bCs w:val="1"/>
          <w:color w:val="auto"/>
        </w:rPr>
        <w:t>As filed with the Securities and Exchange Commission on January 25, 2021.</w:t>
      </w:r>
    </w:p>
    <w:p>
      <w:pPr>
        <w:spacing w:after="0" w:line="96"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-95885</wp:posOffset>
            </wp:positionV>
            <wp:extent cx="1920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81915</wp:posOffset>
            </wp:positionV>
            <wp:extent cx="1920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20"/>
          <w:szCs w:val="20"/>
          <w:i w:val="1"/>
          <w:iCs w:val="1"/>
          <w:color w:val="auto"/>
        </w:rPr>
        <w:t>Under</w:t>
      </w:r>
    </w:p>
    <w:p>
      <w:pPr>
        <w:jc w:val="center"/>
        <w:ind w:right="20"/>
        <w:spacing w:after="0"/>
        <w:rPr>
          <w:sz w:val="20"/>
          <w:szCs w:val="20"/>
          <w:color w:val="auto"/>
        </w:rPr>
      </w:pPr>
      <w:r>
        <w:rPr>
          <w:rFonts w:ascii="Arial" w:cs="Arial" w:eastAsia="Arial" w:hAnsi="Arial"/>
          <w:sz w:val="20"/>
          <w:szCs w:val="20"/>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SEER,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ectPr>
          <w:pgSz w:w="11900" w:h="16838" w:orient="portrait"/>
          <w:cols w:equalWidth="0" w:num="1">
            <w:col w:w="11260"/>
          </w:cols>
          <w:pgMar w:left="320" w:top="630" w:right="319" w:bottom="1440" w:gutter="0" w:footer="0" w:header="0"/>
        </w:sectPr>
      </w:pPr>
    </w:p>
    <w:p>
      <w:pPr>
        <w:spacing w:after="0" w:line="188" w:lineRule="exact"/>
        <w:rPr>
          <w:sz w:val="24"/>
          <w:szCs w:val="24"/>
          <w:color w:val="auto"/>
        </w:rPr>
      </w:pPr>
    </w:p>
    <w:p>
      <w:pPr>
        <w:ind w:left="15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540"/>
        <w:spacing w:after="0"/>
        <w:rPr>
          <w:sz w:val="20"/>
          <w:szCs w:val="20"/>
          <w:color w:val="auto"/>
        </w:rPr>
      </w:pPr>
      <w:r>
        <w:rPr>
          <w:rFonts w:ascii="Arial" w:cs="Arial" w:eastAsia="Arial" w:hAnsi="Arial"/>
          <w:sz w:val="13"/>
          <w:szCs w:val="13"/>
          <w:b w:val="1"/>
          <w:bCs w:val="1"/>
          <w:color w:val="auto"/>
        </w:rPr>
        <w:t>3826</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82-1153150</w:t>
      </w:r>
    </w:p>
    <w:p>
      <w:pPr>
        <w:spacing w:after="0" w:line="78" w:lineRule="exact"/>
        <w:rPr>
          <w:sz w:val="24"/>
          <w:szCs w:val="24"/>
          <w:color w:val="auto"/>
        </w:rPr>
      </w:pPr>
    </w:p>
    <w:p>
      <w:pPr>
        <w:sectPr>
          <w:pgSz w:w="11900" w:h="16838" w:orient="portrait"/>
          <w:cols w:equalWidth="0" w:num="3">
            <w:col w:w="4740" w:space="720"/>
            <w:col w:w="2840" w:space="720"/>
            <w:col w:w="2240"/>
          </w:cols>
          <w:pgMar w:left="320" w:top="630" w:right="319" w:bottom="1440" w:gutter="0" w:footer="0" w:header="0"/>
          <w:type w:val="continuous"/>
        </w:sectPr>
      </w:pPr>
    </w:p>
    <w:p>
      <w:pPr>
        <w:ind w:left="440"/>
        <w:spacing w:after="0"/>
        <w:rPr>
          <w:sz w:val="20"/>
          <w:szCs w:val="20"/>
          <w:color w:val="auto"/>
        </w:rPr>
      </w:pPr>
      <w:r>
        <w:rPr>
          <w:rFonts w:ascii="Arial" w:cs="Arial" w:eastAsia="Arial" w:hAnsi="Arial"/>
          <w:sz w:val="13"/>
          <w:szCs w:val="13"/>
          <w:b w:val="1"/>
          <w:bCs w:val="1"/>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37" w:lineRule="exact"/>
        <w:rPr>
          <w:sz w:val="24"/>
          <w:szCs w:val="24"/>
          <w:color w:val="auto"/>
        </w:rPr>
      </w:pPr>
    </w:p>
    <w:p>
      <w:pPr>
        <w:sectPr>
          <w:pgSz w:w="11900" w:h="16838" w:orient="portrait"/>
          <w:cols w:equalWidth="0" w:num="2">
            <w:col w:w="7400" w:space="720"/>
            <w:col w:w="3140"/>
          </w:cols>
          <w:pgMar w:left="320" w:top="630" w:right="319" w:bottom="1440" w:gutter="0" w:footer="0" w:header="0"/>
          <w:type w:val="continuous"/>
        </w:sectPr>
      </w:pPr>
    </w:p>
    <w:p>
      <w:pPr>
        <w:jc w:val="center"/>
        <w:ind w:left="680"/>
        <w:spacing w:after="0"/>
        <w:rPr>
          <w:sz w:val="20"/>
          <w:szCs w:val="20"/>
          <w:color w:val="auto"/>
        </w:rPr>
      </w:pPr>
      <w:r>
        <w:rPr>
          <w:rFonts w:ascii="Arial" w:cs="Arial" w:eastAsia="Arial" w:hAnsi="Arial"/>
          <w:sz w:val="13"/>
          <w:szCs w:val="13"/>
          <w:b w:val="1"/>
          <w:b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 Classification Code Number)</w:t>
      </w:r>
    </w:p>
    <w:p>
      <w:pPr>
        <w:spacing w:after="0" w:line="69" w:lineRule="exact"/>
        <w:rPr>
          <w:sz w:val="24"/>
          <w:szCs w:val="24"/>
          <w:color w:val="auto"/>
        </w:rPr>
      </w:pPr>
    </w:p>
    <w:p>
      <w:pPr>
        <w:sectPr>
          <w:pgSz w:w="11900" w:h="16838" w:orient="portrait"/>
          <w:cols w:equalWidth="0" w:num="2">
            <w:col w:w="3060" w:space="720"/>
            <w:col w:w="7480"/>
          </w:cols>
          <w:pgMar w:left="320" w:top="630" w:right="319" w:bottom="1440" w:gutter="0" w:footer="0" w:header="0"/>
          <w:type w:val="continuous"/>
        </w:sectPr>
      </w:pPr>
    </w:p>
    <w:p>
      <w:pPr>
        <w:ind w:left="4640"/>
        <w:spacing w:after="0"/>
        <w:rPr>
          <w:sz w:val="20"/>
          <w:szCs w:val="20"/>
          <w:color w:val="auto"/>
        </w:rPr>
      </w:pPr>
      <w:r>
        <w:rPr>
          <w:rFonts w:ascii="Arial" w:cs="Arial" w:eastAsia="Arial" w:hAnsi="Arial"/>
          <w:sz w:val="13"/>
          <w:szCs w:val="13"/>
          <w:b w:val="1"/>
          <w:bCs w:val="1"/>
          <w:color w:val="auto"/>
        </w:rPr>
        <w:t>3800 Bridge Parkway, Suite 102</w:t>
      </w:r>
    </w:p>
    <w:p>
      <w:pPr>
        <w:spacing w:after="0" w:line="29" w:lineRule="exact"/>
        <w:rPr>
          <w:sz w:val="24"/>
          <w:szCs w:val="24"/>
          <w:color w:val="auto"/>
        </w:rPr>
      </w:pPr>
    </w:p>
    <w:p>
      <w:pPr>
        <w:ind w:left="4640"/>
        <w:spacing w:after="0"/>
        <w:rPr>
          <w:sz w:val="20"/>
          <w:szCs w:val="20"/>
          <w:color w:val="auto"/>
        </w:rPr>
      </w:pPr>
      <w:r>
        <w:rPr>
          <w:rFonts w:ascii="Arial" w:cs="Arial" w:eastAsia="Arial" w:hAnsi="Arial"/>
          <w:sz w:val="13"/>
          <w:szCs w:val="13"/>
          <w:b w:val="1"/>
          <w:bCs w:val="1"/>
          <w:color w:val="auto"/>
        </w:rPr>
        <w:t>Redwood City, California 94065</w:t>
      </w:r>
    </w:p>
    <w:p>
      <w:pPr>
        <w:spacing w:after="0" w:line="13"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650-453-0000</w:t>
      </w:r>
    </w:p>
    <w:p>
      <w:pPr>
        <w:sectPr>
          <w:pgSz w:w="11900" w:h="16838" w:orient="portrait"/>
          <w:cols w:equalWidth="0" w:num="1">
            <w:col w:w="11260"/>
          </w:cols>
          <w:pgMar w:left="320" w:top="630" w:right="319" w:bottom="1440" w:gutter="0" w:footer="0" w:header="0"/>
          <w:type w:val="continuous"/>
        </w:sectPr>
      </w:pPr>
    </w:p>
    <w:p>
      <w:pPr>
        <w:spacing w:after="0" w:line="9" w:lineRule="exact"/>
        <w:rPr>
          <w:sz w:val="24"/>
          <w:szCs w:val="24"/>
          <w:color w:val="auto"/>
        </w:rPr>
      </w:pPr>
    </w:p>
    <w:p>
      <w:pPr>
        <w:ind w:left="21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51435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05" w:lineRule="exact"/>
        <w:rPr>
          <w:sz w:val="24"/>
          <w:szCs w:val="24"/>
          <w:color w:val="auto"/>
        </w:rPr>
      </w:pPr>
    </w:p>
    <w:p>
      <w:pPr>
        <w:ind w:left="4900"/>
        <w:spacing w:after="0"/>
        <w:rPr>
          <w:sz w:val="20"/>
          <w:szCs w:val="20"/>
          <w:color w:val="auto"/>
        </w:rPr>
      </w:pPr>
      <w:r>
        <w:rPr>
          <w:rFonts w:ascii="Arial" w:cs="Arial" w:eastAsia="Arial" w:hAnsi="Arial"/>
          <w:sz w:val="14"/>
          <w:szCs w:val="14"/>
          <w:b w:val="1"/>
          <w:bCs w:val="1"/>
          <w:color w:val="auto"/>
        </w:rPr>
        <w:t>Omid Farokhzad, M.D.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Seer,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3800 Bridge Parkway, Suite 102</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Redwood City, California 94065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650-453-0000</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56515</wp:posOffset>
            </wp:positionV>
            <wp:extent cx="1920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26" w:lineRule="exact"/>
        <w:rPr>
          <w:sz w:val="24"/>
          <w:szCs w:val="24"/>
          <w:color w:val="auto"/>
        </w:rPr>
      </w:pPr>
    </w:p>
    <w:tbl>
      <w:tblPr>
        <w:tblLayout w:type="fixed"/>
        <w:tblInd w:w="80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5880" w:type="dxa"/>
            <w:vAlign w:val="bottom"/>
          </w:tcPr>
          <w:p>
            <w:pPr>
              <w:ind w:left="1020"/>
              <w:spacing w:after="0"/>
              <w:rPr>
                <w:sz w:val="20"/>
                <w:szCs w:val="20"/>
                <w:color w:val="auto"/>
              </w:rPr>
            </w:pPr>
            <w:r>
              <w:rPr>
                <w:rFonts w:ascii="Arial" w:cs="Arial" w:eastAsia="Arial" w:hAnsi="Arial"/>
                <w:sz w:val="16"/>
                <w:szCs w:val="16"/>
                <w:i w:val="1"/>
                <w:iCs w:val="1"/>
                <w:color w:val="auto"/>
              </w:rPr>
              <w:t>Copies to:</w:t>
            </w:r>
          </w:p>
        </w:tc>
      </w:tr>
      <w:tr>
        <w:trPr>
          <w:trHeight w:val="186"/>
        </w:trPr>
        <w:tc>
          <w:tcPr>
            <w:tcW w:w="3460" w:type="dxa"/>
            <w:vAlign w:val="bottom"/>
          </w:tcPr>
          <w:p>
            <w:pPr>
              <w:jc w:val="center"/>
              <w:ind w:right="948"/>
              <w:spacing w:after="0"/>
              <w:rPr>
                <w:sz w:val="20"/>
                <w:szCs w:val="20"/>
                <w:color w:val="auto"/>
              </w:rPr>
            </w:pPr>
            <w:r>
              <w:rPr>
                <w:rFonts w:ascii="Arial" w:cs="Arial" w:eastAsia="Arial" w:hAnsi="Arial"/>
                <w:sz w:val="14"/>
                <w:szCs w:val="14"/>
                <w:b w:val="1"/>
                <w:bCs w:val="1"/>
                <w:color w:val="auto"/>
                <w:w w:val="91"/>
              </w:rPr>
              <w:t>Tony Jeffries</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3"/>
              </w:rPr>
              <w:t>Alan F. Denenberg</w:t>
            </w:r>
          </w:p>
        </w:tc>
      </w:tr>
      <w:tr>
        <w:trPr>
          <w:trHeight w:val="162"/>
        </w:trPr>
        <w:tc>
          <w:tcPr>
            <w:tcW w:w="346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Christina L. Poulsen</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7"/>
              </w:rPr>
              <w:t>Davis Polk &amp; Wardwell LLP</w:t>
            </w:r>
          </w:p>
        </w:tc>
      </w:tr>
      <w:tr>
        <w:trPr>
          <w:trHeight w:val="162"/>
        </w:trPr>
        <w:tc>
          <w:tcPr>
            <w:tcW w:w="346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Wilson Sonsini Goodrich &amp; Rosati, P.C.</w:t>
            </w:r>
          </w:p>
        </w:tc>
        <w:tc>
          <w:tcPr>
            <w:tcW w:w="5880" w:type="dxa"/>
            <w:vAlign w:val="bottom"/>
          </w:tcPr>
          <w:p>
            <w:pPr>
              <w:jc w:val="center"/>
              <w:ind w:left="3987"/>
              <w:spacing w:after="0"/>
              <w:rPr>
                <w:sz w:val="20"/>
                <w:szCs w:val="20"/>
                <w:color w:val="auto"/>
              </w:rPr>
            </w:pPr>
            <w:r>
              <w:rPr>
                <w:rFonts w:ascii="Arial" w:cs="Arial" w:eastAsia="Arial" w:hAnsi="Arial"/>
                <w:sz w:val="14"/>
                <w:szCs w:val="14"/>
                <w:b w:val="1"/>
                <w:bCs w:val="1"/>
                <w:color w:val="auto"/>
                <w:w w:val="94"/>
              </w:rPr>
              <w:t>1600 El Camino Real</w:t>
            </w:r>
          </w:p>
        </w:tc>
      </w:tr>
      <w:tr>
        <w:trPr>
          <w:trHeight w:val="162"/>
        </w:trPr>
        <w:tc>
          <w:tcPr>
            <w:tcW w:w="346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650 Page Mill Road</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6"/>
              </w:rPr>
              <w:t>Menlo Park, California 94025</w:t>
            </w:r>
          </w:p>
        </w:tc>
      </w:tr>
      <w:tr>
        <w:trPr>
          <w:trHeight w:val="162"/>
        </w:trPr>
        <w:tc>
          <w:tcPr>
            <w:tcW w:w="346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Palo Alto, California 94304</w:t>
            </w:r>
          </w:p>
        </w:tc>
        <w:tc>
          <w:tcPr>
            <w:tcW w:w="5880" w:type="dxa"/>
            <w:vAlign w:val="bottom"/>
          </w:tcPr>
          <w:p>
            <w:pPr>
              <w:jc w:val="center"/>
              <w:ind w:left="3967"/>
              <w:spacing w:after="0"/>
              <w:rPr>
                <w:sz w:val="20"/>
                <w:szCs w:val="20"/>
                <w:color w:val="auto"/>
              </w:rPr>
            </w:pPr>
            <w:r>
              <w:rPr>
                <w:rFonts w:ascii="Arial" w:cs="Arial" w:eastAsia="Arial" w:hAnsi="Arial"/>
                <w:sz w:val="14"/>
                <w:szCs w:val="14"/>
                <w:b w:val="1"/>
                <w:bCs w:val="1"/>
                <w:color w:val="auto"/>
                <w:w w:val="91"/>
              </w:rPr>
              <w:t>650-752-2000</w:t>
            </w:r>
          </w:p>
        </w:tc>
      </w:tr>
      <w:tr>
        <w:trPr>
          <w:trHeight w:val="186"/>
        </w:trPr>
        <w:tc>
          <w:tcPr>
            <w:tcW w:w="346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650-493-9300</w:t>
            </w:r>
          </w:p>
        </w:tc>
        <w:tc>
          <w:tcPr>
            <w:tcW w:w="5880" w:type="dxa"/>
            <w:vAlign w:val="bottom"/>
          </w:tcPr>
          <w:p>
            <w:pPr>
              <w:spacing w:after="0"/>
              <w:rPr>
                <w:sz w:val="16"/>
                <w:szCs w:val="16"/>
                <w:color w:val="auto"/>
              </w:rPr>
            </w:pPr>
          </w:p>
        </w:tc>
      </w:tr>
    </w:tbl>
    <w:p>
      <w:pPr>
        <w:spacing w:after="0" w:line="13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2" w:lineRule="exact"/>
        <w:rPr>
          <w:sz w:val="24"/>
          <w:szCs w:val="24"/>
          <w:color w:val="auto"/>
        </w:rPr>
      </w:pPr>
    </w:p>
    <w:p>
      <w:pPr>
        <w:ind w:right="100"/>
        <w:spacing w:after="0" w:line="17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380"/>
        <w:spacing w:after="0" w:line="17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380"/>
        <w:spacing w:after="0" w:line="17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0" w:lineRule="exact"/>
        <w:rPr>
          <w:sz w:val="24"/>
          <w:szCs w:val="24"/>
          <w:color w:val="auto"/>
        </w:rPr>
      </w:pPr>
    </w:p>
    <w:p>
      <w:pPr>
        <w:ind w:right="120"/>
        <w:spacing w:after="0" w:line="29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Arial" w:cs="Arial" w:eastAsia="Arial" w:hAnsi="Arial"/>
                <w:sz w:val="13"/>
                <w:szCs w:val="13"/>
                <w:color w:val="auto"/>
              </w:rPr>
              <w:t>Accelerated filer</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060" w:type="dxa"/>
            <w:vAlign w:val="bottom"/>
          </w:tcPr>
          <w:p>
            <w:pPr>
              <w:ind w:left="3240"/>
              <w:spacing w:after="0"/>
              <w:rPr>
                <w:sz w:val="20"/>
                <w:szCs w:val="20"/>
                <w:color w:val="auto"/>
              </w:rPr>
            </w:pPr>
            <w:r>
              <w:rPr>
                <w:rFonts w:ascii="Arial" w:cs="Arial" w:eastAsia="Arial" w:hAnsi="Arial"/>
                <w:sz w:val="13"/>
                <w:szCs w:val="13"/>
                <w:color w:val="auto"/>
              </w:rPr>
              <w:t>Smaller reporting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2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240"/>
              <w:spacing w:after="0"/>
              <w:rPr>
                <w:sz w:val="20"/>
                <w:szCs w:val="20"/>
                <w:color w:val="auto"/>
              </w:rPr>
            </w:pPr>
            <w:r>
              <w:rPr>
                <w:rFonts w:ascii="Arial" w:cs="Arial" w:eastAsia="Arial" w:hAnsi="Arial"/>
                <w:sz w:val="13"/>
                <w:szCs w:val="13"/>
                <w:color w:val="auto"/>
              </w:rPr>
              <w:t>Emerging growth company</w:t>
            </w:r>
          </w:p>
        </w:tc>
        <w:tc>
          <w:tcPr>
            <w:tcW w:w="480" w:type="dxa"/>
            <w:vAlign w:val="bottom"/>
          </w:tcPr>
          <w:p>
            <w:pPr>
              <w:ind w:left="3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1" w:lineRule="exact"/>
        <w:rPr>
          <w:sz w:val="24"/>
          <w:szCs w:val="24"/>
          <w:color w:val="auto"/>
        </w:rPr>
      </w:pPr>
    </w:p>
    <w:p>
      <w:pPr>
        <w:jc w:val="both"/>
        <w:ind w:right="180"/>
        <w:spacing w:after="0" w:line="17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68580</wp:posOffset>
            </wp:positionV>
            <wp:extent cx="1920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4020" w:type="dxa"/>
            <w:vAlign w:val="bottom"/>
            <w:tcBorders>
              <w:top w:val="single" w:sz="8" w:color="auto"/>
              <w:left w:val="single" w:sz="8" w:color="auto"/>
              <w:right w:val="single" w:sz="8" w:color="auto"/>
            </w:tcBorders>
          </w:tcPr>
          <w:p>
            <w:pPr>
              <w:spacing w:after="0"/>
              <w:rPr>
                <w:sz w:val="15"/>
                <w:szCs w:val="15"/>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3"/>
              </w:rPr>
              <w:t>Proposed Maximum</w:t>
            </w:r>
          </w:p>
        </w:tc>
        <w:tc>
          <w:tcPr>
            <w:tcW w:w="19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Proposed Maximum Aggregate</w:t>
            </w:r>
          </w:p>
        </w:tc>
        <w:tc>
          <w:tcPr>
            <w:tcW w:w="120" w:type="dxa"/>
            <w:vAlign w:val="bottom"/>
            <w:tcBorders>
              <w:top w:val="single" w:sz="8" w:color="auto"/>
            </w:tcBorders>
          </w:tcPr>
          <w:p>
            <w:pPr>
              <w:spacing w:after="0"/>
              <w:rPr>
                <w:sz w:val="15"/>
                <w:szCs w:val="15"/>
                <w:color w:val="auto"/>
              </w:rPr>
            </w:pPr>
          </w:p>
        </w:tc>
        <w:tc>
          <w:tcPr>
            <w:tcW w:w="1920" w:type="dxa"/>
            <w:vAlign w:val="bottom"/>
            <w:tcBorders>
              <w:top w:val="single" w:sz="8" w:color="auto"/>
              <w:right w:val="single" w:sz="8" w:color="auto"/>
            </w:tcBorders>
          </w:tcPr>
          <w:p>
            <w:pPr>
              <w:spacing w:after="0"/>
              <w:rPr>
                <w:sz w:val="15"/>
                <w:szCs w:val="15"/>
                <w:color w:val="auto"/>
              </w:rPr>
            </w:pPr>
          </w:p>
        </w:tc>
      </w:tr>
      <w:tr>
        <w:trPr>
          <w:trHeight w:val="162"/>
        </w:trPr>
        <w:tc>
          <w:tcPr>
            <w:tcW w:w="4020" w:type="dxa"/>
            <w:vAlign w:val="bottom"/>
            <w:tcBorders>
              <w:left w:val="single" w:sz="8" w:color="auto"/>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4"/>
                <w:szCs w:val="14"/>
                <w:b w:val="1"/>
                <w:bCs w:val="1"/>
                <w:color w:val="auto"/>
                <w:w w:val="87"/>
              </w:rPr>
              <w:t>Registered</w:t>
            </w:r>
            <w:r>
              <w:rPr>
                <w:rFonts w:ascii="Arial" w:cs="Arial" w:eastAsia="Arial" w:hAnsi="Arial"/>
                <w:sz w:val="18"/>
                <w:szCs w:val="18"/>
                <w:b w:val="1"/>
                <w:bCs w:val="1"/>
                <w:color w:val="auto"/>
                <w:w w:val="87"/>
                <w:vertAlign w:val="superscript"/>
              </w:rPr>
              <w:t>(1)</w:t>
            </w:r>
          </w:p>
        </w:tc>
        <w:tc>
          <w:tcPr>
            <w:tcW w:w="120" w:type="dxa"/>
            <w:vAlign w:val="bottom"/>
          </w:tcPr>
          <w:p>
            <w:pPr>
              <w:spacing w:after="0"/>
              <w:rPr>
                <w:sz w:val="14"/>
                <w:szCs w:val="14"/>
                <w:color w:val="auto"/>
              </w:rPr>
            </w:pPr>
          </w:p>
        </w:tc>
        <w:tc>
          <w:tcPr>
            <w:tcW w:w="1460" w:type="dxa"/>
            <w:vAlign w:val="bottom"/>
            <w:tcBorders>
              <w:right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4"/>
              </w:rPr>
              <w:t>Offering Price per</w:t>
            </w:r>
          </w:p>
        </w:tc>
        <w:tc>
          <w:tcPr>
            <w:tcW w:w="260" w:type="dxa"/>
            <w:vAlign w:val="bottom"/>
          </w:tcPr>
          <w:p>
            <w:pPr>
              <w:spacing w:after="0"/>
              <w:rPr>
                <w:sz w:val="14"/>
                <w:szCs w:val="14"/>
                <w:color w:val="auto"/>
              </w:rPr>
            </w:pPr>
          </w:p>
        </w:tc>
        <w:tc>
          <w:tcPr>
            <w:tcW w:w="1720" w:type="dxa"/>
            <w:vAlign w:val="bottom"/>
            <w:tcBorders>
              <w:right w:val="single" w:sz="8" w:color="auto"/>
            </w:tcBorders>
          </w:tcPr>
          <w:p>
            <w:pPr>
              <w:jc w:val="right"/>
              <w:ind w:right="390"/>
              <w:spacing w:after="0" w:line="162" w:lineRule="exact"/>
              <w:rPr>
                <w:sz w:val="20"/>
                <w:szCs w:val="20"/>
                <w:color w:val="auto"/>
              </w:rPr>
            </w:pPr>
            <w:r>
              <w:rPr>
                <w:rFonts w:ascii="Arial" w:cs="Arial" w:eastAsia="Arial" w:hAnsi="Arial"/>
                <w:sz w:val="14"/>
                <w:szCs w:val="14"/>
                <w:b w:val="1"/>
                <w:bCs w:val="1"/>
                <w:color w:val="auto"/>
              </w:rPr>
              <w:t>Offering Price</w:t>
            </w:r>
            <w:r>
              <w:rPr>
                <w:rFonts w:ascii="Arial" w:cs="Arial" w:eastAsia="Arial" w:hAnsi="Arial"/>
                <w:sz w:val="18"/>
                <w:szCs w:val="18"/>
                <w:b w:val="1"/>
                <w:bCs w:val="1"/>
                <w:color w:val="auto"/>
                <w:vertAlign w:val="superscript"/>
              </w:rPr>
              <w:t>(1)(2)</w:t>
            </w:r>
          </w:p>
        </w:tc>
        <w:tc>
          <w:tcPr>
            <w:tcW w:w="12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r>
      <w:tr>
        <w:trPr>
          <w:trHeight w:val="215"/>
        </w:trPr>
        <w:tc>
          <w:tcPr>
            <w:tcW w:w="402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4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5"/>
              </w:rPr>
              <w:t>Share</w:t>
            </w:r>
            <w:r>
              <w:rPr>
                <w:rFonts w:ascii="Arial" w:cs="Arial" w:eastAsia="Arial" w:hAnsi="Arial"/>
                <w:sz w:val="18"/>
                <w:szCs w:val="18"/>
                <w:b w:val="1"/>
                <w:bCs w:val="1"/>
                <w:color w:val="auto"/>
                <w:w w:val="85"/>
                <w:vertAlign w:val="superscript"/>
              </w:rPr>
              <w:t>(2)</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3"/>
              </w:rPr>
              <w:t>Amount of Registration Fee</w:t>
            </w:r>
          </w:p>
        </w:tc>
      </w:tr>
      <w:tr>
        <w:trPr>
          <w:trHeight w:val="182"/>
        </w:trPr>
        <w:tc>
          <w:tcPr>
            <w:tcW w:w="4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Class A Common Stock, $ 0.00001 par value</w:t>
            </w:r>
          </w:p>
        </w:tc>
        <w:tc>
          <w:tcPr>
            <w:tcW w:w="1640" w:type="dxa"/>
            <w:vAlign w:val="bottom"/>
            <w:tcBorders>
              <w:right w:val="single" w:sz="8" w:color="auto"/>
            </w:tcBorders>
          </w:tcPr>
          <w:p>
            <w:pPr>
              <w:jc w:val="right"/>
              <w:ind w:right="10"/>
              <w:spacing w:after="0"/>
              <w:rPr>
                <w:sz w:val="20"/>
                <w:szCs w:val="20"/>
                <w:color w:val="auto"/>
              </w:rPr>
            </w:pPr>
            <w:r>
              <w:rPr>
                <w:rFonts w:ascii="Arial" w:cs="Arial" w:eastAsia="Arial" w:hAnsi="Arial"/>
                <w:sz w:val="13"/>
                <w:szCs w:val="13"/>
                <w:color w:val="auto"/>
              </w:rPr>
              <w:t>4,025,000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right w:val="single" w:sz="8" w:color="auto"/>
            </w:tcBorders>
          </w:tcPr>
          <w:p>
            <w:pPr>
              <w:jc w:val="right"/>
              <w:ind w:right="9"/>
              <w:spacing w:after="0"/>
              <w:rPr>
                <w:sz w:val="20"/>
                <w:szCs w:val="20"/>
                <w:color w:val="auto"/>
              </w:rPr>
            </w:pPr>
            <w:r>
              <w:rPr>
                <w:rFonts w:ascii="Arial" w:cs="Arial" w:eastAsia="Arial" w:hAnsi="Arial"/>
                <w:sz w:val="13"/>
                <w:szCs w:val="13"/>
                <w:color w:val="auto"/>
              </w:rPr>
              <w:t>79.40</w:t>
            </w:r>
          </w:p>
        </w:tc>
        <w:tc>
          <w:tcPr>
            <w:tcW w:w="260" w:type="dxa"/>
            <w:vAlign w:val="bottom"/>
          </w:tcPr>
          <w:p>
            <w:pPr>
              <w:spacing w:after="0"/>
              <w:rPr>
                <w:sz w:val="20"/>
                <w:szCs w:val="20"/>
                <w:color w:val="auto"/>
              </w:rPr>
            </w:pPr>
            <w:r>
              <w:rPr>
                <w:rFonts w:ascii="Arial" w:cs="Arial" w:eastAsia="Arial" w:hAnsi="Arial"/>
                <w:sz w:val="13"/>
                <w:szCs w:val="13"/>
                <w:color w:val="auto"/>
              </w:rPr>
              <w:t>$</w:t>
            </w:r>
          </w:p>
        </w:tc>
        <w:tc>
          <w:tcPr>
            <w:tcW w:w="1720" w:type="dxa"/>
            <w:vAlign w:val="bottom"/>
            <w:tcBorders>
              <w:right w:val="single" w:sz="8" w:color="auto"/>
            </w:tcBorders>
          </w:tcPr>
          <w:p>
            <w:pPr>
              <w:jc w:val="right"/>
              <w:ind w:right="10"/>
              <w:spacing w:after="0"/>
              <w:rPr>
                <w:sz w:val="20"/>
                <w:szCs w:val="20"/>
                <w:color w:val="auto"/>
              </w:rPr>
            </w:pPr>
            <w:r>
              <w:rPr>
                <w:rFonts w:ascii="Arial" w:cs="Arial" w:eastAsia="Arial" w:hAnsi="Arial"/>
                <w:sz w:val="13"/>
                <w:szCs w:val="13"/>
                <w:color w:val="auto"/>
              </w:rPr>
              <w:t>319,585,000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20" w:type="dxa"/>
            <w:vAlign w:val="bottom"/>
            <w:tcBorders>
              <w:right w:val="single" w:sz="8" w:color="auto"/>
            </w:tcBorders>
          </w:tcPr>
          <w:p>
            <w:pPr>
              <w:jc w:val="right"/>
              <w:ind w:right="10"/>
              <w:spacing w:after="0"/>
              <w:rPr>
                <w:sz w:val="20"/>
                <w:szCs w:val="20"/>
                <w:color w:val="auto"/>
              </w:rPr>
            </w:pPr>
            <w:r>
              <w:rPr>
                <w:rFonts w:ascii="Arial" w:cs="Arial" w:eastAsia="Arial" w:hAnsi="Arial"/>
                <w:sz w:val="13"/>
                <w:szCs w:val="13"/>
                <w:color w:val="auto"/>
              </w:rPr>
              <w:t>34,866.73</w:t>
            </w:r>
          </w:p>
        </w:tc>
      </w:tr>
      <w:tr>
        <w:trPr>
          <w:trHeight w:val="28"/>
        </w:trPr>
        <w:tc>
          <w:tcPr>
            <w:tcW w:w="402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34"/>
        </w:trPr>
        <w:tc>
          <w:tcPr>
            <w:tcW w:w="40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3562350</wp:posOffset>
            </wp:positionH>
            <wp:positionV relativeFrom="paragraph">
              <wp:posOffset>-187960</wp:posOffset>
            </wp:positionV>
            <wp:extent cx="25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64"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additional shares that the underwriters have the option to purchase from the selling stockholders.</w:t>
      </w:r>
    </w:p>
    <w:p>
      <w:pPr>
        <w:spacing w:after="0" w:line="22" w:lineRule="exact"/>
        <w:rPr>
          <w:rFonts w:ascii="Arial" w:cs="Arial" w:eastAsia="Arial" w:hAnsi="Arial"/>
          <w:sz w:val="13"/>
          <w:szCs w:val="13"/>
          <w:color w:val="auto"/>
        </w:rPr>
      </w:pPr>
    </w:p>
    <w:p>
      <w:pPr>
        <w:ind w:left="340" w:right="20" w:hanging="332"/>
        <w:spacing w:after="0" w:line="270" w:lineRule="auto"/>
        <w:tabs>
          <w:tab w:leader="none" w:pos="335"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In accordance with Rule 457(c) under the Securities Act of 1933, as amended, the maximum price per share and maximum aggregate offering price are based on the average of the $81.87 (high) and $76.93 (low) sale price of the registrant’s common stock as reported on the Nasdaq Global Select Market on January 22, 2021, which date is within five business days prior to filing this Registration Statement.</w:t>
      </w:r>
    </w:p>
    <w:p>
      <w:pPr>
        <w:spacing w:after="0" w:line="67" w:lineRule="exact"/>
        <w:rPr>
          <w:sz w:val="24"/>
          <w:szCs w:val="24"/>
          <w:color w:val="auto"/>
        </w:rPr>
      </w:pPr>
    </w:p>
    <w:p>
      <w:pPr>
        <w:ind w:right="360"/>
        <w:spacing w:after="0" w:line="28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260"/>
          </w:cols>
          <w:pgMar w:left="320" w:top="630" w:right="319" w:bottom="1440" w:gutter="0" w:footer="0" w:header="0"/>
          <w:type w:val="continuous"/>
        </w:sectPr>
      </w:pPr>
    </w:p>
    <w:bookmarkStart w:id="1" w:name="page2"/>
    <w:bookmarkEnd w:id="1"/>
    <w:p>
      <w:pPr>
        <w:jc w:val="both"/>
        <w:ind w:right="120"/>
        <w:spacing w:after="0" w:line="314" w:lineRule="auto"/>
        <w:rPr>
          <w:sz w:val="20"/>
          <w:szCs w:val="20"/>
          <w:color w:val="auto"/>
        </w:rPr>
      </w:pPr>
      <w:r>
        <w:rPr>
          <w:rFonts w:ascii="Arial" w:cs="Arial" w:eastAsia="Arial" w:hAnsi="Arial"/>
          <w:sz w:val="16"/>
          <w:szCs w:val="16"/>
          <w:b w:val="1"/>
          <w:bCs w:val="1"/>
          <w:color w:val="F1665F"/>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34" w:lineRule="exact"/>
        <w:rPr>
          <w:sz w:val="20"/>
          <w:szCs w:val="20"/>
          <w:color w:val="auto"/>
        </w:rPr>
      </w:pPr>
    </w:p>
    <w:p>
      <w:pPr>
        <w:ind w:left="6540"/>
        <w:spacing w:after="0"/>
        <w:rPr>
          <w:sz w:val="20"/>
          <w:szCs w:val="20"/>
          <w:color w:val="auto"/>
        </w:rPr>
      </w:pPr>
      <w:r>
        <w:rPr>
          <w:rFonts w:ascii="Arial" w:cs="Arial" w:eastAsia="Arial" w:hAnsi="Arial"/>
          <w:sz w:val="17"/>
          <w:szCs w:val="17"/>
          <w:b w:val="1"/>
          <w:bCs w:val="1"/>
          <w:color w:val="F1665F"/>
        </w:rPr>
        <w:t>SUBJECT TO COMPLETION, DATED JANUARY 25,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24130</wp:posOffset>
            </wp:positionV>
            <wp:extent cx="2571750" cy="840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Class A Common Stock</w:t>
      </w:r>
    </w:p>
    <w:p>
      <w:pPr>
        <w:spacing w:after="0" w:line="13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are offering 1,400,000 shares of our Class A common stock. The selling stockholders identified in this prospectus, including our chief executive officer, are offering 2,100,000 shares of our Class A common stock. We will not receive any proceeds from the sale of shares of Class A Common Stock by the selling stockholders.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Class A common stock is listed on the Nasdaq Global Select Market under the symbol “SEER.” On January 22, 2021, the last reported price of our Class A common stock on the Nasdaq Global Select Market was $77.88 per share.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Investing in our Class A common stock involves a high degree of risk. Please read “Risk Factors” beginning on page 17 of this prospectus.</w:t>
      </w:r>
    </w:p>
    <w:p>
      <w:pPr>
        <w:spacing w:after="0" w:line="179" w:lineRule="exact"/>
        <w:rPr>
          <w:sz w:val="20"/>
          <w:szCs w:val="20"/>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0"/>
          <w:szCs w:val="20"/>
          <w:color w:val="auto"/>
        </w:rPr>
      </w:pPr>
    </w:p>
    <w:p>
      <w:pPr>
        <w:ind w:left="8380"/>
        <w:spacing w:after="0"/>
        <w:tabs>
          <w:tab w:leader="none" w:pos="10200" w:val="left"/>
        </w:tabs>
        <w:rPr>
          <w:sz w:val="20"/>
          <w:szCs w:val="20"/>
          <w:color w:val="auto"/>
        </w:rPr>
      </w:pPr>
      <w:r>
        <w:rPr>
          <w:rFonts w:ascii="Arial" w:cs="Arial" w:eastAsia="Arial" w:hAnsi="Arial"/>
          <w:sz w:val="14"/>
          <w:szCs w:val="14"/>
          <w:b w:val="1"/>
          <w:bCs w:val="1"/>
          <w:color w:val="auto"/>
        </w:rPr>
        <w:t>PER SHARE</w:t>
      </w:r>
      <w:r>
        <w:rPr>
          <w:sz w:val="20"/>
          <w:szCs w:val="20"/>
          <w:color w:val="auto"/>
        </w:rPr>
        <w:tab/>
      </w:r>
      <w:r>
        <w:rPr>
          <w:rFonts w:ascii="Arial" w:cs="Arial" w:eastAsia="Arial" w:hAnsi="Arial"/>
          <w:sz w:val="14"/>
          <w:szCs w:val="14"/>
          <w:b w:val="1"/>
          <w:bCs w:val="1"/>
          <w:color w:val="auto"/>
        </w:rPr>
        <w:t>TOTAL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560" w:type="dxa"/>
            <w:vAlign w:val="bottom"/>
            <w:tcBorders>
              <w:top w:val="single" w:sz="8" w:color="auto"/>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3"/>
                <w:szCs w:val="23"/>
                <w:color w:val="auto"/>
              </w:rPr>
            </w:pP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to Seer, Inc., before expenses</w:t>
            </w:r>
          </w:p>
        </w:tc>
        <w:tc>
          <w:tcPr>
            <w:tcW w:w="156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Proceeds to selling stockholders, before expenses</w:t>
            </w: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r>
      <w:tr>
        <w:trPr>
          <w:trHeight w:val="182"/>
        </w:trPr>
        <w:tc>
          <w:tcPr>
            <w:tcW w:w="8020" w:type="dxa"/>
            <w:vAlign w:val="bottom"/>
          </w:tcPr>
          <w:p>
            <w:pPr>
              <w:spacing w:after="0"/>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ind w:left="340" w:right="80" w:hanging="332"/>
        <w:spacing w:after="0" w:line="255" w:lineRule="auto"/>
        <w:tabs>
          <w:tab w:leader="none" w:pos="328"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beginning on page 174 for a description of the compensation payable to the underwriters and underwriting discounts and commissions paid by Seer, Inc. and the selling stockholders.</w:t>
      </w:r>
    </w:p>
    <w:p>
      <w:pPr>
        <w:spacing w:after="0" w:line="136"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The selling stockholders have granted the underwriters an option for a period of 30 days to purchase an additional 525,000 shares of our Class A common stock at the public offering price less underwriting discounts and commissions. We will not receive any proceeds from the sale of additional shares of Class A Common Stock by the selling stockholders.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60" w:type="dxa"/>
            <w:vAlign w:val="bottom"/>
            <w:gridSpan w:val="2"/>
          </w:tcPr>
          <w:p>
            <w:pPr>
              <w:ind w:left="320"/>
              <w:spacing w:after="0"/>
              <w:rPr>
                <w:sz w:val="20"/>
                <w:szCs w:val="20"/>
                <w:color w:val="auto"/>
              </w:rPr>
            </w:pPr>
            <w:r>
              <w:rPr>
                <w:rFonts w:ascii="Arial" w:cs="Arial" w:eastAsia="Arial" w:hAnsi="Arial"/>
                <w:sz w:val="18"/>
                <w:szCs w:val="18"/>
                <w:color w:val="auto"/>
                <w:w w:val="91"/>
              </w:rPr>
              <w:t>Delivery of the shares of Class A common stock is expected to be made on or about</w:t>
            </w:r>
          </w:p>
        </w:tc>
        <w:tc>
          <w:tcPr>
            <w:tcW w:w="2960" w:type="dxa"/>
            <w:vAlign w:val="bottom"/>
          </w:tcPr>
          <w:p>
            <w:pPr>
              <w:jc w:val="right"/>
              <w:ind w:right="1612"/>
              <w:spacing w:after="0"/>
              <w:rPr>
                <w:sz w:val="20"/>
                <w:szCs w:val="20"/>
                <w:color w:val="auto"/>
              </w:rPr>
            </w:pPr>
            <w:r>
              <w:rPr>
                <w:rFonts w:ascii="Arial" w:cs="Arial" w:eastAsia="Arial" w:hAnsi="Arial"/>
                <w:sz w:val="18"/>
                <w:szCs w:val="18"/>
                <w:color w:val="auto"/>
              </w:rPr>
              <w:t>, 2021.</w:t>
            </w:r>
          </w:p>
        </w:tc>
        <w:tc>
          <w:tcPr>
            <w:tcW w:w="1780" w:type="dxa"/>
            <w:vAlign w:val="bottom"/>
          </w:tcPr>
          <w:p>
            <w:pPr>
              <w:spacing w:after="0"/>
              <w:rPr>
                <w:sz w:val="20"/>
                <w:szCs w:val="20"/>
                <w:color w:val="auto"/>
              </w:rPr>
            </w:pPr>
          </w:p>
        </w:tc>
      </w:tr>
      <w:tr>
        <w:trPr>
          <w:trHeight w:val="558"/>
        </w:trPr>
        <w:tc>
          <w:tcPr>
            <w:tcW w:w="2380" w:type="dxa"/>
            <w:vAlign w:val="bottom"/>
          </w:tcPr>
          <w:p>
            <w:pPr>
              <w:spacing w:after="0"/>
              <w:rPr>
                <w:sz w:val="20"/>
                <w:szCs w:val="20"/>
                <w:color w:val="auto"/>
              </w:rPr>
            </w:pPr>
            <w:r>
              <w:rPr>
                <w:rFonts w:ascii="Arial" w:cs="Arial" w:eastAsia="Arial" w:hAnsi="Arial"/>
                <w:sz w:val="29"/>
                <w:szCs w:val="29"/>
                <w:b w:val="1"/>
                <w:bCs w:val="1"/>
                <w:color w:val="auto"/>
              </w:rPr>
              <w:t>J.P. Morgan</w:t>
            </w:r>
          </w:p>
        </w:tc>
        <w:tc>
          <w:tcPr>
            <w:tcW w:w="4080" w:type="dxa"/>
            <w:vAlign w:val="bottom"/>
          </w:tcPr>
          <w:p>
            <w:pPr>
              <w:ind w:left="860"/>
              <w:spacing w:after="0"/>
              <w:rPr>
                <w:sz w:val="20"/>
                <w:szCs w:val="20"/>
                <w:color w:val="auto"/>
              </w:rPr>
            </w:pPr>
            <w:r>
              <w:rPr>
                <w:rFonts w:ascii="Arial" w:cs="Arial" w:eastAsia="Arial" w:hAnsi="Arial"/>
                <w:sz w:val="29"/>
                <w:szCs w:val="29"/>
                <w:b w:val="1"/>
                <w:bCs w:val="1"/>
                <w:color w:val="auto"/>
              </w:rPr>
              <w:t>Morgan Stanley</w:t>
            </w:r>
          </w:p>
        </w:tc>
        <w:tc>
          <w:tcPr>
            <w:tcW w:w="2960" w:type="dxa"/>
            <w:vAlign w:val="bottom"/>
          </w:tcPr>
          <w:p>
            <w:pPr>
              <w:jc w:val="right"/>
              <w:ind w:right="832"/>
              <w:spacing w:after="0"/>
              <w:rPr>
                <w:sz w:val="20"/>
                <w:szCs w:val="20"/>
                <w:color w:val="auto"/>
              </w:rPr>
            </w:pPr>
            <w:r>
              <w:rPr>
                <w:rFonts w:ascii="Arial" w:cs="Arial" w:eastAsia="Arial" w:hAnsi="Arial"/>
                <w:sz w:val="29"/>
                <w:szCs w:val="29"/>
                <w:b w:val="1"/>
                <w:bCs w:val="1"/>
                <w:color w:val="auto"/>
                <w:w w:val="92"/>
              </w:rPr>
              <w:t>BofA Securities</w:t>
            </w:r>
          </w:p>
        </w:tc>
        <w:tc>
          <w:tcPr>
            <w:tcW w:w="1780" w:type="dxa"/>
            <w:vAlign w:val="bottom"/>
          </w:tcPr>
          <w:p>
            <w:pPr>
              <w:ind w:left="940"/>
              <w:spacing w:after="0"/>
              <w:rPr>
                <w:sz w:val="20"/>
                <w:szCs w:val="20"/>
                <w:color w:val="auto"/>
              </w:rPr>
            </w:pPr>
            <w:r>
              <w:rPr>
                <w:rFonts w:ascii="Arial" w:cs="Arial" w:eastAsia="Arial" w:hAnsi="Arial"/>
                <w:sz w:val="29"/>
                <w:szCs w:val="29"/>
                <w:b w:val="1"/>
                <w:bCs w:val="1"/>
                <w:color w:val="auto"/>
                <w:w w:val="86"/>
              </w:rPr>
              <w:t>Cowen</w:t>
            </w:r>
          </w:p>
        </w:tc>
      </w:tr>
      <w:tr>
        <w:trPr>
          <w:trHeight w:val="562"/>
        </w:trPr>
        <w:tc>
          <w:tcPr>
            <w:tcW w:w="2380" w:type="dxa"/>
            <w:vAlign w:val="bottom"/>
          </w:tcPr>
          <w:p>
            <w:pPr>
              <w:spacing w:after="0"/>
              <w:rPr>
                <w:sz w:val="24"/>
                <w:szCs w:val="24"/>
                <w:color w:val="auto"/>
              </w:rPr>
            </w:pPr>
          </w:p>
        </w:tc>
        <w:tc>
          <w:tcPr>
            <w:tcW w:w="4080" w:type="dxa"/>
            <w:vAlign w:val="bottom"/>
          </w:tcPr>
          <w:p>
            <w:pPr>
              <w:ind w:left="1440"/>
              <w:spacing w:after="0"/>
              <w:rPr>
                <w:sz w:val="20"/>
                <w:szCs w:val="20"/>
                <w:color w:val="auto"/>
              </w:rPr>
            </w:pPr>
            <w:r>
              <w:rPr>
                <w:rFonts w:ascii="Arial" w:cs="Arial" w:eastAsia="Arial" w:hAnsi="Arial"/>
                <w:sz w:val="18"/>
                <w:szCs w:val="18"/>
                <w:color w:val="auto"/>
              </w:rPr>
              <w:t>Prospectus dated</w:t>
            </w:r>
          </w:p>
        </w:tc>
        <w:tc>
          <w:tcPr>
            <w:tcW w:w="2960" w:type="dxa"/>
            <w:vAlign w:val="bottom"/>
          </w:tcPr>
          <w:p>
            <w:pPr>
              <w:jc w:val="right"/>
              <w:ind w:right="1932"/>
              <w:spacing w:after="0"/>
              <w:rPr>
                <w:sz w:val="20"/>
                <w:szCs w:val="20"/>
                <w:color w:val="auto"/>
              </w:rPr>
            </w:pPr>
            <w:r>
              <w:rPr>
                <w:rFonts w:ascii="Arial" w:cs="Arial" w:eastAsia="Arial" w:hAnsi="Arial"/>
                <w:sz w:val="18"/>
                <w:szCs w:val="18"/>
                <w:color w:val="auto"/>
              </w:rPr>
              <w:t>, 2021</w:t>
            </w:r>
          </w:p>
        </w:tc>
        <w:tc>
          <w:tcPr>
            <w:tcW w:w="17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PAGE</w:t>
            </w: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PROSPECTUS SUMMARY</w:t>
              </w:r>
            </w:hyperlink>
          </w:p>
        </w:tc>
        <w:tc>
          <w:tcPr>
            <w:tcW w:w="480" w:type="dxa"/>
            <w:vAlign w:val="bottom"/>
            <w:gridSpan w:val="2"/>
          </w:tcPr>
          <w:p>
            <w:pPr>
              <w:jc w:val="center"/>
              <w:ind w:left="151"/>
              <w:spacing w:after="0"/>
              <w:rPr>
                <w:rFonts w:ascii="Arial" w:cs="Arial" w:eastAsia="Arial" w:hAnsi="Arial"/>
                <w:sz w:val="18"/>
                <w:szCs w:val="18"/>
                <w:u w:val="single" w:color="auto"/>
                <w:color w:val="0000FF"/>
                <w:w w:val="79"/>
              </w:rPr>
            </w:pPr>
            <w:hyperlink w:anchor="page3">
              <w:r>
                <w:rPr>
                  <w:rFonts w:ascii="Arial" w:cs="Arial" w:eastAsia="Arial" w:hAnsi="Arial"/>
                  <w:sz w:val="18"/>
                  <w:szCs w:val="18"/>
                  <w:u w:val="single" w:color="auto"/>
                  <w:color w:val="0000FF"/>
                  <w:w w:val="79"/>
                </w:rPr>
                <w:t>1</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GLOSSARY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14</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RISK FACTORS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17</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SPECIAL NOTE REGARDING FORWARD-LOOKING STATEMENTS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59</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MARKET, INDUSTRY AND OTHER DATA</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61</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USE OF PROCEEDS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62</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DIVIDEND POLICY</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63</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CAPITALIZATION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64</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DILUTION</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67</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SELECTED FINANCIAL DATA</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1">
              <w:r>
                <w:rPr>
                  <w:rFonts w:ascii="Arial" w:cs="Arial" w:eastAsia="Arial" w:hAnsi="Arial"/>
                  <w:sz w:val="18"/>
                  <w:szCs w:val="18"/>
                  <w:u w:val="single" w:color="auto"/>
                  <w:color w:val="0000FF"/>
                  <w:w w:val="89"/>
                </w:rPr>
                <w:t>69</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MANAGEMENT’S DISCUSSION AND ANALYSIS OF FINANCIAL CONDITION AND RESULTS OF OPERATIONS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73">
              <w:r>
                <w:rPr>
                  <w:rFonts w:ascii="Arial" w:cs="Arial" w:eastAsia="Arial" w:hAnsi="Arial"/>
                  <w:sz w:val="18"/>
                  <w:szCs w:val="18"/>
                  <w:u w:val="single" w:color="auto"/>
                  <w:color w:val="0000FF"/>
                  <w:w w:val="89"/>
                </w:rPr>
                <w:t>71</w:t>
              </w:r>
            </w:hyperlink>
          </w:p>
        </w:tc>
        <w:tc>
          <w:tcPr>
            <w:tcW w:w="240" w:type="dxa"/>
            <w:vAlign w:val="bottom"/>
          </w:tcPr>
          <w:p>
            <w:pPr>
              <w:spacing w:after="0"/>
              <w:rPr>
                <w:sz w:val="19"/>
                <w:szCs w:val="19"/>
                <w:color w:val="auto"/>
              </w:rPr>
            </w:pPr>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BUSINESS</w:t>
              </w:r>
            </w:hyperlink>
          </w:p>
        </w:tc>
        <w:tc>
          <w:tcPr>
            <w:tcW w:w="480" w:type="dxa"/>
            <w:vAlign w:val="bottom"/>
            <w:gridSpan w:val="2"/>
          </w:tcPr>
          <w:p>
            <w:pPr>
              <w:jc w:val="center"/>
              <w:ind w:left="131"/>
              <w:spacing w:after="0"/>
              <w:rPr>
                <w:rFonts w:ascii="Arial" w:cs="Arial" w:eastAsia="Arial" w:hAnsi="Arial"/>
                <w:sz w:val="18"/>
                <w:szCs w:val="18"/>
                <w:u w:val="single" w:color="auto"/>
                <w:color w:val="0000FF"/>
                <w:w w:val="89"/>
              </w:rPr>
            </w:pPr>
            <w:hyperlink w:anchor="page88">
              <w:r>
                <w:rPr>
                  <w:rFonts w:ascii="Arial" w:cs="Arial" w:eastAsia="Arial" w:hAnsi="Arial"/>
                  <w:sz w:val="18"/>
                  <w:szCs w:val="18"/>
                  <w:u w:val="single" w:color="auto"/>
                  <w:color w:val="0000FF"/>
                  <w:w w:val="89"/>
                </w:rPr>
                <w:t>86</w:t>
              </w:r>
            </w:hyperlink>
          </w:p>
        </w:tc>
        <w:tc>
          <w:tcPr>
            <w:tcW w:w="240" w:type="dxa"/>
            <w:vAlign w:val="bottom"/>
          </w:tcPr>
          <w:p>
            <w:pPr>
              <w:spacing w:after="0"/>
              <w:rPr>
                <w:sz w:val="19"/>
                <w:szCs w:val="19"/>
                <w:color w:val="auto"/>
              </w:rPr>
            </w:pPr>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MANAGEMENT</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25">
              <w:r>
                <w:rPr>
                  <w:rFonts w:ascii="Arial" w:cs="Arial" w:eastAsia="Arial" w:hAnsi="Arial"/>
                  <w:sz w:val="18"/>
                  <w:szCs w:val="18"/>
                  <w:u w:val="single" w:color="auto"/>
                  <w:color w:val="0000FF"/>
                  <w:w w:val="93"/>
                </w:rPr>
                <w:t>123</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EXECUTIVE COMPENSATION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35">
              <w:r>
                <w:rPr>
                  <w:rFonts w:ascii="Arial" w:cs="Arial" w:eastAsia="Arial" w:hAnsi="Arial"/>
                  <w:sz w:val="18"/>
                  <w:szCs w:val="18"/>
                  <w:u w:val="single" w:color="auto"/>
                  <w:color w:val="0000FF"/>
                  <w:w w:val="93"/>
                </w:rPr>
                <w:t>133</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CERTAIN RELATIONSHIPS AND RELATED-PARTY TRANSACTIONS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54">
              <w:r>
                <w:rPr>
                  <w:rFonts w:ascii="Arial" w:cs="Arial" w:eastAsia="Arial" w:hAnsi="Arial"/>
                  <w:sz w:val="18"/>
                  <w:szCs w:val="18"/>
                  <w:u w:val="single" w:color="auto"/>
                  <w:color w:val="0000FF"/>
                  <w:w w:val="93"/>
                </w:rPr>
                <w:t>152</w:t>
              </w:r>
            </w:hyperlink>
          </w:p>
        </w:tc>
      </w:tr>
      <w:tr>
        <w:trPr>
          <w:trHeight w:val="190"/>
        </w:trPr>
        <w:tc>
          <w:tcPr>
            <w:tcW w:w="10500" w:type="dxa"/>
            <w:vAlign w:val="bottom"/>
            <w:gridSpan w:val="2"/>
          </w:tcPr>
          <w:p>
            <w:pPr>
              <w:spacing w:after="0" w:line="190" w:lineRule="exact"/>
              <w:rPr>
                <w:rFonts w:ascii="Arial" w:cs="Arial" w:eastAsia="Arial" w:hAnsi="Arial"/>
                <w:sz w:val="18"/>
                <w:szCs w:val="18"/>
                <w:color w:val="0000FF"/>
              </w:rPr>
            </w:pPr>
            <w:hyperlink w:anchor="page159">
              <w:r>
                <w:rPr>
                  <w:rFonts w:ascii="Arial" w:cs="Arial" w:eastAsia="Arial" w:hAnsi="Arial"/>
                  <w:sz w:val="18"/>
                  <w:szCs w:val="18"/>
                  <w:color w:val="0000FF"/>
                </w:rPr>
                <w:t>PRINCIPAL AND SELLING STOCKHOLDERS</w:t>
              </w:r>
            </w:hyperlink>
          </w:p>
        </w:tc>
        <w:tc>
          <w:tcPr>
            <w:tcW w:w="720" w:type="dxa"/>
            <w:vAlign w:val="bottom"/>
            <w:gridSpan w:val="3"/>
          </w:tcPr>
          <w:p>
            <w:pPr>
              <w:jc w:val="center"/>
              <w:spacing w:after="0" w:line="190" w:lineRule="exact"/>
              <w:rPr>
                <w:rFonts w:ascii="Arial" w:cs="Arial" w:eastAsia="Arial" w:hAnsi="Arial"/>
                <w:sz w:val="18"/>
                <w:szCs w:val="18"/>
                <w:u w:val="single" w:color="auto"/>
                <w:color w:val="0000FF"/>
                <w:w w:val="93"/>
              </w:rPr>
            </w:pPr>
            <w:hyperlink w:anchor="page159">
              <w:r>
                <w:rPr>
                  <w:rFonts w:ascii="Arial" w:cs="Arial" w:eastAsia="Arial" w:hAnsi="Arial"/>
                  <w:sz w:val="18"/>
                  <w:szCs w:val="18"/>
                  <w:u w:val="single" w:color="auto"/>
                  <w:color w:val="0000FF"/>
                  <w:w w:val="93"/>
                </w:rPr>
                <w:t>157</w:t>
              </w:r>
            </w:hyperlink>
          </w:p>
        </w:tc>
      </w:tr>
      <w:tr>
        <w:trPr>
          <w:trHeight w:val="249"/>
        </w:trPr>
        <w:tc>
          <w:tcPr>
            <w:tcW w:w="3600" w:type="dxa"/>
            <w:vAlign w:val="bottom"/>
            <w:tcBorders>
              <w:top w:val="single" w:sz="8" w:color="0000FF"/>
            </w:tcBorders>
          </w:tcPr>
          <w:p>
            <w:pPr>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DESCRIPTION OF CAPITAL STOCK</w:t>
              </w:r>
            </w:hyperlink>
          </w:p>
        </w:tc>
        <w:tc>
          <w:tcPr>
            <w:tcW w:w="6900" w:type="dxa"/>
            <w:vAlign w:val="bottom"/>
          </w:tcPr>
          <w:p>
            <w:pPr>
              <w:spacing w:after="0"/>
              <w:rPr>
                <w:sz w:val="21"/>
                <w:szCs w:val="21"/>
                <w:color w:val="auto"/>
              </w:rPr>
            </w:pPr>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3">
              <w:r>
                <w:rPr>
                  <w:rFonts w:ascii="Arial" w:cs="Arial" w:eastAsia="Arial" w:hAnsi="Arial"/>
                  <w:sz w:val="18"/>
                  <w:szCs w:val="18"/>
                  <w:u w:val="single" w:color="auto"/>
                  <w:color w:val="0000FF"/>
                  <w:w w:val="93"/>
                </w:rPr>
                <w:t>161</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69">
              <w:r>
                <w:rPr>
                  <w:rFonts w:ascii="Arial" w:cs="Arial" w:eastAsia="Arial" w:hAnsi="Arial"/>
                  <w:sz w:val="18"/>
                  <w:szCs w:val="18"/>
                  <w:u w:val="single" w:color="auto"/>
                  <w:color w:val="0000FF"/>
                </w:rPr>
                <w:t>SHARES ELIGIBLE FOR FUTURE SALE</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69">
              <w:r>
                <w:rPr>
                  <w:rFonts w:ascii="Arial" w:cs="Arial" w:eastAsia="Arial" w:hAnsi="Arial"/>
                  <w:sz w:val="18"/>
                  <w:szCs w:val="18"/>
                  <w:u w:val="single" w:color="auto"/>
                  <w:color w:val="0000FF"/>
                  <w:w w:val="93"/>
                </w:rPr>
                <w:t>167</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72">
              <w:r>
                <w:rPr>
                  <w:rFonts w:ascii="Arial" w:cs="Arial" w:eastAsia="Arial" w:hAnsi="Arial"/>
                  <w:sz w:val="18"/>
                  <w:szCs w:val="18"/>
                  <w:u w:val="single" w:color="auto"/>
                  <w:color w:val="0000FF"/>
                </w:rPr>
                <w:t>MATERIAL U.S. FEDERAL INCOME AND TAX CONSIDERATIONS FOR NON-U.S. HOLDERS OF OUR COMMON STOCK</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2">
              <w:r>
                <w:rPr>
                  <w:rFonts w:ascii="Arial" w:cs="Arial" w:eastAsia="Arial" w:hAnsi="Arial"/>
                  <w:sz w:val="18"/>
                  <w:szCs w:val="18"/>
                  <w:u w:val="single" w:color="auto"/>
                  <w:color w:val="0000FF"/>
                  <w:w w:val="93"/>
                </w:rPr>
                <w:t>170</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UNDERWRITING</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76">
              <w:r>
                <w:rPr>
                  <w:rFonts w:ascii="Arial" w:cs="Arial" w:eastAsia="Arial" w:hAnsi="Arial"/>
                  <w:sz w:val="18"/>
                  <w:szCs w:val="18"/>
                  <w:u w:val="single" w:color="auto"/>
                  <w:color w:val="0000FF"/>
                  <w:w w:val="93"/>
                </w:rPr>
                <w:t>174</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86">
              <w:r>
                <w:rPr>
                  <w:rFonts w:ascii="Arial" w:cs="Arial" w:eastAsia="Arial" w:hAnsi="Arial"/>
                  <w:sz w:val="18"/>
                  <w:szCs w:val="18"/>
                  <w:u w:val="single" w:color="auto"/>
                  <w:color w:val="0000FF"/>
                </w:rPr>
                <w:t>LEGAL MATTERS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6">
              <w:r>
                <w:rPr>
                  <w:rFonts w:ascii="Arial" w:cs="Arial" w:eastAsia="Arial" w:hAnsi="Arial"/>
                  <w:sz w:val="18"/>
                  <w:szCs w:val="18"/>
                  <w:u w:val="single" w:color="auto"/>
                  <w:color w:val="0000FF"/>
                  <w:w w:val="93"/>
                </w:rPr>
                <w:t>184</w:t>
              </w:r>
            </w:hyperlink>
          </w:p>
        </w:tc>
      </w:tr>
      <w:tr>
        <w:trPr>
          <w:trHeight w:val="230"/>
        </w:trPr>
        <w:tc>
          <w:tcPr>
            <w:tcW w:w="10500" w:type="dxa"/>
            <w:vAlign w:val="bottom"/>
            <w:gridSpan w:val="2"/>
          </w:tcPr>
          <w:p>
            <w:pPr>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EXPERTS</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7">
              <w:r>
                <w:rPr>
                  <w:rFonts w:ascii="Arial" w:cs="Arial" w:eastAsia="Arial" w:hAnsi="Arial"/>
                  <w:sz w:val="18"/>
                  <w:szCs w:val="18"/>
                  <w:u w:val="single" w:color="auto"/>
                  <w:color w:val="0000FF"/>
                  <w:w w:val="93"/>
                </w:rPr>
                <w:t>184</w:t>
              </w:r>
            </w:hyperlink>
          </w:p>
        </w:tc>
      </w:tr>
      <w:tr>
        <w:trPr>
          <w:trHeight w:val="229"/>
        </w:trPr>
        <w:tc>
          <w:tcPr>
            <w:tcW w:w="10500" w:type="dxa"/>
            <w:vAlign w:val="bottom"/>
            <w:gridSpan w:val="2"/>
          </w:tcPr>
          <w:p>
            <w:pPr>
              <w:spacing w:after="0"/>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WHERE YOU CAN FIND ADDITIONAL INFORMATION</w:t>
              </w:r>
            </w:hyperlink>
          </w:p>
        </w:tc>
        <w:tc>
          <w:tcPr>
            <w:tcW w:w="720" w:type="dxa"/>
            <w:vAlign w:val="bottom"/>
            <w:gridSpan w:val="3"/>
          </w:tcPr>
          <w:p>
            <w:pPr>
              <w:jc w:val="center"/>
              <w:spacing w:after="0"/>
              <w:rPr>
                <w:rFonts w:ascii="Arial" w:cs="Arial" w:eastAsia="Arial" w:hAnsi="Arial"/>
                <w:sz w:val="18"/>
                <w:szCs w:val="18"/>
                <w:u w:val="single" w:color="auto"/>
                <w:color w:val="0000FF"/>
                <w:w w:val="93"/>
              </w:rPr>
            </w:pPr>
            <w:hyperlink w:anchor="page187">
              <w:r>
                <w:rPr>
                  <w:rFonts w:ascii="Arial" w:cs="Arial" w:eastAsia="Arial" w:hAnsi="Arial"/>
                  <w:sz w:val="18"/>
                  <w:szCs w:val="18"/>
                  <w:u w:val="single" w:color="auto"/>
                  <w:color w:val="0000FF"/>
                  <w:w w:val="93"/>
                </w:rPr>
                <w:t>184</w:t>
              </w:r>
            </w:hyperlink>
          </w:p>
        </w:tc>
      </w:tr>
      <w:tr>
        <w:trPr>
          <w:trHeight w:val="190"/>
        </w:trPr>
        <w:tc>
          <w:tcPr>
            <w:tcW w:w="10500" w:type="dxa"/>
            <w:vAlign w:val="bottom"/>
            <w:gridSpan w:val="2"/>
          </w:tcPr>
          <w:p>
            <w:pPr>
              <w:spacing w:after="0" w:line="190" w:lineRule="exact"/>
              <w:rPr>
                <w:rFonts w:ascii="Arial" w:cs="Arial" w:eastAsia="Arial" w:hAnsi="Arial"/>
                <w:sz w:val="18"/>
                <w:szCs w:val="18"/>
                <w:u w:val="single" w:color="auto"/>
                <w:color w:val="0000FF"/>
              </w:rPr>
            </w:pPr>
            <w:hyperlink w:anchor="page187">
              <w:r>
                <w:rPr>
                  <w:rFonts w:ascii="Arial" w:cs="Arial" w:eastAsia="Arial" w:hAnsi="Arial"/>
                  <w:sz w:val="18"/>
                  <w:szCs w:val="18"/>
                  <w:u w:val="single" w:color="auto"/>
                  <w:color w:val="0000FF"/>
                </w:rPr>
                <w:t>INDEX TO FINANCIAL STATEMENTS</w:t>
              </w:r>
            </w:hyperlink>
          </w:p>
        </w:tc>
        <w:tc>
          <w:tcPr>
            <w:tcW w:w="240" w:type="dxa"/>
            <w:vAlign w:val="bottom"/>
          </w:tcPr>
          <w:p>
            <w:pPr>
              <w:spacing w:after="0"/>
              <w:rPr>
                <w:sz w:val="16"/>
                <w:szCs w:val="16"/>
                <w:color w:val="auto"/>
              </w:rPr>
            </w:pPr>
          </w:p>
        </w:tc>
        <w:tc>
          <w:tcPr>
            <w:tcW w:w="480" w:type="dxa"/>
            <w:vAlign w:val="bottom"/>
            <w:gridSpan w:val="2"/>
          </w:tcPr>
          <w:p>
            <w:pPr>
              <w:jc w:val="center"/>
              <w:ind w:right="240"/>
              <w:spacing w:after="0" w:line="190" w:lineRule="exact"/>
              <w:rPr>
                <w:rFonts w:ascii="Arial" w:cs="Arial" w:eastAsia="Arial" w:hAnsi="Arial"/>
                <w:sz w:val="18"/>
                <w:szCs w:val="18"/>
                <w:color w:val="0000FF"/>
                <w:w w:val="88"/>
              </w:rPr>
            </w:pPr>
            <w:hyperlink w:anchor="page187">
              <w:r>
                <w:rPr>
                  <w:rFonts w:ascii="Arial" w:cs="Arial" w:eastAsia="Arial" w:hAnsi="Arial"/>
                  <w:sz w:val="18"/>
                  <w:szCs w:val="18"/>
                  <w:color w:val="0000FF"/>
                  <w:w w:val="88"/>
                </w:rPr>
                <w:t>F-1</w:t>
              </w:r>
            </w:hyperlink>
          </w:p>
        </w:tc>
      </w:tr>
      <w:tr>
        <w:trPr>
          <w:trHeight w:val="20"/>
        </w:trPr>
        <w:tc>
          <w:tcPr>
            <w:tcW w:w="36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Neither we, the selling stockholders nor the underwriters have authorized anyone to provide you any information other than that contained in this prospectus or in any free writing prospectus prepared by or on behalf of us or to which we have referred you. We, the selling stockholders and the underwriters take no responsibility for, and can provide no assurance as to the reliability of, any other information that others may give you. Neither we, the selling stockholders nor the underwriters are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Class A common stock offered hereby. Our business, financial condition, results of operations and prospects may have changed since that date.</w:t>
      </w:r>
    </w:p>
    <w:p>
      <w:pPr>
        <w:spacing w:after="0" w:line="12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For investors outside of the United States: neither we, the selling stockholders nor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ectPr>
          <w:pgSz w:w="11900" w:h="16838" w:orient="portrait"/>
          <w:cols w:equalWidth="0" w:num="1">
            <w:col w:w="11240"/>
          </w:cols>
          <w:pgMar w:left="320" w:top="1440"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030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and “Management’s Discussion and Analysis of Financial Condition and Results of Operations,” and our financial statements and related notes. In this prospectus, unless the context requires otherwise, references to “we,” “us,” “our,” “Seer,” or “the Company” refer to Seer, Inc. A summary of key terms used in this prospectus can be found in the section titled “Glossary” located after this Prospectus Summary.</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5" w:lineRule="exact"/>
        <w:rPr>
          <w:sz w:val="20"/>
          <w:szCs w:val="20"/>
          <w:color w:val="auto"/>
        </w:rPr>
      </w:pPr>
    </w:p>
    <w:p>
      <w:pPr>
        <w:ind w:left="340" w:right="40" w:firstLine="324"/>
        <w:spacing w:after="0" w:line="268" w:lineRule="auto"/>
        <w:rPr>
          <w:sz w:val="20"/>
          <w:szCs w:val="20"/>
          <w:color w:val="auto"/>
        </w:rPr>
      </w:pPr>
      <w:r>
        <w:rPr>
          <w:rFonts w:ascii="Arial" w:cs="Arial" w:eastAsia="Arial" w:hAnsi="Arial"/>
          <w:sz w:val="17"/>
          <w:szCs w:val="17"/>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7"/>
          <w:szCs w:val="17"/>
          <w:i w:val="1"/>
          <w:iCs w:val="1"/>
          <w:color w:val="auto"/>
        </w:rPr>
        <w:t>de novo</w:t>
      </w:r>
      <w:r>
        <w:rPr>
          <w:rFonts w:ascii="Arial" w:cs="Arial" w:eastAsia="Arial" w:hAnsi="Arial"/>
          <w:sz w:val="17"/>
          <w:szCs w:val="17"/>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00"/>
          </w:cols>
          <w:pgMar w:left="660" w:top="121" w:right="1039" w:bottom="1440" w:gutter="0" w:footer="0" w:header="0"/>
        </w:sectPr>
      </w:pPr>
    </w:p>
    <w:bookmarkStart w:id="4" w:name="page5"/>
    <w:bookmarkEnd w:id="4"/>
    <w:p>
      <w:pPr>
        <w:spacing w:after="0"/>
        <w:rPr>
          <w:rFonts w:ascii="Arial" w:cs="Arial" w:eastAsia="Arial" w:hAnsi="Arial"/>
          <w:sz w:val="15"/>
          <w:szCs w:val="15"/>
          <w:b w:val="1"/>
          <w:bCs w:val="1"/>
          <w:u w:val="single" w:color="auto"/>
          <w:color w:val="0000FF"/>
        </w:rPr>
      </w:pPr>
      <w:hyperlink w:anchor="page2">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324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324725"/>
                    </a:xfrm>
                    <a:prstGeom prst="rect">
                      <a:avLst/>
                    </a:prstGeom>
                    <a:noFill/>
                  </pic:spPr>
                </pic:pic>
              </a:graphicData>
            </a:graphic>
          </wp:anchor>
        </w:drawing>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20" w:firstLine="324"/>
        <w:spacing w:after="0" w:line="285" w:lineRule="auto"/>
        <w:rPr>
          <w:sz w:val="20"/>
          <w:szCs w:val="20"/>
          <w:color w:val="auto"/>
        </w:rPr>
      </w:pPr>
      <w:r>
        <w:rPr>
          <w:rFonts w:ascii="Arial" w:cs="Arial" w:eastAsia="Arial" w:hAnsi="Arial"/>
          <w:sz w:val="16"/>
          <w:szCs w:val="16"/>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delivered a second Proteograph to a collaborator in December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left="340" w:firstLine="324"/>
        <w:spacing w:after="0" w:line="269" w:lineRule="auto"/>
        <w:rPr>
          <w:sz w:val="20"/>
          <w:szCs w:val="20"/>
          <w:color w:val="auto"/>
        </w:rPr>
      </w:pPr>
      <w:r>
        <w:rPr>
          <w:rFonts w:ascii="Arial" w:cs="Arial" w:eastAsia="Arial" w:hAnsi="Arial"/>
          <w:sz w:val="17"/>
          <w:szCs w:val="17"/>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20"/>
          </w:cols>
          <w:pgMar w:left="660" w:top="121" w:right="10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819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81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Background of Massively Parallel Sampling</w:t>
      </w:r>
    </w:p>
    <w:p>
      <w:pPr>
        <w:spacing w:after="0" w:line="171"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 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Engineered Nanoparticle Technology</w:t>
      </w:r>
    </w:p>
    <w:p>
      <w:pPr>
        <w:spacing w:after="0" w:line="171" w:lineRule="exact"/>
        <w:rPr>
          <w:sz w:val="20"/>
          <w:szCs w:val="20"/>
          <w:color w:val="auto"/>
        </w:rPr>
      </w:pPr>
    </w:p>
    <w:p>
      <w:pPr>
        <w:ind w:left="340" w:firstLine="324"/>
        <w:spacing w:after="0" w:line="296" w:lineRule="auto"/>
        <w:rPr>
          <w:sz w:val="20"/>
          <w:szCs w:val="20"/>
          <w:color w:val="auto"/>
        </w:rPr>
      </w:pPr>
      <w:r>
        <w:rPr>
          <w:rFonts w:ascii="Arial" w:cs="Arial" w:eastAsia="Arial" w:hAnsi="Arial"/>
          <w:sz w:val="16"/>
          <w:szCs w:val="16"/>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07" w:lineRule="exact"/>
        <w:rPr>
          <w:sz w:val="20"/>
          <w:szCs w:val="20"/>
          <w:color w:val="auto"/>
        </w:rPr>
      </w:pPr>
    </w:p>
    <w:p>
      <w:pPr>
        <w:ind w:left="340" w:right="8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138" w:lineRule="exact"/>
        <w:rPr>
          <w:sz w:val="20"/>
          <w:szCs w:val="20"/>
          <w:color w:val="auto"/>
        </w:rPr>
      </w:pPr>
    </w:p>
    <w:p>
      <w:pPr>
        <w:ind w:left="340" w:right="40" w:firstLine="324"/>
        <w:spacing w:after="0" w:line="287" w:lineRule="auto"/>
        <w:rPr>
          <w:sz w:val="20"/>
          <w:szCs w:val="20"/>
          <w:color w:val="auto"/>
        </w:rPr>
      </w:pPr>
      <w:r>
        <w:rPr>
          <w:rFonts w:ascii="Arial" w:cs="Arial" w:eastAsia="Arial" w:hAnsi="Arial"/>
          <w:sz w:val="16"/>
          <w:szCs w:val="16"/>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mass spectrometry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20"/>
          </w:cols>
          <w:pgMar w:left="660" w:top="121" w:right="101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055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980" w:hanging="32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980" w:right="20" w:hanging="322"/>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69" w:lineRule="exact"/>
        <w:rPr>
          <w:rFonts w:ascii="Arial" w:cs="Arial" w:eastAsia="Arial" w:hAnsi="Arial"/>
          <w:sz w:val="16"/>
          <w:szCs w:val="16"/>
          <w:color w:val="auto"/>
        </w:rPr>
      </w:pPr>
    </w:p>
    <w:p>
      <w:pPr>
        <w:ind w:left="980" w:hanging="32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980" w:hanging="32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980" w:right="100" w:hanging="322"/>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machine learning to design, synthesize and select different NPs and NP panels to create multiple products and applications; and</w:t>
      </w:r>
    </w:p>
    <w:p>
      <w:pPr>
        <w:spacing w:after="0" w:line="116" w:lineRule="exact"/>
        <w:rPr>
          <w:rFonts w:ascii="Arial" w:cs="Arial" w:eastAsia="Arial" w:hAnsi="Arial"/>
          <w:sz w:val="18"/>
          <w:szCs w:val="18"/>
          <w:color w:val="auto"/>
        </w:rPr>
      </w:pPr>
    </w:p>
    <w:p>
      <w:pPr>
        <w:ind w:left="980" w:right="600" w:hanging="322"/>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left="340" w:firstLine="324"/>
        <w:spacing w:after="0" w:line="301" w:lineRule="auto"/>
        <w:rPr>
          <w:sz w:val="20"/>
          <w:szCs w:val="20"/>
          <w:color w:val="auto"/>
        </w:rPr>
      </w:pPr>
      <w:r>
        <w:rPr>
          <w:rFonts w:ascii="Arial" w:cs="Arial" w:eastAsia="Arial" w:hAnsi="Arial"/>
          <w:sz w:val="16"/>
          <w:szCs w:val="16"/>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40"/>
          </w:cols>
          <w:pgMar w:left="660" w:top="121" w:right="999" w:bottom="1440" w:gutter="0" w:footer="0" w:header="0"/>
        </w:sectPr>
      </w:pPr>
    </w:p>
    <w:bookmarkStart w:id="7" w:name="page8"/>
    <w:bookmarkEnd w:id="7"/>
    <w:p>
      <w:pPr>
        <w:spacing w:after="0"/>
        <w:rPr>
          <w:rFonts w:ascii="Arial" w:cs="Arial" w:eastAsia="Arial" w:hAnsi="Arial"/>
          <w:sz w:val="15"/>
          <w:szCs w:val="15"/>
          <w:b w:val="1"/>
          <w:bCs w:val="1"/>
          <w:u w:val="single" w:color="auto"/>
          <w:color w:val="0000FF"/>
        </w:rPr>
      </w:pPr>
      <w:hyperlink w:anchor="page2">
        <w:r>
          <w:rPr>
            <w:rFonts w:ascii="Arial" w:cs="Arial" w:eastAsia="Arial" w:hAnsi="Arial"/>
            <w:sz w:val="15"/>
            <w:szCs w:val="15"/>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826135</wp:posOffset>
            </wp:positionV>
            <wp:extent cx="7136130" cy="7890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890510"/>
                    </a:xfrm>
                    <a:prstGeom prst="rect">
                      <a:avLst/>
                    </a:prstGeom>
                    <a:noFill/>
                  </pic:spPr>
                </pic:pic>
              </a:graphicData>
            </a:graphic>
          </wp:anchor>
        </w:drawing>
      </w:r>
    </w:p>
    <w:p>
      <w:pPr>
        <w:sectPr>
          <w:pgSz w:w="11900" w:h="16838" w:orient="portrait"/>
          <w:cols w:equalWidth="0" w:num="1">
            <w:col w:w="10220"/>
          </w:cols>
          <w:pgMar w:left="66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Proteograph’s key components are the following:</w:t>
      </w:r>
    </w:p>
    <w:p>
      <w:pPr>
        <w:spacing w:after="0" w:line="171" w:lineRule="exact"/>
        <w:rPr>
          <w:sz w:val="20"/>
          <w:szCs w:val="20"/>
          <w:color w:val="auto"/>
        </w:rPr>
      </w:pPr>
    </w:p>
    <w:p>
      <w:pPr>
        <w:ind w:left="980" w:right="140" w:hanging="322"/>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Consumables: Our Proteograph consumables consist of our NP panel and all other consumables necessary to assay samples on our automation instrument.</w:t>
      </w:r>
    </w:p>
    <w:p>
      <w:pPr>
        <w:spacing w:after="0" w:line="116" w:lineRule="exact"/>
        <w:rPr>
          <w:rFonts w:ascii="Arial" w:cs="Arial" w:eastAsia="Arial" w:hAnsi="Arial"/>
          <w:sz w:val="18"/>
          <w:szCs w:val="18"/>
          <w:color w:val="auto"/>
        </w:rPr>
      </w:pPr>
    </w:p>
    <w:p>
      <w:pPr>
        <w:ind w:left="980" w:hanging="322"/>
        <w:spacing w:after="0" w:line="259"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w:t>
      </w:r>
    </w:p>
    <w:p>
      <w:pPr>
        <w:spacing w:after="0" w:line="132"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Our Proteograph software was designed for ease-of-use and was developed to help users arrive at insights quickly and efficiently following peptide detection by an MS instrument.</w:t>
      </w:r>
    </w:p>
    <w:p>
      <w:pPr>
        <w:spacing w:after="0" w:line="116" w:lineRule="exact"/>
        <w:rPr>
          <w:sz w:val="20"/>
          <w:szCs w:val="20"/>
          <w:color w:val="auto"/>
        </w:rPr>
      </w:pPr>
    </w:p>
    <w:p>
      <w:pPr>
        <w:ind w:left="340" w:right="160" w:firstLine="324"/>
        <w:spacing w:after="0" w:line="255" w:lineRule="auto"/>
        <w:rPr>
          <w:sz w:val="20"/>
          <w:szCs w:val="20"/>
          <w:color w:val="auto"/>
        </w:rPr>
      </w:pPr>
      <w:r>
        <w:rPr>
          <w:rFonts w:ascii="Arial" w:cs="Arial" w:eastAsia="Arial" w:hAnsi="Arial"/>
          <w:sz w:val="18"/>
          <w:szCs w:val="18"/>
          <w:color w:val="auto"/>
        </w:rPr>
        <w:t>The output from our automation instrument is peptides ready to be processed on an MS instrument, which is a widely-accessible platform for protein detection. The Proteograph Product Suite is detector 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w:t>
      </w:r>
    </w:p>
    <w:p>
      <w:pPr>
        <w:spacing w:after="0" w:line="138" w:lineRule="exact"/>
        <w:rPr>
          <w:sz w:val="20"/>
          <w:szCs w:val="20"/>
          <w:color w:val="auto"/>
        </w:rPr>
      </w:pPr>
    </w:p>
    <w:p>
      <w:pPr>
        <w:ind w:left="340" w:right="40" w:firstLine="324"/>
        <w:spacing w:after="0" w:line="259" w:lineRule="auto"/>
        <w:rPr>
          <w:sz w:val="20"/>
          <w:szCs w:val="20"/>
          <w:color w:val="auto"/>
        </w:rPr>
      </w:pPr>
      <w:r>
        <w:rPr>
          <w:rFonts w:ascii="Arial" w:cs="Arial" w:eastAsia="Arial" w:hAnsi="Arial"/>
          <w:sz w:val="18"/>
          <w:szCs w:val="18"/>
          <w:color w:val="auto"/>
        </w:rPr>
        <w:t>For our first Proteograph assay, we will employ a panel of five NPs.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Proteograph Product Suite Performance</w:t>
      </w:r>
    </w:p>
    <w:p>
      <w:pPr>
        <w:spacing w:after="0" w:line="171" w:lineRule="exact"/>
        <w:rPr>
          <w:sz w:val="20"/>
          <w:szCs w:val="20"/>
          <w:color w:val="auto"/>
        </w:rPr>
      </w:pPr>
    </w:p>
    <w:p>
      <w:pPr>
        <w:ind w:left="340" w:right="120" w:firstLine="324"/>
        <w:spacing w:after="0" w:line="301" w:lineRule="auto"/>
        <w:rPr>
          <w:sz w:val="20"/>
          <w:szCs w:val="20"/>
          <w:color w:val="auto"/>
        </w:rPr>
      </w:pPr>
      <w:r>
        <w:rPr>
          <w:rFonts w:ascii="Arial" w:cs="Arial" w:eastAsia="Arial" w:hAnsi="Arial"/>
          <w:sz w:val="16"/>
          <w:szCs w:val="16"/>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w:t>
      </w:r>
    </w:p>
    <w:p>
      <w:pPr>
        <w:spacing w:after="0" w:line="103" w:lineRule="exact"/>
        <w:rPr>
          <w:sz w:val="20"/>
          <w:szCs w:val="20"/>
          <w:color w:val="auto"/>
        </w:rPr>
      </w:pPr>
    </w:p>
    <w:p>
      <w:pPr>
        <w:jc w:val="both"/>
        <w:ind w:left="980" w:right="20" w:hanging="322"/>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 parallel sampling of the proteome across its entire dynamic range, from high to low abundant proteins. Given the unique characteristics of our NPs, our Proteograph Product Suite allows</w:t>
      </w: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20"/>
          </w:cols>
          <w:pgMar w:left="660" w:top="121" w:right="10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299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80" w:right="420"/>
        <w:spacing w:after="0" w:line="279" w:lineRule="auto"/>
        <w:rPr>
          <w:sz w:val="20"/>
          <w:szCs w:val="20"/>
          <w:color w:val="auto"/>
        </w:rPr>
      </w:pPr>
      <w:r>
        <w:rPr>
          <w:rFonts w:ascii="Arial" w:cs="Arial" w:eastAsia="Arial" w:hAnsi="Arial"/>
          <w:sz w:val="17"/>
          <w:szCs w:val="17"/>
          <w:color w:val="auto"/>
        </w:rPr>
        <w:t>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 leverages a panel of unique NPs to capture significantly more proteins and protein variants than current methods of unbiased proteomic analysis.</w:t>
      </w:r>
    </w:p>
    <w:p>
      <w:pPr>
        <w:spacing w:after="0" w:line="117" w:lineRule="exact"/>
        <w:rPr>
          <w:sz w:val="20"/>
          <w:szCs w:val="20"/>
          <w:color w:val="auto"/>
        </w:rPr>
      </w:pPr>
    </w:p>
    <w:p>
      <w:pPr>
        <w:ind w:left="980" w:right="60" w:hanging="322"/>
        <w:spacing w:after="0" w:line="293"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Depth of coverage. </w:t>
      </w:r>
      <w:r>
        <w:rPr>
          <w:rFonts w:ascii="Arial" w:cs="Arial" w:eastAsia="Arial" w:hAnsi="Arial"/>
          <w:sz w:val="16"/>
          <w:szCs w:val="16"/>
          <w:color w:val="auto"/>
        </w:rPr>
        <w:t>Depth of coverage refers to our Proteograph’s ability to evaluate the proteome across the wide dynamic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range of abundance of 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w:t>
      </w:r>
    </w:p>
    <w:p>
      <w:pPr>
        <w:spacing w:after="0" w:line="110" w:lineRule="exact"/>
        <w:rPr>
          <w:rFonts w:ascii="Arial" w:cs="Arial" w:eastAsia="Arial" w:hAnsi="Arial"/>
          <w:sz w:val="16"/>
          <w:szCs w:val="16"/>
          <w:color w:val="auto"/>
        </w:rPr>
      </w:pPr>
    </w:p>
    <w:p>
      <w:pPr>
        <w:ind w:left="980" w:right="20" w:hanging="322"/>
        <w:spacing w:after="0" w:line="279"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sample. Accuracy of protein abundance measurement can be demonstrated by MS signal intensity of the proteins sampled with our Proteograph, and comparing these values with measurements obtained directly by immuno-assay (ELISA). Our Proteograph assay can distinguish changes in protein abundance with significant accuracy.</w:t>
      </w:r>
    </w:p>
    <w:p>
      <w:pPr>
        <w:spacing w:after="0" w:line="117" w:lineRule="exact"/>
        <w:rPr>
          <w:rFonts w:ascii="Arial" w:cs="Arial" w:eastAsia="Arial" w:hAnsi="Arial"/>
          <w:sz w:val="17"/>
          <w:szCs w:val="17"/>
          <w:color w:val="auto"/>
        </w:rPr>
      </w:pPr>
    </w:p>
    <w:p>
      <w:pPr>
        <w:ind w:left="980" w:hanging="322"/>
        <w:spacing w:after="0" w:line="255"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Precision of measurement. </w:t>
      </w:r>
      <w:r>
        <w:rPr>
          <w:rFonts w:ascii="Arial" w:cs="Arial" w:eastAsia="Arial" w:hAnsi="Arial"/>
          <w:sz w:val="18"/>
          <w:szCs w:val="18"/>
          <w:color w:val="auto"/>
        </w:rPr>
        <w:t>Precision refers to how close several measurements of protein abundance in the same sample are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other. Less 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Our Proteograph analysis shows lower CV%s than fractionation and depletion methods, which is notable since we achieve lower CV%s while concurrently sampling significantly more proteins.</w:t>
      </w:r>
    </w:p>
    <w:p>
      <w:pPr>
        <w:spacing w:after="0" w:line="134" w:lineRule="exact"/>
        <w:rPr>
          <w:rFonts w:ascii="Arial" w:cs="Arial" w:eastAsia="Arial" w:hAnsi="Arial"/>
          <w:sz w:val="18"/>
          <w:szCs w:val="18"/>
          <w:color w:val="auto"/>
        </w:rPr>
      </w:pPr>
    </w:p>
    <w:p>
      <w:pPr>
        <w:ind w:left="980" w:right="120" w:hanging="322"/>
        <w:spacing w:after="0" w:line="261"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Rapid and large-scale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Proteograph enables rapid and large-scale proteomic sample processing in a seven-hour workflow,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unbiased solutions that can take days to weeks. We believe this increased throughput will enable researchers to perform large-scale proteomics studies that were not previously accessible, but are needed for a more complete characterization of the proteome, and thus biology.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left="340" w:right="4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38" w:lineRule="exact"/>
        <w:rPr>
          <w:sz w:val="20"/>
          <w:szCs w:val="20"/>
          <w:color w:val="auto"/>
        </w:rPr>
      </w:pPr>
    </w:p>
    <w:p>
      <w:pPr>
        <w:ind w:left="340" w:right="200" w:firstLine="324"/>
        <w:spacing w:after="0" w:line="290" w:lineRule="auto"/>
        <w:rPr>
          <w:sz w:val="20"/>
          <w:szCs w:val="20"/>
          <w:color w:val="auto"/>
        </w:rPr>
      </w:pPr>
      <w:r>
        <w:rPr>
          <w:rFonts w:ascii="Arial" w:cs="Arial" w:eastAsia="Arial" w:hAnsi="Arial"/>
          <w:sz w:val="16"/>
          <w:szCs w:val="16"/>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w:t>
      </w:r>
    </w:p>
    <w:p>
      <w:pPr>
        <w:sectPr>
          <w:pgSz w:w="11900" w:h="16838" w:orient="portrait"/>
          <w:cols w:equalWidth="0" w:num="1">
            <w:col w:w="10240"/>
          </w:cols>
          <w:pgMar w:left="66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240"/>
          </w:cols>
          <w:pgMar w:left="660" w:top="121" w:right="9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676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67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proprietary engineered NP technology and Proteograph Product Suite have the following advantages:</w:t>
      </w:r>
    </w:p>
    <w:p>
      <w:pPr>
        <w:spacing w:after="0" w:line="171" w:lineRule="exact"/>
        <w:rPr>
          <w:sz w:val="20"/>
          <w:szCs w:val="20"/>
          <w:color w:val="auto"/>
        </w:rPr>
      </w:pPr>
    </w:p>
    <w:p>
      <w:pPr>
        <w:ind w:left="980" w:right="6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Proteograph Product Suite is expected to be the first commercially available solution to provide the combination of unbiased, deep, rapid and large-scale access to the proteome.</w:t>
      </w:r>
    </w:p>
    <w:p>
      <w:pPr>
        <w:spacing w:after="0" w:line="116" w:lineRule="exact"/>
        <w:rPr>
          <w:rFonts w:ascii="Arial" w:cs="Arial" w:eastAsia="Arial" w:hAnsi="Arial"/>
          <w:sz w:val="18"/>
          <w:szCs w:val="18"/>
          <w:color w:val="auto"/>
        </w:rPr>
      </w:pPr>
    </w:p>
    <w:p>
      <w:pPr>
        <w:ind w:left="980" w:right="180" w:hanging="322"/>
        <w:spacing w:after="0" w:line="308"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Proteograph Product Suite provides insight into protein variation and PPIs at a depth and scale that we believe sets a new standard for unbiased and deep proteomics, and is unattainable with other existing approaches.</w:t>
      </w:r>
    </w:p>
    <w:p>
      <w:pPr>
        <w:spacing w:after="0" w:line="92" w:lineRule="exact"/>
        <w:rPr>
          <w:rFonts w:ascii="Arial" w:cs="Arial" w:eastAsia="Arial" w:hAnsi="Arial"/>
          <w:sz w:val="17"/>
          <w:szCs w:val="17"/>
          <w:color w:val="auto"/>
        </w:rPr>
      </w:pPr>
    </w:p>
    <w:p>
      <w:pPr>
        <w:ind w:left="980" w:right="8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Proteograph Product Suite was designed to enable broad adoption across a wide variety of customers in both decentralized and centralized settings.</w:t>
      </w:r>
    </w:p>
    <w:p>
      <w:pPr>
        <w:spacing w:after="0" w:line="116" w:lineRule="exact"/>
        <w:rPr>
          <w:rFonts w:ascii="Arial" w:cs="Arial" w:eastAsia="Arial" w:hAnsi="Arial"/>
          <w:sz w:val="18"/>
          <w:szCs w:val="18"/>
          <w:color w:val="auto"/>
        </w:rPr>
      </w:pPr>
    </w:p>
    <w:p>
      <w:pPr>
        <w:ind w:left="980" w:right="60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proprietary engineered NPs are a core technology from which we can develop a range of products, applications and platforms.</w:t>
      </w:r>
    </w:p>
    <w:p>
      <w:pPr>
        <w:spacing w:after="0" w:line="116" w:lineRule="exact"/>
        <w:rPr>
          <w:rFonts w:ascii="Arial" w:cs="Arial" w:eastAsia="Arial" w:hAnsi="Arial"/>
          <w:sz w:val="18"/>
          <w:szCs w:val="18"/>
          <w:color w:val="auto"/>
        </w:rPr>
      </w:pPr>
    </w:p>
    <w:p>
      <w:pPr>
        <w:ind w:left="980" w:right="520" w:hanging="322"/>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NP technology inherently provides significant operational leverage in research and development, manufacturing and commercialization.</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Proteograph Product Suite has the potential to provide sustainable differentiation.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340" w:right="48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980" w:right="30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Drive adoption of our Proteograph Product Suite to enable researchers to create large-scale unbiased proteomic datasets that generate transformative scientific insights.</w:t>
      </w:r>
    </w:p>
    <w:p>
      <w:pPr>
        <w:spacing w:after="0" w:line="116" w:lineRule="exact"/>
        <w:rPr>
          <w:rFonts w:ascii="Arial" w:cs="Arial" w:eastAsia="Arial" w:hAnsi="Arial"/>
          <w:sz w:val="18"/>
          <w:szCs w:val="18"/>
          <w:color w:val="auto"/>
        </w:rPr>
      </w:pPr>
    </w:p>
    <w:p>
      <w:pPr>
        <w:ind w:left="980" w:right="8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 in market development activities to increase awareness of the importance of large-scale proteomic data and the ability to access it.</w:t>
      </w:r>
    </w:p>
    <w:p>
      <w:pPr>
        <w:spacing w:after="0" w:line="116" w:lineRule="exact"/>
        <w:rPr>
          <w:rFonts w:ascii="Arial" w:cs="Arial" w:eastAsia="Arial" w:hAnsi="Arial"/>
          <w:sz w:val="18"/>
          <w:szCs w:val="18"/>
          <w:color w:val="auto"/>
        </w:rPr>
      </w:pPr>
    </w:p>
    <w:p>
      <w:pPr>
        <w:ind w:left="980" w:right="2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Continually innovate to develop and commercialize additional transformative products to access the proteome and accelerate our understanding of biology.</w:t>
      </w:r>
    </w:p>
    <w:p>
      <w:pPr>
        <w:spacing w:after="0" w:line="116" w:lineRule="exact"/>
        <w:rPr>
          <w:rFonts w:ascii="Arial" w:cs="Arial" w:eastAsia="Arial" w:hAnsi="Arial"/>
          <w:sz w:val="18"/>
          <w:szCs w:val="18"/>
          <w:color w:val="auto"/>
        </w:rPr>
      </w:pPr>
    </w:p>
    <w:p>
      <w:pPr>
        <w:ind w:left="980" w:right="3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build our commercial infrastructure and NP manufacturing capabilities to provide for our commercial launch in the United States and internationally.</w:t>
      </w:r>
    </w:p>
    <w:p>
      <w:pPr>
        <w:spacing w:after="0" w:line="116" w:lineRule="exact"/>
        <w:rPr>
          <w:rFonts w:ascii="Arial" w:cs="Arial" w:eastAsia="Arial" w:hAnsi="Arial"/>
          <w:sz w:val="18"/>
          <w:szCs w:val="18"/>
          <w:color w:val="auto"/>
        </w:rPr>
      </w:pPr>
    </w:p>
    <w:p>
      <w:pPr>
        <w:ind w:left="980" w:right="320" w:hanging="322"/>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Foster the creation of an ecosystem of customers, partners and collaborators whose expertise and offerings complement and enhance the power and utility of our products.</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 our proprietary engineered NP technology to analyze molecules beyond proteins.</w:t>
      </w:r>
    </w:p>
    <w:p>
      <w:pPr>
        <w:sectPr>
          <w:pgSz w:w="11900" w:h="16838" w:orient="portrait"/>
          <w:cols w:equalWidth="0" w:num="1">
            <w:col w:w="10200"/>
          </w:cols>
          <w:pgMar w:left="66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200"/>
          </w:cols>
          <w:pgMar w:left="660" w:top="121" w:right="10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333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Associated with Our Business</w:t>
      </w:r>
    </w:p>
    <w:p>
      <w:pPr>
        <w:spacing w:after="0" w:line="175" w:lineRule="exact"/>
        <w:rPr>
          <w:sz w:val="20"/>
          <w:szCs w:val="20"/>
          <w:color w:val="auto"/>
        </w:rPr>
      </w:pPr>
    </w:p>
    <w:p>
      <w:pPr>
        <w:ind w:left="340" w:right="60" w:firstLine="324"/>
        <w:spacing w:after="0" w:line="342" w:lineRule="auto"/>
        <w:rPr>
          <w:sz w:val="20"/>
          <w:szCs w:val="20"/>
          <w:color w:val="auto"/>
        </w:rPr>
      </w:pPr>
      <w:r>
        <w:rPr>
          <w:rFonts w:ascii="Arial" w:cs="Arial" w:eastAsia="Arial" w:hAnsi="Arial"/>
          <w:sz w:val="16"/>
          <w:szCs w:val="16"/>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70" w:lineRule="exact"/>
        <w:rPr>
          <w:sz w:val="20"/>
          <w:szCs w:val="20"/>
          <w:color w:val="auto"/>
        </w:rPr>
      </w:pPr>
    </w:p>
    <w:p>
      <w:pPr>
        <w:ind w:left="980" w:right="8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980" w:right="22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980" w:right="8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980" w:right="200" w:hanging="322"/>
        <w:spacing w:after="0" w:line="308"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92" w:lineRule="exact"/>
        <w:rPr>
          <w:rFonts w:ascii="Arial" w:cs="Arial" w:eastAsia="Arial" w:hAnsi="Arial"/>
          <w:sz w:val="17"/>
          <w:szCs w:val="17"/>
          <w:color w:val="auto"/>
        </w:rPr>
      </w:pPr>
    </w:p>
    <w:p>
      <w:pPr>
        <w:ind w:left="980" w:right="12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98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980" w:right="34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980" w:right="120" w:hanging="322"/>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980" w:right="360" w:hanging="322"/>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2" w:lineRule="exact"/>
        <w:rPr>
          <w:rFonts w:ascii="Arial" w:cs="Arial" w:eastAsia="Arial" w:hAnsi="Arial"/>
          <w:sz w:val="18"/>
          <w:szCs w:val="18"/>
          <w:color w:val="auto"/>
        </w:rPr>
      </w:pPr>
    </w:p>
    <w:p>
      <w:pPr>
        <w:ind w:left="980" w:right="20" w:hanging="322"/>
        <w:spacing w:after="0" w:line="30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left="340" w:firstLine="324"/>
        <w:spacing w:after="0" w:line="296" w:lineRule="auto"/>
        <w:rPr>
          <w:sz w:val="20"/>
          <w:szCs w:val="20"/>
          <w:color w:val="auto"/>
        </w:rPr>
      </w:pPr>
      <w:r>
        <w:rPr>
          <w:rFonts w:ascii="Arial" w:cs="Arial" w:eastAsia="Arial" w:hAnsi="Arial"/>
          <w:sz w:val="16"/>
          <w:szCs w:val="16"/>
          <w:color w:val="auto"/>
          <w:highlight w:val="white"/>
        </w:rPr>
        <w:t xml:space="preserve">On January 5, 2021, we signed a collaboration program agreement with Discovery Life Sciences, LLC (DLS), who is our third collaboration customer. DLS is a highly respected leader in multi-omics services spanning a range of research and translational offerings including whole genome sequencing, RNA sequencing, metagenomics, epigenomics, and single-cell analysis at scale. DLS is adding the Proteograph to extend its capabilities into unbiased, deep, rapid and large-scale proteomics as a complementary capability to its existing multi-omics capabilities to offer </w:t>
      </w:r>
      <w:r>
        <w:rPr>
          <w:rFonts w:ascii="Arial" w:cs="Arial" w:eastAsia="Arial" w:hAnsi="Arial"/>
          <w:sz w:val="16"/>
          <w:szCs w:val="16"/>
          <w:color w:val="auto"/>
        </w:rPr>
        <w:t>proteomic, proteogenomics and other multi-omic services to its customers.</w:t>
      </w:r>
    </w:p>
    <w:p>
      <w:pPr>
        <w:spacing w:after="0" w:line="107" w:lineRule="exact"/>
        <w:rPr>
          <w:sz w:val="20"/>
          <w:szCs w:val="20"/>
          <w:color w:val="auto"/>
        </w:rPr>
      </w:pPr>
    </w:p>
    <w:p>
      <w:pPr>
        <w:ind w:left="340" w:right="60" w:firstLine="324"/>
        <w:spacing w:after="0" w:line="263" w:lineRule="auto"/>
        <w:rPr>
          <w:sz w:val="20"/>
          <w:szCs w:val="20"/>
          <w:color w:val="auto"/>
        </w:rPr>
      </w:pPr>
      <w:r>
        <w:rPr>
          <w:rFonts w:ascii="Arial" w:cs="Arial" w:eastAsia="Arial" w:hAnsi="Arial"/>
          <w:sz w:val="18"/>
          <w:szCs w:val="18"/>
          <w:color w:val="auto"/>
        </w:rPr>
        <w:t xml:space="preserve">On January 11, 2021, </w:t>
      </w:r>
      <w:r>
        <w:rPr>
          <w:rFonts w:ascii="Arial" w:cs="Arial" w:eastAsia="Arial" w:hAnsi="Arial"/>
          <w:sz w:val="18"/>
          <w:szCs w:val="18"/>
          <w:color w:val="auto"/>
          <w:highlight w:val="white"/>
        </w:rPr>
        <w:t>we announced non-exclusive commercial agreements with Bruker Scientific LLC (Bruker) and Thermo</w:t>
      </w:r>
      <w:r>
        <w:rPr>
          <w:rFonts w:ascii="Arial" w:cs="Arial" w:eastAsia="Arial" w:hAnsi="Arial"/>
          <w:sz w:val="18"/>
          <w:szCs w:val="18"/>
          <w:color w:val="auto"/>
        </w:rPr>
        <w:t xml:space="preserve"> </w:t>
      </w:r>
      <w:r>
        <w:rPr>
          <w:rFonts w:ascii="Arial" w:cs="Arial" w:eastAsia="Arial" w:hAnsi="Arial"/>
          <w:sz w:val="18"/>
          <w:szCs w:val="18"/>
          <w:color w:val="auto"/>
          <w:highlight w:val="white"/>
        </w:rPr>
        <w:t>Electron North America LLC (Thermo Fisher). These agreements will enable us to market certain of Bruker’s and Thermo Fisher’s MS systems together with our Proteograph Product Suite. We believe our</w:t>
      </w:r>
    </w:p>
    <w:p>
      <w:pPr>
        <w:sectPr>
          <w:pgSz w:w="11900" w:h="16838" w:orient="portrait"/>
          <w:cols w:equalWidth="0" w:num="1">
            <w:col w:w="10160"/>
          </w:cols>
          <w:pgMar w:left="660" w:top="12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160"/>
          </w:cols>
          <w:pgMar w:left="660" w:top="121" w:right="10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339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right="160"/>
        <w:spacing w:after="0" w:line="263" w:lineRule="auto"/>
        <w:rPr>
          <w:sz w:val="20"/>
          <w:szCs w:val="20"/>
          <w:color w:val="auto"/>
        </w:rPr>
      </w:pPr>
      <w:r>
        <w:rPr>
          <w:rFonts w:ascii="Arial" w:cs="Arial" w:eastAsia="Arial" w:hAnsi="Arial"/>
          <w:sz w:val="18"/>
          <w:szCs w:val="18"/>
          <w:color w:val="auto"/>
          <w:highlight w:val="white"/>
        </w:rPr>
        <w:t>Proteograph coupled with any one of these leading MS systems will provide customers with a complete and scalable workflow for unbiased, deep, rapid and large-scale proteomics, and will make proteomics more accessible to a broader range of customers, including those interested in adding proteomics to their genomics and multi-omics studies.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highlight w:val="white"/>
        </w:rPr>
        <w:t>As of December 31, 2020, our cash, cash equivalents and investments were $431.9 million.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Information and History</w:t>
      </w:r>
    </w:p>
    <w:p>
      <w:pPr>
        <w:spacing w:after="0" w:line="175" w:lineRule="exact"/>
        <w:rPr>
          <w:sz w:val="20"/>
          <w:szCs w:val="20"/>
          <w:color w:val="auto"/>
        </w:rPr>
      </w:pPr>
    </w:p>
    <w:p>
      <w:pPr>
        <w:ind w:left="340" w:right="20" w:firstLine="324"/>
        <w:spacing w:after="0" w:line="301" w:lineRule="auto"/>
        <w:rPr>
          <w:sz w:val="20"/>
          <w:szCs w:val="20"/>
          <w:color w:val="auto"/>
        </w:rPr>
      </w:pPr>
      <w:r>
        <w:rPr>
          <w:rFonts w:ascii="Arial" w:cs="Arial" w:eastAsia="Arial" w:hAnsi="Arial"/>
          <w:sz w:val="16"/>
          <w:szCs w:val="16"/>
          <w:color w:val="auto"/>
        </w:rPr>
        <w:t>We were incorporated in Delaware on March 16, 2017, under the name Seer Biosciences, Inc., and changed our name to Seer, Inc. on July 16, 2018. Our principal executive offices are located at 3800 Bridge Parkway, Suite 102, Redwood City, California 94065. Our telephone number is 650-543-0000. Our website address is http://seer.bio. Information contained on, or that can be accessed through, our website is not incorporated by reference into this prospectus and should not be considered to be part of this prospectus.</w:t>
      </w:r>
    </w:p>
    <w:p>
      <w:pPr>
        <w:spacing w:after="0" w:line="103" w:lineRule="exact"/>
        <w:rPr>
          <w:sz w:val="20"/>
          <w:szCs w:val="20"/>
          <w:color w:val="auto"/>
        </w:rPr>
      </w:pPr>
    </w:p>
    <w:p>
      <w:pPr>
        <w:ind w:left="340" w:firstLine="324"/>
        <w:spacing w:after="0" w:line="273" w:lineRule="auto"/>
        <w:rPr>
          <w:sz w:val="20"/>
          <w:szCs w:val="20"/>
          <w:color w:val="auto"/>
        </w:rPr>
      </w:pPr>
      <w:r>
        <w:rPr>
          <w:rFonts w:ascii="Arial" w:cs="Arial" w:eastAsia="Arial" w:hAnsi="Arial"/>
          <w:sz w:val="17"/>
          <w:szCs w:val="17"/>
          <w:color w:val="auto"/>
        </w:rPr>
        <w:t>We use Seer and Proteograph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5" w:lineRule="exact"/>
        <w:rPr>
          <w:sz w:val="20"/>
          <w:szCs w:val="20"/>
          <w:color w:val="auto"/>
        </w:rPr>
      </w:pPr>
    </w:p>
    <w:p>
      <w:pPr>
        <w:ind w:left="340" w:firstLine="324"/>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28" w:lineRule="exact"/>
        <w:rPr>
          <w:sz w:val="20"/>
          <w:szCs w:val="20"/>
          <w:color w:val="auto"/>
        </w:rPr>
      </w:pPr>
    </w:p>
    <w:p>
      <w:pPr>
        <w:ind w:left="340" w:right="240" w:firstLine="324"/>
        <w:spacing w:after="0" w:line="286" w:lineRule="auto"/>
        <w:rPr>
          <w:sz w:val="20"/>
          <w:szCs w:val="20"/>
          <w:color w:val="auto"/>
        </w:rPr>
      </w:pPr>
      <w:r>
        <w:rPr>
          <w:rFonts w:ascii="Arial" w:cs="Arial" w:eastAsia="Arial" w:hAnsi="Arial"/>
          <w:sz w:val="17"/>
          <w:szCs w:val="17"/>
          <w:color w:val="auto"/>
        </w:rPr>
        <w:t>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660" w:top="121" w:right="10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5833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83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180"/>
          </w:cols>
          <w:pgMar w:left="660" w:top="121" w:right="1059" w:bottom="1440" w:gutter="0" w:footer="0" w:header="0"/>
        </w:sect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common stock offered by us in this offering</w:t>
      </w:r>
    </w:p>
    <w:p>
      <w:pPr>
        <w:spacing w:after="0" w:line="77" w:lineRule="exact"/>
        <w:rPr>
          <w:sz w:val="20"/>
          <w:szCs w:val="20"/>
          <w:color w:val="auto"/>
        </w:rPr>
      </w:pPr>
    </w:p>
    <w:p>
      <w:pPr>
        <w:ind w:left="360"/>
        <w:spacing w:after="0" w:line="235" w:lineRule="auto"/>
        <w:rPr>
          <w:sz w:val="20"/>
          <w:szCs w:val="20"/>
          <w:color w:val="auto"/>
        </w:rPr>
      </w:pPr>
      <w:r>
        <w:rPr>
          <w:rFonts w:ascii="Arial" w:cs="Arial" w:eastAsia="Arial" w:hAnsi="Arial"/>
          <w:sz w:val="18"/>
          <w:szCs w:val="18"/>
          <w:color w:val="auto"/>
        </w:rPr>
        <w:t>Class A common stock offered by the selling stockholders in this offering</w:t>
      </w:r>
    </w:p>
    <w:p>
      <w:pPr>
        <w:spacing w:after="0" w:line="54" w:lineRule="exact"/>
        <w:rPr>
          <w:sz w:val="20"/>
          <w:szCs w:val="20"/>
          <w:color w:val="auto"/>
        </w:rPr>
      </w:pPr>
    </w:p>
    <w:p>
      <w:pPr>
        <w:ind w:left="520" w:right="240" w:hanging="161"/>
        <w:spacing w:after="0" w:line="235" w:lineRule="auto"/>
        <w:rPr>
          <w:sz w:val="20"/>
          <w:szCs w:val="20"/>
          <w:color w:val="auto"/>
        </w:rPr>
      </w:pPr>
      <w:r>
        <w:rPr>
          <w:rFonts w:ascii="Arial" w:cs="Arial" w:eastAsia="Arial" w:hAnsi="Arial"/>
          <w:sz w:val="18"/>
          <w:szCs w:val="18"/>
          <w:color w:val="auto"/>
        </w:rPr>
        <w:t>Underwriters’ option to purchase additional shares of Class A common stock from the selling stockholders</w:t>
      </w:r>
    </w:p>
    <w:p>
      <w:pPr>
        <w:spacing w:after="0" w:line="200" w:lineRule="exact"/>
        <w:rPr>
          <w:sz w:val="20"/>
          <w:szCs w:val="20"/>
          <w:color w:val="auto"/>
        </w:rPr>
      </w:pPr>
    </w:p>
    <w:p>
      <w:pPr>
        <w:spacing w:after="0" w:line="205" w:lineRule="exact"/>
        <w:rPr>
          <w:sz w:val="20"/>
          <w:szCs w:val="20"/>
          <w:color w:val="auto"/>
        </w:rPr>
      </w:pPr>
    </w:p>
    <w:p>
      <w:pPr>
        <w:ind w:left="360" w:right="440"/>
        <w:spacing w:after="0" w:line="369"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spacing w:after="0" w:line="1" w:lineRule="exact"/>
        <w:rPr>
          <w:sz w:val="20"/>
          <w:szCs w:val="20"/>
          <w:color w:val="auto"/>
        </w:rPr>
      </w:pPr>
    </w:p>
    <w:p>
      <w:pPr>
        <w:ind w:left="520" w:right="200" w:hanging="161"/>
        <w:spacing w:after="0" w:line="235"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1,400,000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2,100,000 shares</w:t>
      </w:r>
    </w:p>
    <w:p>
      <w:pPr>
        <w:spacing w:after="0" w:line="77"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underwriters have been granted an option by the selling stockholders to purchase up to 525,000 additional shares of Class A common stock at any time within 30 days from the date of this prospectus.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54,795,319 shares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5,865,732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61,186,051 shares</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We estimate that the net proceeds to us from this offering will be approximately $101.7 million, based upon the public offering price of $77.88 per share, which was the last reported sale price of our Class A common stock on the Nasdaq Global Select Market on January 22, 2021, after deducting the underwriting discounts and commissions and estimated offering expenses payable by us. The principal purpose of this offering is to obtain additional capital to support our operations. We will not receive any proceeds from the sale of shares of Class A common stock by the selling stockholders.</w:t>
      </w:r>
    </w:p>
    <w:p>
      <w:pPr>
        <w:spacing w:after="0" w:line="113"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We currently intend to use the net proceeds from this offering together with our existing cash, to commercialize our Proteograph Product Suite through our ongoing sales and marketing activities, and for other development work associated with advancing our Proteograph Product Suite, research and development and general corporate purposes. We may also use a portion of the proceeds to in-license, acquire or invest in additional businesses, technologies, products or assets. Although we have no specific agreements, commitments or understandings with respect to any in-licensing activity or acquisitions, we evaluate these opportunities and engage in related discussions with other companies from time-to-time.</w:t>
      </w:r>
    </w:p>
    <w:p>
      <w:pPr>
        <w:spacing w:after="0" w:line="16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See “Risk Factors” beginning on page 17 and other information included in this prospectus for a discussion of factors that you should consider carefully before deciding to invest in our Class A common stock.</w:t>
      </w:r>
    </w:p>
    <w:p>
      <w:pPr>
        <w:spacing w:after="0" w:line="200" w:lineRule="exact"/>
        <w:rPr>
          <w:sz w:val="20"/>
          <w:szCs w:val="20"/>
          <w:color w:val="auto"/>
        </w:rPr>
      </w:pPr>
    </w:p>
    <w:p>
      <w:pPr>
        <w:sectPr>
          <w:pgSz w:w="11900" w:h="16838" w:orient="portrait"/>
          <w:cols w:equalWidth="0" w:num="2">
            <w:col w:w="5040" w:space="260"/>
            <w:col w:w="4880"/>
          </w:cols>
          <w:pgMar w:left="660" w:top="121"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180"/>
          </w:cols>
          <w:pgMar w:left="660" w:top="121" w:right="10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6707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70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Shares of Class A common stock are entitled to one vote per share.</w:t>
      </w:r>
    </w:p>
    <w:p>
      <w:pPr>
        <w:spacing w:after="0" w:line="13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Shares of Class B common stock are entitled to ten votes per share.</w:t>
      </w:r>
    </w:p>
    <w:p>
      <w:pPr>
        <w:spacing w:after="0" w:line="15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Holders of our Class A common stock and Class B common stock</w:t>
      </w:r>
    </w:p>
    <w:p>
      <w:pPr>
        <w:ind w:left="5300"/>
        <w:spacing w:after="0" w:line="224" w:lineRule="auto"/>
        <w:rPr>
          <w:sz w:val="20"/>
          <w:szCs w:val="20"/>
          <w:color w:val="auto"/>
        </w:rPr>
      </w:pPr>
      <w:r>
        <w:rPr>
          <w:rFonts w:ascii="Arial" w:cs="Arial" w:eastAsia="Arial" w:hAnsi="Arial"/>
          <w:sz w:val="17"/>
          <w:szCs w:val="17"/>
          <w:color w:val="auto"/>
        </w:rPr>
        <w:t>will generally vote together as a single class, unless otherwise</w:t>
      </w:r>
    </w:p>
    <w:p>
      <w:pPr>
        <w:ind w:left="5300"/>
        <w:spacing w:after="0" w:line="204" w:lineRule="auto"/>
        <w:rPr>
          <w:sz w:val="20"/>
          <w:szCs w:val="20"/>
          <w:color w:val="auto"/>
        </w:rPr>
      </w:pPr>
      <w:r>
        <w:rPr>
          <w:rFonts w:ascii="Arial" w:cs="Arial" w:eastAsia="Arial" w:hAnsi="Arial"/>
          <w:sz w:val="18"/>
          <w:szCs w:val="18"/>
          <w:color w:val="auto"/>
        </w:rPr>
        <w:t>required by law or our amended and restated certificate of</w:t>
      </w:r>
    </w:p>
    <w:p>
      <w:pPr>
        <w:ind w:left="5300"/>
        <w:spacing w:after="0" w:line="203" w:lineRule="auto"/>
        <w:rPr>
          <w:sz w:val="20"/>
          <w:szCs w:val="20"/>
          <w:color w:val="auto"/>
        </w:rPr>
      </w:pPr>
      <w:r>
        <w:rPr>
          <w:rFonts w:ascii="Arial" w:cs="Arial" w:eastAsia="Arial" w:hAnsi="Arial"/>
          <w:sz w:val="18"/>
          <w:szCs w:val="18"/>
          <w:color w:val="auto"/>
        </w:rPr>
        <w:t>incorporation. Upon completion of this offering, holders of our</w:t>
      </w:r>
    </w:p>
    <w:p>
      <w:pPr>
        <w:ind w:left="5300"/>
        <w:spacing w:after="0" w:line="204" w:lineRule="auto"/>
        <w:rPr>
          <w:sz w:val="20"/>
          <w:szCs w:val="20"/>
          <w:color w:val="auto"/>
        </w:rPr>
      </w:pPr>
      <w:r>
        <w:rPr>
          <w:rFonts w:ascii="Arial" w:cs="Arial" w:eastAsia="Arial" w:hAnsi="Arial"/>
          <w:sz w:val="18"/>
          <w:szCs w:val="18"/>
          <w:color w:val="auto"/>
        </w:rPr>
        <w:t>outstanding Class B common stock, which includes our Chief</w:t>
      </w:r>
    </w:p>
    <w:p>
      <w:pPr>
        <w:ind w:left="5300"/>
        <w:spacing w:after="0" w:line="229" w:lineRule="auto"/>
        <w:tabs>
          <w:tab w:leader="none" w:pos="8680" w:val="left"/>
        </w:tabs>
        <w:rPr>
          <w:sz w:val="20"/>
          <w:szCs w:val="20"/>
          <w:color w:val="auto"/>
        </w:rPr>
      </w:pPr>
      <w:r>
        <w:rPr>
          <w:rFonts w:ascii="Arial" w:cs="Arial" w:eastAsia="Arial" w:hAnsi="Arial"/>
          <w:sz w:val="18"/>
          <w:szCs w:val="18"/>
          <w:color w:val="auto"/>
        </w:rPr>
        <w:t>Executive Officer, will hold approximately</w:t>
      </w:r>
      <w:r>
        <w:rPr>
          <w:sz w:val="20"/>
          <w:szCs w:val="20"/>
          <w:color w:val="auto"/>
        </w:rPr>
        <w:tab/>
      </w:r>
      <w:r>
        <w:rPr>
          <w:rFonts w:ascii="Arial" w:cs="Arial" w:eastAsia="Arial" w:hAnsi="Arial"/>
          <w:sz w:val="16"/>
          <w:szCs w:val="16"/>
          <w:color w:val="auto"/>
        </w:rPr>
        <w:t>% of the voting</w:t>
      </w:r>
    </w:p>
    <w:p>
      <w:pPr>
        <w:ind w:left="5300"/>
        <w:spacing w:after="0" w:line="215" w:lineRule="auto"/>
        <w:rPr>
          <w:sz w:val="20"/>
          <w:szCs w:val="20"/>
          <w:color w:val="auto"/>
        </w:rPr>
      </w:pPr>
      <w:r>
        <w:rPr>
          <w:rFonts w:ascii="Arial" w:cs="Arial" w:eastAsia="Arial" w:hAnsi="Arial"/>
          <w:sz w:val="17"/>
          <w:szCs w:val="17"/>
          <w:color w:val="auto"/>
        </w:rPr>
        <w:t>power of our outstanding capital stock and will have the ability to</w:t>
      </w:r>
    </w:p>
    <w:p>
      <w:pPr>
        <w:ind w:left="5300"/>
        <w:spacing w:after="0" w:line="216" w:lineRule="auto"/>
        <w:rPr>
          <w:sz w:val="20"/>
          <w:szCs w:val="20"/>
          <w:color w:val="auto"/>
        </w:rPr>
      </w:pPr>
      <w:r>
        <w:rPr>
          <w:rFonts w:ascii="Arial" w:cs="Arial" w:eastAsia="Arial" w:hAnsi="Arial"/>
          <w:sz w:val="17"/>
          <w:szCs w:val="17"/>
          <w:color w:val="auto"/>
        </w:rPr>
        <w:t>control the outcome of matters submitted to our stockholders for</w:t>
      </w:r>
    </w:p>
    <w:p>
      <w:pPr>
        <w:ind w:left="5300"/>
        <w:spacing w:after="0" w:line="228" w:lineRule="auto"/>
        <w:rPr>
          <w:sz w:val="20"/>
          <w:szCs w:val="20"/>
          <w:color w:val="auto"/>
        </w:rPr>
      </w:pPr>
      <w:r>
        <w:rPr>
          <w:rFonts w:ascii="Arial" w:cs="Arial" w:eastAsia="Arial" w:hAnsi="Arial"/>
          <w:sz w:val="16"/>
          <w:szCs w:val="16"/>
          <w:color w:val="auto"/>
        </w:rPr>
        <w:t>approval, including the election of our directors, amendments of our</w:t>
      </w:r>
    </w:p>
    <w:p>
      <w:pPr>
        <w:ind w:left="5300"/>
        <w:spacing w:after="0" w:line="229" w:lineRule="auto"/>
        <w:rPr>
          <w:sz w:val="20"/>
          <w:szCs w:val="20"/>
          <w:color w:val="auto"/>
        </w:rPr>
      </w:pPr>
      <w:r>
        <w:rPr>
          <w:rFonts w:ascii="Arial" w:cs="Arial" w:eastAsia="Arial" w:hAnsi="Arial"/>
          <w:sz w:val="16"/>
          <w:szCs w:val="16"/>
          <w:color w:val="auto"/>
        </w:rPr>
        <w:t>organizational documents and any merger, consolidation, sale of all</w:t>
      </w:r>
    </w:p>
    <w:p>
      <w:pPr>
        <w:ind w:left="5300"/>
        <w:spacing w:after="0" w:line="204" w:lineRule="auto"/>
        <w:rPr>
          <w:sz w:val="20"/>
          <w:szCs w:val="20"/>
          <w:color w:val="auto"/>
        </w:rPr>
      </w:pPr>
      <w:r>
        <w:rPr>
          <w:rFonts w:ascii="Arial" w:cs="Arial" w:eastAsia="Arial" w:hAnsi="Arial"/>
          <w:sz w:val="18"/>
          <w:szCs w:val="18"/>
          <w:color w:val="auto"/>
        </w:rPr>
        <w:t>or substantially all of our assets or other major corporate</w:t>
      </w:r>
    </w:p>
    <w:p>
      <w:pPr>
        <w:ind w:left="5300"/>
        <w:spacing w:after="0" w:line="203" w:lineRule="auto"/>
        <w:rPr>
          <w:sz w:val="20"/>
          <w:szCs w:val="20"/>
          <w:color w:val="auto"/>
        </w:rPr>
      </w:pPr>
      <w:r>
        <w:rPr>
          <w:rFonts w:ascii="Arial" w:cs="Arial" w:eastAsia="Arial" w:hAnsi="Arial"/>
          <w:sz w:val="18"/>
          <w:szCs w:val="18"/>
          <w:color w:val="auto"/>
        </w:rPr>
        <w:t>transactions. See the sections titled “Principal and Selling</w:t>
      </w:r>
    </w:p>
    <w:p>
      <w:pPr>
        <w:ind w:left="5300"/>
        <w:spacing w:after="0" w:line="204" w:lineRule="auto"/>
        <w:rPr>
          <w:sz w:val="20"/>
          <w:szCs w:val="20"/>
          <w:color w:val="auto"/>
        </w:rPr>
      </w:pPr>
      <w:r>
        <w:rPr>
          <w:rFonts w:ascii="Arial" w:cs="Arial" w:eastAsia="Arial" w:hAnsi="Arial"/>
          <w:sz w:val="18"/>
          <w:szCs w:val="18"/>
          <w:color w:val="auto"/>
        </w:rPr>
        <w:t>Stockholders” and “Description of Capital Stock” for additional</w:t>
      </w:r>
    </w:p>
    <w:p>
      <w:pPr>
        <w:ind w:left="5300"/>
        <w:spacing w:after="0"/>
        <w:rPr>
          <w:sz w:val="20"/>
          <w:szCs w:val="20"/>
          <w:color w:val="auto"/>
        </w:rPr>
      </w:pPr>
      <w:r>
        <w:rPr>
          <w:rFonts w:ascii="Arial" w:cs="Arial" w:eastAsia="Arial" w:hAnsi="Arial"/>
          <w:sz w:val="18"/>
          <w:szCs w:val="18"/>
          <w:color w:val="auto"/>
        </w:rPr>
        <w:t>information.</w:t>
      </w:r>
    </w:p>
    <w:p>
      <w:pPr>
        <w:spacing w:after="0" w:line="61" w:lineRule="exact"/>
        <w:rPr>
          <w:sz w:val="20"/>
          <w:szCs w:val="20"/>
          <w:color w:val="auto"/>
        </w:rPr>
      </w:pPr>
    </w:p>
    <w:p>
      <w:pPr>
        <w:ind w:left="360"/>
        <w:spacing w:after="0"/>
        <w:tabs>
          <w:tab w:leader="none" w:pos="5280" w:val="left"/>
        </w:tabs>
        <w:rPr>
          <w:sz w:val="20"/>
          <w:szCs w:val="20"/>
          <w:color w:val="auto"/>
        </w:rPr>
      </w:pPr>
      <w:r>
        <w:rPr>
          <w:rFonts w:ascii="Arial" w:cs="Arial" w:eastAsia="Arial" w:hAnsi="Arial"/>
          <w:sz w:val="18"/>
          <w:szCs w:val="18"/>
          <w:color w:val="auto"/>
        </w:rPr>
        <w:t>Nasdaq Global Select Market trading symbol</w:t>
      </w:r>
      <w:r>
        <w:rPr>
          <w:sz w:val="20"/>
          <w:szCs w:val="20"/>
          <w:color w:val="auto"/>
        </w:rPr>
        <w:tab/>
      </w:r>
      <w:r>
        <w:rPr>
          <w:rFonts w:ascii="Arial" w:cs="Arial" w:eastAsia="Arial" w:hAnsi="Arial"/>
          <w:sz w:val="17"/>
          <w:szCs w:val="17"/>
          <w:color w:val="auto"/>
        </w:rPr>
        <w:t>“SEER”</w:t>
      </w:r>
    </w:p>
    <w:p>
      <w:pPr>
        <w:spacing w:after="0" w:line="171" w:lineRule="exact"/>
        <w:rPr>
          <w:sz w:val="20"/>
          <w:szCs w:val="20"/>
          <w:color w:val="auto"/>
        </w:rPr>
      </w:pPr>
    </w:p>
    <w:p>
      <w:pPr>
        <w:ind w:left="340" w:right="100" w:firstLine="324"/>
        <w:spacing w:after="0" w:line="342" w:lineRule="auto"/>
        <w:rPr>
          <w:sz w:val="20"/>
          <w:szCs w:val="20"/>
          <w:color w:val="auto"/>
        </w:rPr>
      </w:pPr>
      <w:r>
        <w:rPr>
          <w:rFonts w:ascii="Arial" w:cs="Arial" w:eastAsia="Arial" w:hAnsi="Arial"/>
          <w:sz w:val="16"/>
          <w:szCs w:val="16"/>
          <w:color w:val="auto"/>
        </w:rPr>
        <w:t>The number of shares of our common stock that will be outstanding after this offering is based on 53,395,319 shares of our Class A common stock and 5,865,732 shares of our Class B common stock outstanding as of December 31, 2020, and excludes the following:</w:t>
      </w:r>
    </w:p>
    <w:p>
      <w:pPr>
        <w:spacing w:after="0" w:line="70" w:lineRule="exact"/>
        <w:rPr>
          <w:sz w:val="20"/>
          <w:szCs w:val="20"/>
          <w:color w:val="auto"/>
        </w:rPr>
      </w:pPr>
    </w:p>
    <w:p>
      <w:pPr>
        <w:ind w:left="980" w:right="20" w:hanging="322"/>
        <w:spacing w:after="0" w:line="308"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9,576,902 shares of our Class A common stock issuable upon the exercise of options to purchase shares of our Class A common stock outstanding as of December 31, 2020, with a weighted-average exercise price of $5.54 per share;</w:t>
      </w:r>
    </w:p>
    <w:p>
      <w:pPr>
        <w:spacing w:after="0" w:line="92" w:lineRule="exact"/>
        <w:rPr>
          <w:rFonts w:ascii="Arial" w:cs="Arial" w:eastAsia="Arial" w:hAnsi="Arial"/>
          <w:sz w:val="17"/>
          <w:szCs w:val="17"/>
          <w:color w:val="auto"/>
        </w:rPr>
      </w:pPr>
    </w:p>
    <w:p>
      <w:pPr>
        <w:ind w:left="980" w:right="14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167,389 shares of our Class A common stock issuable upon the exercise of options to purchase shares of our Class A common stock granted after December 31, 2020, with an exercise price of $59.17 per share;</w:t>
      </w:r>
    </w:p>
    <w:p>
      <w:pPr>
        <w:spacing w:after="0" w:line="116" w:lineRule="exact"/>
        <w:rPr>
          <w:rFonts w:ascii="Arial" w:cs="Arial" w:eastAsia="Arial" w:hAnsi="Arial"/>
          <w:sz w:val="18"/>
          <w:szCs w:val="18"/>
          <w:color w:val="auto"/>
        </w:rPr>
      </w:pPr>
    </w:p>
    <w:p>
      <w:pPr>
        <w:ind w:left="980" w:right="520" w:hanging="322"/>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491,318 shares of our Class A common stock issuable upon the vesting of restricted stock units (RSUs) outstanding as of December 31, 2020;</w:t>
      </w:r>
    </w:p>
    <w:p>
      <w:pPr>
        <w:spacing w:after="0" w:line="116" w:lineRule="exact"/>
        <w:rPr>
          <w:rFonts w:ascii="Arial" w:cs="Arial" w:eastAsia="Arial" w:hAnsi="Arial"/>
          <w:sz w:val="18"/>
          <w:szCs w:val="18"/>
          <w:color w:val="auto"/>
        </w:rPr>
      </w:pPr>
    </w:p>
    <w:p>
      <w:pPr>
        <w:ind w:left="980" w:hanging="322"/>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17,858 shares of our Class A common stock issuable upon the vesting of RSUs granted after December 31, 2020; and</w:t>
      </w:r>
    </w:p>
    <w:p>
      <w:pPr>
        <w:spacing w:after="0" w:line="182" w:lineRule="exact"/>
        <w:rPr>
          <w:rFonts w:ascii="Arial" w:cs="Arial" w:eastAsia="Arial" w:hAnsi="Arial"/>
          <w:sz w:val="17"/>
          <w:szCs w:val="17"/>
          <w:color w:val="auto"/>
        </w:rPr>
      </w:pPr>
    </w:p>
    <w:p>
      <w:pPr>
        <w:ind w:left="980" w:hanging="322"/>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7,797,109 shares of our Class A common stock reserved for future issuance under our equity compensation plans, consisting of:</w:t>
      </w:r>
    </w:p>
    <w:p>
      <w:pPr>
        <w:spacing w:after="0" w:line="194" w:lineRule="exact"/>
        <w:rPr>
          <w:rFonts w:ascii="Arial" w:cs="Arial" w:eastAsia="Arial" w:hAnsi="Arial"/>
          <w:sz w:val="16"/>
          <w:szCs w:val="16"/>
          <w:color w:val="auto"/>
        </w:rPr>
      </w:pPr>
    </w:p>
    <w:p>
      <w:pPr>
        <w:ind w:left="1300" w:hanging="318"/>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6,601,782 shares of our Class A common stock reserved for future issuance under our 2020 Equity Incentive Plan (2020 Plan) and any additional shares that become available under our 2020 Plan pursuant to provisions thereof that automatically increase the share reserve under the plan each year; and</w:t>
      </w:r>
    </w:p>
    <w:p>
      <w:pPr>
        <w:spacing w:after="0" w:line="129" w:lineRule="exact"/>
        <w:rPr>
          <w:rFonts w:ascii="Arial" w:cs="Arial" w:eastAsia="Arial" w:hAnsi="Arial"/>
          <w:sz w:val="18"/>
          <w:szCs w:val="18"/>
          <w:color w:val="auto"/>
        </w:rPr>
      </w:pPr>
    </w:p>
    <w:p>
      <w:pPr>
        <w:ind w:left="1300" w:right="60" w:hanging="318"/>
        <w:spacing w:after="0" w:line="263"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1,195,327 shares of common stock reserved for future issuance under our 2020 Employee Stock Purchase Plan (ESPP) and any additional shares that become available under our ESPP pursuant to provisions thereof that automatically increase the share reserve under the plan each year.</w:t>
      </w:r>
    </w:p>
    <w:p>
      <w:pPr>
        <w:spacing w:after="0" w:line="130" w:lineRule="exact"/>
        <w:rPr>
          <w:sz w:val="20"/>
          <w:szCs w:val="20"/>
          <w:color w:val="auto"/>
        </w:rPr>
      </w:pPr>
    </w:p>
    <w:p>
      <w:pPr>
        <w:ind w:left="340" w:right="80" w:firstLine="324"/>
        <w:spacing w:after="0" w:line="263" w:lineRule="auto"/>
        <w:rPr>
          <w:sz w:val="20"/>
          <w:szCs w:val="20"/>
          <w:color w:val="auto"/>
        </w:rPr>
      </w:pPr>
      <w:r>
        <w:rPr>
          <w:rFonts w:ascii="Arial" w:cs="Arial" w:eastAsia="Arial" w:hAnsi="Arial"/>
          <w:sz w:val="18"/>
          <w:szCs w:val="18"/>
          <w:color w:val="auto"/>
        </w:rPr>
        <w:t>Except as otherwise indicated, all information in this prospectus assumes no exercise of outstanding stock options or settlement of outstanding RSUs subsequent to December 31, 2020 and no exercise by the underwriters of their option to purchase additional shares of Class A common stock from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660" w:top="121" w:right="10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7847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FINANCIAL AND OTHER DATA</w:t>
      </w:r>
    </w:p>
    <w:p>
      <w:pPr>
        <w:spacing w:after="0" w:line="175" w:lineRule="exact"/>
        <w:rPr>
          <w:sz w:val="20"/>
          <w:szCs w:val="20"/>
          <w:color w:val="auto"/>
        </w:rPr>
      </w:pPr>
    </w:p>
    <w:p>
      <w:pPr>
        <w:ind w:left="340" w:firstLine="324"/>
        <w:spacing w:after="0" w:line="287" w:lineRule="auto"/>
        <w:rPr>
          <w:sz w:val="20"/>
          <w:szCs w:val="20"/>
          <w:color w:val="auto"/>
        </w:rPr>
      </w:pPr>
      <w:r>
        <w:rPr>
          <w:rFonts w:ascii="Arial" w:cs="Arial" w:eastAsia="Arial" w:hAnsi="Arial"/>
          <w:sz w:val="16"/>
          <w:szCs w:val="16"/>
          <w:color w:val="auto"/>
        </w:rPr>
        <w:t>The following tables summarize our financial and other data. We have derived the summary statement of operations data for the years ended December 31, 2018 and 2019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generally accepted accounting principles in the United States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The following summary financial and other data should be read in conjunction with the sections titled “Management’s Discussion and Analysis of Financial Condition and Results of Operations” and “Selected Financial Data” and our financial statements and related notes included elsewhere in this prospectus.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4400" w:type="dxa"/>
        <w:tblCellMar>
          <w:top w:w="0" w:type="dxa"/>
          <w:left w:w="0" w:type="dxa"/>
          <w:bottom w:w="0" w:type="dxa"/>
          <w:right w:w="0" w:type="dxa"/>
        </w:tblCellMar>
      </w:tblPr>
      <w:tr>
        <w:trPr>
          <w:trHeight w:val="186"/>
        </w:trPr>
        <w:tc>
          <w:tcPr>
            <w:tcW w:w="2940" w:type="dxa"/>
            <w:vAlign w:val="bottom"/>
            <w:gridSpan w:val="3"/>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28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6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700" w:type="dxa"/>
            <w:vAlign w:val="bottom"/>
          </w:tcPr>
          <w:p>
            <w:pPr>
              <w:jc w:val="right"/>
              <w:ind w:right="768"/>
              <w:spacing w:after="0"/>
              <w:rPr>
                <w:sz w:val="20"/>
                <w:szCs w:val="20"/>
                <w:color w:val="auto"/>
              </w:rPr>
            </w:pPr>
            <w:r>
              <w:rPr>
                <w:rFonts w:ascii="Arial" w:cs="Arial" w:eastAsia="Arial" w:hAnsi="Arial"/>
                <w:sz w:val="14"/>
                <w:szCs w:val="14"/>
                <w:b w:val="1"/>
                <w:bCs w:val="1"/>
                <w:color w:val="auto"/>
              </w:rPr>
              <w:t>2019</w:t>
            </w: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6"/>
        </w:trPr>
        <w:tc>
          <w:tcPr>
            <w:tcW w:w="1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1180" w:type="dxa"/>
            <w:vAlign w:val="bottom"/>
          </w:tcPr>
          <w:p>
            <w:pPr>
              <w:spacing w:after="0"/>
              <w:rPr>
                <w:sz w:val="16"/>
                <w:szCs w:val="16"/>
                <w:color w:val="auto"/>
              </w:rPr>
            </w:pPr>
          </w:p>
        </w:tc>
        <w:tc>
          <w:tcPr>
            <w:tcW w:w="3460" w:type="dxa"/>
            <w:vAlign w:val="bottom"/>
            <w:gridSpan w:val="3"/>
          </w:tcPr>
          <w:p>
            <w:pPr>
              <w:jc w:val="right"/>
              <w:ind w:right="288"/>
              <w:spacing w:after="0"/>
              <w:rPr>
                <w:sz w:val="20"/>
                <w:szCs w:val="20"/>
                <w:color w:val="auto"/>
              </w:rPr>
            </w:pPr>
            <w:r>
              <w:rPr>
                <w:rFonts w:ascii="Arial" w:cs="Arial" w:eastAsia="Arial" w:hAnsi="Arial"/>
                <w:sz w:val="14"/>
                <w:szCs w:val="14"/>
                <w:i w:val="1"/>
                <w:iCs w:val="1"/>
                <w:color w:val="auto"/>
              </w:rPr>
              <w:t>(in thousands, except share and per share data)</w:t>
            </w:r>
          </w:p>
        </w:tc>
        <w:tc>
          <w:tcPr>
            <w:tcW w:w="1180" w:type="dxa"/>
            <w:vAlign w:val="bottom"/>
          </w:tcPr>
          <w:p>
            <w:pPr>
              <w:spacing w:after="0"/>
              <w:rPr>
                <w:sz w:val="16"/>
                <w:szCs w:val="16"/>
                <w:color w:val="auto"/>
              </w:rPr>
            </w:pPr>
          </w:p>
        </w:tc>
      </w:tr>
    </w:tbl>
    <w:p>
      <w:pPr>
        <w:spacing w:after="0" w:line="38" w:lineRule="exact"/>
        <w:rPr>
          <w:sz w:val="20"/>
          <w:szCs w:val="20"/>
          <w:color w:val="auto"/>
        </w:rPr>
      </w:pPr>
    </w:p>
    <w:p>
      <w:pPr>
        <w:sectPr>
          <w:pgSz w:w="11900" w:h="16838" w:orient="portrait"/>
          <w:cols w:equalWidth="0" w:num="1">
            <w:col w:w="10220"/>
          </w:cols>
          <w:pgMar w:left="660" w:top="121" w:right="1019" w:bottom="1440" w:gutter="0" w:footer="0" w:header="0"/>
        </w:sectPr>
      </w:pPr>
    </w:p>
    <w:tbl>
      <w:tblPr>
        <w:tblLayout w:type="fixed"/>
        <w:tblInd w:w="340" w:type="dxa"/>
        <w:tblCellMar>
          <w:top w:w="0" w:type="dxa"/>
          <w:left w:w="0" w:type="dxa"/>
          <w:bottom w:w="0" w:type="dxa"/>
          <w:right w:w="0" w:type="dxa"/>
        </w:tblCellMar>
      </w:tblPr>
      <w:tr>
        <w:trPr>
          <w:trHeight w:val="257"/>
        </w:trPr>
        <w:tc>
          <w:tcPr>
            <w:tcW w:w="40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220"/>
              <w:spacing w:after="0" w:line="25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2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89"/>
              </w:rPr>
              <w:t>Net loss per share attributable to common stockholders,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basic and diluted</w:t>
            </w:r>
            <w:r>
              <w:rPr>
                <w:rFonts w:ascii="Arial" w:cs="Arial" w:eastAsia="Arial" w:hAnsi="Arial"/>
                <w:sz w:val="23"/>
                <w:szCs w:val="23"/>
                <w:color w:val="auto"/>
                <w:vertAlign w:val="superscript"/>
              </w:rPr>
              <w:t>(2)</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Weighted-average common shares outstanding, basic</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and 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rPr>
              <w:t>Pro forma net loss per common share, basic and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line="229"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line="176" w:lineRule="exact"/>
              <w:rPr>
                <w:sz w:val="20"/>
                <w:szCs w:val="20"/>
                <w:color w:val="auto"/>
              </w:rPr>
            </w:pPr>
            <w:r>
              <w:rPr>
                <w:rFonts w:ascii="Arial" w:cs="Arial" w:eastAsia="Arial" w:hAnsi="Arial"/>
                <w:sz w:val="18"/>
                <w:szCs w:val="18"/>
                <w:color w:val="auto"/>
                <w:w w:val="94"/>
              </w:rPr>
              <w:t>Pro forma weighted-average common shares used to</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180"/>
              <w:spacing w:after="0" w:line="176" w:lineRule="exact"/>
              <w:rPr>
                <w:sz w:val="20"/>
                <w:szCs w:val="20"/>
                <w:color w:val="auto"/>
              </w:rPr>
            </w:pPr>
            <w:r>
              <w:rPr>
                <w:rFonts w:ascii="Arial" w:cs="Arial" w:eastAsia="Arial" w:hAnsi="Arial"/>
                <w:sz w:val="18"/>
                <w:szCs w:val="18"/>
                <w:color w:val="auto"/>
              </w:rPr>
              <w:t>compute basic and diluted net loss per common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40" w:type="dxa"/>
            <w:vAlign w:val="bottom"/>
          </w:tcPr>
          <w:p>
            <w:pPr>
              <w:ind w:left="180"/>
              <w:spacing w:after="0" w:line="211"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6"/>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Costs and expenses include stock-based compensation as follows: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79"/>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3,776</w:t>
            </w: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12,393</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2,982</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16,999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7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(6,758)</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54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900" w:type="dxa"/>
            <w:vAlign w:val="bottom"/>
          </w:tcPr>
          <w:p>
            <w:pPr>
              <w:jc w:val="right"/>
              <w:ind w:right="73"/>
              <w:spacing w:after="0"/>
              <w:rPr>
                <w:sz w:val="20"/>
                <w:szCs w:val="20"/>
                <w:color w:val="auto"/>
              </w:rPr>
            </w:pPr>
            <w:r>
              <w:rPr>
                <w:rFonts w:ascii="Arial" w:cs="Arial" w:eastAsia="Arial" w:hAnsi="Arial"/>
                <w:sz w:val="18"/>
                <w:szCs w:val="18"/>
                <w:color w:val="auto"/>
              </w:rPr>
              <w:t>451</w:t>
            </w:r>
          </w:p>
        </w:tc>
        <w:tc>
          <w:tcPr>
            <w:tcW w:w="3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(6,307)</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8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358"/>
        </w:trPr>
        <w:tc>
          <w:tcPr>
            <w:tcW w:w="9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jc w:val="right"/>
              <w:ind w:right="73"/>
              <w:spacing w:after="0"/>
              <w:rPr>
                <w:sz w:val="20"/>
                <w:szCs w:val="20"/>
                <w:color w:val="auto"/>
              </w:rPr>
            </w:pPr>
            <w:r>
              <w:rPr>
                <w:rFonts w:ascii="Arial" w:cs="Arial" w:eastAsia="Arial" w:hAnsi="Arial"/>
                <w:sz w:val="18"/>
                <w:szCs w:val="18"/>
                <w:color w:val="auto"/>
                <w:w w:val="89"/>
              </w:rPr>
              <w:t>3,973,329</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6,952,419</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9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21,454,787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0"/>
        </w:trPr>
        <w:tc>
          <w:tcPr>
            <w:tcW w:w="23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9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2"/>
                <w:szCs w:val="2"/>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6"/>
          </w:tcPr>
          <w:p>
            <w:pPr>
              <w:ind w:left="7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2">
            <w:col w:w="4500" w:space="460"/>
            <w:col w:w="5260"/>
          </w:cols>
          <w:pgMar w:left="660" w:top="121" w:right="1019" w:bottom="1440" w:gutter="0" w:footer="0" w:header="0"/>
          <w:type w:val="continuous"/>
        </w:sectPr>
      </w:pPr>
    </w:p>
    <w:tbl>
      <w:tblPr>
        <w:tblLayout w:type="fixed"/>
        <w:tblInd w:w="320" w:type="dxa"/>
        <w:tblCellMar>
          <w:top w:w="0" w:type="dxa"/>
          <w:left w:w="0" w:type="dxa"/>
          <w:bottom w:w="0" w:type="dxa"/>
          <w:right w:w="0" w:type="dxa"/>
        </w:tblCellMar>
      </w:tblP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7"/>
        </w:trPr>
        <w:tc>
          <w:tcPr>
            <w:tcW w:w="4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66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20"/>
          </w:cols>
          <w:pgMar w:left="660" w:top="121" w:right="10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803910</wp:posOffset>
            </wp:positionV>
            <wp:extent cx="7136130" cy="5001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300" w:hanging="326"/>
        <w:spacing w:after="0" w:line="312" w:lineRule="auto"/>
        <w:tabs>
          <w:tab w:leader="none" w:pos="652"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 September 30, 2020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1"/>
                <w:szCs w:val="11"/>
                <w:color w:val="auto"/>
              </w:rPr>
            </w:pPr>
          </w:p>
        </w:tc>
        <w:tc>
          <w:tcPr>
            <w:tcW w:w="130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9"/>
                <w:szCs w:val="9"/>
                <w:b w:val="1"/>
                <w:bCs w:val="1"/>
                <w:color w:val="auto"/>
                <w:w w:val="96"/>
              </w:rPr>
              <w:t>(1)</w:t>
            </w:r>
          </w:p>
        </w:tc>
        <w:tc>
          <w:tcPr>
            <w:tcW w:w="180" w:type="dxa"/>
            <w:vAlign w:val="bottom"/>
          </w:tcPr>
          <w:p>
            <w:pPr>
              <w:spacing w:after="0"/>
              <w:rPr>
                <w:sz w:val="11"/>
                <w:szCs w:val="11"/>
                <w:color w:val="auto"/>
              </w:rPr>
            </w:pPr>
          </w:p>
        </w:tc>
        <w:tc>
          <w:tcPr>
            <w:tcW w:w="120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9"/>
                <w:szCs w:val="9"/>
                <w:b w:val="1"/>
                <w:bCs w:val="1"/>
                <w:color w:val="auto"/>
              </w:rPr>
              <w:t>(2)(3)</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435,965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537,690</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117,451</w:t>
            </w:r>
          </w:p>
        </w:tc>
        <w:tc>
          <w:tcPr>
            <w:tcW w:w="300" w:type="dxa"/>
            <w:vAlign w:val="bottom"/>
          </w:tcPr>
          <w:p>
            <w:pPr>
              <w:spacing w:after="0"/>
              <w:rPr>
                <w:sz w:val="23"/>
                <w:szCs w:val="23"/>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433,005</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534,730</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447,180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548,905</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8,354</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7,259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(42,600)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125,536</w:t>
            </w:r>
          </w:p>
        </w:tc>
        <w:tc>
          <w:tcPr>
            <w:tcW w:w="300" w:type="dxa"/>
            <w:vAlign w:val="bottom"/>
          </w:tcPr>
          <w:p>
            <w:pPr>
              <w:spacing w:after="0"/>
              <w:rPr>
                <w:sz w:val="21"/>
                <w:szCs w:val="21"/>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439,921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541,646</w:t>
            </w:r>
          </w:p>
        </w:tc>
        <w:tc>
          <w:tcPr>
            <w:tcW w:w="0" w:type="dxa"/>
            <w:vAlign w:val="bottom"/>
          </w:tcPr>
          <w:p>
            <w:pPr>
              <w:spacing w:after="0"/>
              <w:rPr>
                <w:sz w:val="1"/>
                <w:szCs w:val="1"/>
                <w:color w:val="auto"/>
              </w:rPr>
            </w:pPr>
          </w:p>
        </w:tc>
      </w:tr>
      <w:tr>
        <w:trPr>
          <w:trHeight w:val="182"/>
        </w:trPr>
        <w:tc>
          <w:tcPr>
            <w:tcW w:w="554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60" w:hanging="326"/>
        <w:spacing w:after="0" w:line="260" w:lineRule="auto"/>
        <w:tabs>
          <w:tab w:leader="none" w:pos="652"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pro forma column in the balance sheet data table above reflects (i) the automatic conversion of all shares of our convertible preferred stock into 29,026,787 shares of Class A common stock, as if such conversions had occurred on September 30, 2020, (ii) stock-based compensation of approximately $0.2 million associated with RSUs subject to service-based and performance-based vesting conditions that we recognized upon the completion of our initial public offering and is reflected as an increase to additional paid-in capital and accumulated deficit, and (iii) the receipt of $314.4 million in net proceeds from the sale and issuance by us of shares of our Class A common stock in our initial public offering, including the exercise of the underwriters option to purchase additional shares, and the concurrent private placement and after deducting estimated underwriting discounts and commissions and estimated offering expenses payable by us.</w:t>
      </w:r>
    </w:p>
    <w:p>
      <w:pPr>
        <w:ind w:left="660" w:right="120" w:hanging="326"/>
        <w:spacing w:after="0" w:line="241"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as adjusted column in the balance sheet data table above gives effect to (i) the pro forma adjustments set forth above and (ii) the receipt of $101.7 million in net proceeds from the sale and issuance by us of shares of our Class A common stock in this offering, based upon the assumed public offering price of $77.88 per share, which was the last reported sale price of our Class A common stock on the Nasdaq Global Select Market on January 22, 2021, and after deducting estimated underwriting discounts and commissions and estimated offering expenses payable by us.</w:t>
      </w:r>
    </w:p>
    <w:p>
      <w:pPr>
        <w:spacing w:after="0" w:line="1" w:lineRule="exact"/>
        <w:rPr>
          <w:rFonts w:ascii="Arial" w:cs="Arial" w:eastAsia="Arial" w:hAnsi="Arial"/>
          <w:sz w:val="14"/>
          <w:szCs w:val="14"/>
          <w:color w:val="auto"/>
        </w:rPr>
      </w:pPr>
    </w:p>
    <w:p>
      <w:pPr>
        <w:ind w:left="660" w:hanging="326"/>
        <w:spacing w:after="0" w:line="260" w:lineRule="auto"/>
        <w:tabs>
          <w:tab w:leader="none" w:pos="652" w:val="left"/>
        </w:tabs>
        <w:numPr>
          <w:ilvl w:val="0"/>
          <w:numId w:val="13"/>
        </w:numPr>
        <w:rPr>
          <w:rFonts w:ascii="Arial" w:cs="Arial" w:eastAsia="Arial" w:hAnsi="Arial"/>
          <w:sz w:val="13"/>
          <w:szCs w:val="13"/>
          <w:color w:val="auto"/>
        </w:rPr>
      </w:pPr>
      <w:r>
        <w:rPr>
          <w:rFonts w:ascii="Arial" w:cs="Arial" w:eastAsia="Arial" w:hAnsi="Arial"/>
          <w:sz w:val="13"/>
          <w:szCs w:val="13"/>
          <w:color w:val="auto"/>
        </w:rPr>
        <w:t>Each $1.00 increase or decrease in the assumed public offering price of $77.88 per share, which was the last reported sale price of our Class A common stock on the Nasdaq Global Select Market on January 22, 2021, would increase or decrease, as applicable, the amount of our as adjusted cash, cash equivalents and investments, working capital, total assets and total stockholders’ equity by $1.3 million, assuming that the number of shares of Class A common stock offered by us, as set forth on the cover page of this prospectus, remains the same, after deducting estimated underwriting discounts and commissions payable by us. An increase or decrease of 1.0 million shares in the number of shares of Class A common stock offered by us would increase or decrease, as applicable, the amount of our as adjusted cash, cash equivalents and investments, working capital, total assets and total stockholders’ equity by $73.2 million assuming the public offering price remains the same, and after deducting estimated underwriting discounts and commissions payable by us.</w:t>
      </w:r>
    </w:p>
    <w:p>
      <w:pPr>
        <w:ind w:left="660" w:right="80" w:hanging="326"/>
        <w:spacing w:after="0" w:line="255"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660" w:top="121" w:right="1019" w:bottom="1440" w:gutter="0" w:footer="0" w:header="0"/>
        </w:sectPr>
      </w:pPr>
    </w:p>
    <w:bookmarkStart w:id="16" w:name="page17"/>
    <w:bookmarkEnd w:id="1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Terms Used in this Prospectus</w:t>
      </w:r>
    </w:p>
    <w:p>
      <w:pPr>
        <w:spacing w:after="0" w:line="17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Accuracy. </w:t>
      </w:r>
      <w:r>
        <w:rPr>
          <w:rFonts w:ascii="Arial" w:cs="Arial" w:eastAsia="Arial" w:hAnsi="Arial"/>
          <w:sz w:val="18"/>
          <w:szCs w:val="18"/>
          <w:color w:val="auto"/>
        </w:rPr>
        <w:t>In the context of proteomics studies, accuracy of measurement refers to how close the measured abundance of a protein is to the true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abundance in a sample.</w:t>
      </w:r>
    </w:p>
    <w:p>
      <w:pPr>
        <w:spacing w:after="0" w:line="11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Biased. </w:t>
      </w:r>
      <w:r>
        <w:rPr>
          <w:rFonts w:ascii="Arial" w:cs="Arial" w:eastAsia="Arial" w:hAnsi="Arial"/>
          <w:sz w:val="17"/>
          <w:szCs w:val="17"/>
          <w:color w:val="auto"/>
        </w:rPr>
        <w:t>Biased refers to molecular analyses that depend upon specific ligands that are targeted to specific proteins in the case of biased proteomics,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specific genes or gene mutations in the case of biased genomics. Biased contrasts with unbiased, which does not require specific ligands to target molecules. Biased is also referred to as targeted since the ligands used are directed against specific target molecules.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In the context of proteomics studies, breadth of sampling refers to the number of proteins that are sampled in a proteomics study.</w:t>
      </w:r>
    </w:p>
    <w:p>
      <w:pPr>
        <w:spacing w:after="0" w:line="183"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Centralized. </w:t>
      </w:r>
      <w:r>
        <w:rPr>
          <w:rFonts w:ascii="Arial" w:cs="Arial" w:eastAsia="Arial" w:hAnsi="Arial"/>
          <w:sz w:val="18"/>
          <w:szCs w:val="18"/>
          <w:color w:val="auto"/>
        </w:rPr>
        <w:t>Centralized refers to a centralized laboratory in an institution where services, often highly technical or requiring specific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are performed for others in the institution. Examples of centralized laboratories include core labs for proteomics and genomics. Centralized contrasts with decentralized laboratories where technology and/or equipment is dispersed in an institution.</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Consumables. </w:t>
      </w:r>
      <w:r>
        <w:rPr>
          <w:rFonts w:ascii="Arial" w:cs="Arial" w:eastAsia="Arial" w:hAnsi="Arial"/>
          <w:sz w:val="18"/>
          <w:szCs w:val="18"/>
          <w:color w:val="auto"/>
        </w:rPr>
        <w:t>Our consumables refer to the nanoparticle formulations, related reagents and disposable items in our assays that are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to conduct proteomic assays using our Proteograph Product Suite.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Decentralized. </w:t>
      </w:r>
      <w:r>
        <w:rPr>
          <w:rFonts w:ascii="Arial" w:cs="Arial" w:eastAsia="Arial" w:hAnsi="Arial"/>
          <w:sz w:val="18"/>
          <w:szCs w:val="18"/>
          <w:color w:val="auto"/>
        </w:rPr>
        <w:t>Decentralized refers to a laboratory configuration in an institution where a specific technology, capabilities and equipment is dispersed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throughout the institution. Decentralized contrasts with centralized where technology, capabilities and/or equipment is centralized in an institution, often in a core laboratory.</w:t>
      </w:r>
    </w:p>
    <w:p>
      <w:pPr>
        <w:spacing w:after="0" w:line="130"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Depth. </w:t>
      </w:r>
      <w:r>
        <w:rPr>
          <w:rFonts w:ascii="Arial" w:cs="Arial" w:eastAsia="Arial" w:hAnsi="Arial"/>
          <w:sz w:val="17"/>
          <w:szCs w:val="17"/>
          <w:color w:val="auto"/>
        </w:rPr>
        <w:t>In the context of proteomics studies, depth of coverage refers to the magnitude of the range of protein concentrations that are represented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set of proteomic information. Thus, a data set which is deep has a wide range of protein concentrations in the components. For example, this range could represent more than five orders of magnitude of mass per volume of sample that are contained in that data set.</w:t>
      </w:r>
    </w:p>
    <w:p>
      <w:pPr>
        <w:spacing w:after="0" w:line="107"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Functional context/characterization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Functional context/characterization, in the case of genes, refers to the details of how genes are hypothesized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 biologically, either directly or through the mRNA or protein molecules that derive from the genes. The interactions of these molecules produce a specific biological function.</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Genomics. </w:t>
      </w:r>
      <w:r>
        <w:rPr>
          <w:rFonts w:ascii="Arial" w:cs="Arial" w:eastAsia="Arial" w:hAnsi="Arial"/>
          <w:sz w:val="18"/>
          <w:szCs w:val="18"/>
          <w:color w:val="auto"/>
        </w:rPr>
        <w:t>Genomics refers to the study of all an organism’s genes and their interactions to influence the organism. Large-scale studies are required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 how changes in an organism’s genes influence the organism.</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Instrument. </w:t>
      </w:r>
      <w:r>
        <w:rPr>
          <w:rFonts w:ascii="Arial" w:cs="Arial" w:eastAsia="Arial" w:hAnsi="Arial"/>
          <w:sz w:val="18"/>
          <w:szCs w:val="18"/>
          <w:color w:val="auto"/>
        </w:rPr>
        <w:t>In the context of our Proteograph, our instrument refers to the automated, robotic, liquid handling workstation that is used along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consumables to conduct proteomic assays using our Proteograph Product Suite.</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Interactome. </w:t>
      </w:r>
      <w:r>
        <w:rPr>
          <w:rFonts w:ascii="Arial" w:cs="Arial" w:eastAsia="Arial" w:hAnsi="Arial"/>
          <w:sz w:val="18"/>
          <w:szCs w:val="18"/>
          <w:color w:val="auto"/>
        </w:rPr>
        <w:t>Interactome refers to the broad set of interaction networks among molecules, such PPIs. Other interactions may include those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molecules and proteins.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Interrogation. </w:t>
      </w:r>
      <w:r>
        <w:rPr>
          <w:rFonts w:ascii="Arial" w:cs="Arial" w:eastAsia="Arial" w:hAnsi="Arial"/>
          <w:sz w:val="18"/>
          <w:szCs w:val="18"/>
          <w:color w:val="auto"/>
        </w:rPr>
        <w:t>In the context of our Proteograph, interrogation refers to analyses of one of more samples to explore the proteomic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contained in those samples.</w:t>
      </w:r>
    </w:p>
    <w:p>
      <w:pPr>
        <w:spacing w:after="0" w:line="116"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b w:val="1"/>
          <w:bCs w:val="1"/>
          <w:i w:val="1"/>
          <w:iCs w:val="1"/>
          <w:color w:val="auto"/>
        </w:rPr>
        <w:t xml:space="preserve">Large-scale. </w:t>
      </w:r>
      <w:r>
        <w:rPr>
          <w:rFonts w:ascii="Arial" w:cs="Arial" w:eastAsia="Arial" w:hAnsi="Arial"/>
          <w:sz w:val="17"/>
          <w:szCs w:val="17"/>
          <w:color w:val="auto"/>
        </w:rPr>
        <w:t>In the context of proteomics studies, large-scale refers to studies of more than 100 samples, given that most proteomics studies,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particularly those that cover a wide range of protein concentrations (i.e. deep studies) are in the range of less than 50 samples.</w:t>
      </w:r>
    </w:p>
    <w:p>
      <w:pPr>
        <w:spacing w:after="0" w:line="9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-omics. </w:t>
      </w:r>
      <w:r>
        <w:rPr>
          <w:rFonts w:ascii="Arial" w:cs="Arial" w:eastAsia="Arial" w:hAnsi="Arial"/>
          <w:sz w:val="18"/>
          <w:szCs w:val="18"/>
          <w:color w:val="auto"/>
        </w:rPr>
        <w:t>This term refers to various different biological analyses approaches whereby researchers can analyze complex biological data, often in 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methods, to find novel associations between biological entities, pinpoint relevant biomarkers and build elaborate markers of disease and physiology. Examples of various “omics”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1" w:right="379" w:bottom="1440" w:gutter="0" w:footer="0" w:header="0"/>
        </w:sectPr>
      </w:pPr>
    </w:p>
    <w:bookmarkStart w:id="17" w:name="page18"/>
    <w:bookmarkEnd w:id="1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analyses include: genomics, proteomics, transcriptomics, epigenomics, and metabolomics. When two or more of the -omics analyses approaches are combined either directly in analyses and/or in examination of -omics data sets, the approach is referred to as “multi-omics.”</w:t>
      </w:r>
    </w:p>
    <w:p>
      <w:pPr>
        <w:spacing w:after="0" w:line="88"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i w:val="1"/>
          <w:iCs w:val="1"/>
          <w:color w:val="auto"/>
        </w:rPr>
        <w:t>Mass spectrometry (MS)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Mass spectrometry refers to an analytical technique that can be used to accurately measure the mass-to-charge ratio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 ions within a sample. The ions are derived from the sample by bombarding, or “ionizing,” the sample with electrons. MS technology allows molecules, including proteins, to be analyzed accurately and with very high sensitivity at the atomic level. Analyzing complex biological samples, however, often requires prior sample preparation to allow for the sample to be more easily ionized and processed in an MS instrument.</w:t>
      </w:r>
    </w:p>
    <w:p>
      <w:pPr>
        <w:spacing w:after="0" w:line="11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7"/>
          <w:szCs w:val="17"/>
          <w:b w:val="1"/>
          <w:bCs w:val="1"/>
          <w:i w:val="1"/>
          <w:iCs w:val="1"/>
          <w:color w:val="auto"/>
        </w:rPr>
        <w:t>Nanoparticle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Nanoparticle refers to a particle of matter that is generally tens to hundreds of nanometers in diameter. The small size of nanoparticles,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between atomic scale and bulk material scale, results in material properties that can vary significantly from larger particles of the same material. These differences in material properties can be physical or chemical, and often involve differences in surface properties.</w:t>
      </w:r>
    </w:p>
    <w:p>
      <w:pPr>
        <w:spacing w:after="0" w:line="10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Peptide. </w:t>
      </w:r>
      <w:r>
        <w:rPr>
          <w:rFonts w:ascii="Arial" w:cs="Arial" w:eastAsia="Arial" w:hAnsi="Arial"/>
          <w:sz w:val="18"/>
          <w:szCs w:val="18"/>
          <w:color w:val="auto"/>
        </w:rPr>
        <w:t>Peptide refers to a chemical entity that is between two and 50 amino acids. A polypeptide that contains more than 50 amino acids is labelled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protein.</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Phenotype</w:t>
      </w:r>
      <w:r>
        <w:rPr>
          <w:rFonts w:ascii="Arial" w:cs="Arial" w:eastAsia="Arial" w:hAnsi="Arial"/>
          <w:sz w:val="18"/>
          <w:szCs w:val="18"/>
          <w:color w:val="auto"/>
        </w:rPr>
        <w:t>. Phenotype refers to the observable characteristics or traits of an organism, which can be manifested in form or structure by biochemical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 properties, or by behavior.</w:t>
      </w:r>
    </w:p>
    <w:p>
      <w:pPr>
        <w:spacing w:after="0" w:line="11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Polymorphism. </w:t>
      </w:r>
      <w:r>
        <w:rPr>
          <w:rFonts w:ascii="Arial" w:cs="Arial" w:eastAsia="Arial" w:hAnsi="Arial"/>
          <w:sz w:val="16"/>
          <w:szCs w:val="16"/>
          <w:color w:val="auto"/>
        </w:rPr>
        <w:t>Polymorphism refers to the occurrence of two or more forms or morphs of genes that are seen across a population. Polymorphisms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be, but are not always, associated with changes in phenotype, and these phenotypic changes are mediated through proteins and protein variants that can result from the polymorphism. Polymorphisms can be as small as a single nucleotide, and these are known as single nucleotide polymorphisms.</w:t>
      </w:r>
    </w:p>
    <w:p>
      <w:pPr>
        <w:spacing w:after="0" w:line="9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Post-translational modifications (PTMs). </w:t>
      </w:r>
      <w:r>
        <w:rPr>
          <w:rFonts w:ascii="Arial" w:cs="Arial" w:eastAsia="Arial" w:hAnsi="Arial"/>
          <w:sz w:val="18"/>
          <w:szCs w:val="18"/>
          <w:color w:val="auto"/>
        </w:rPr>
        <w:t>Post-translational modifications refer to the covalent and generally enzymatic modifications of proteins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protein synthesis. Examples of PTMs include phosphorylation, which is the addition of a phosphate group to an amino acid within a protein, or glycosylation, which refers to the addition of a carbohydrate group to an amino acid within a protein.</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Precision. </w:t>
      </w:r>
      <w:r>
        <w:rPr>
          <w:rFonts w:ascii="Arial" w:cs="Arial" w:eastAsia="Arial" w:hAnsi="Arial"/>
          <w:sz w:val="18"/>
          <w:szCs w:val="18"/>
          <w:color w:val="auto"/>
        </w:rPr>
        <w:t>In the context of proteomics studies, precision of measurement refers to how close several measurements of protein abundance 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sample are to each other.</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Protein. </w:t>
      </w:r>
      <w:r>
        <w:rPr>
          <w:rFonts w:ascii="Arial" w:cs="Arial" w:eastAsia="Arial" w:hAnsi="Arial"/>
          <w:sz w:val="18"/>
          <w:szCs w:val="18"/>
          <w:color w:val="auto"/>
        </w:rPr>
        <w:t>Protein refers to a polypeptide of more than 50 amino acids. Proteins conduct a vast array of functions within an organism,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catalyzing enzymatic reactions, other molecular processes, cellular processes, and cell structure. The function of proteins is highly dependent on the three dimensional structure of the intact protein, including protein variants such as post-translational modifications. Moreover, these functional processes are often mediated through PPIs.</w:t>
      </w:r>
    </w:p>
    <w:p>
      <w:pPr>
        <w:spacing w:after="0" w:line="13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Protein-protein interactions (PPIs). </w:t>
      </w:r>
      <w:r>
        <w:rPr>
          <w:rFonts w:ascii="Arial" w:cs="Arial" w:eastAsia="Arial" w:hAnsi="Arial"/>
          <w:sz w:val="18"/>
          <w:szCs w:val="18"/>
          <w:color w:val="auto"/>
        </w:rPr>
        <w:t>Protein-protein interactions refer to specific physical interactions between two or more proteins driven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physicochemical forces, and which are the result of molecular mechanisms that mediate biological function.</w:t>
      </w:r>
    </w:p>
    <w:p>
      <w:pPr>
        <w:spacing w:after="0" w:line="11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Protein variant. </w:t>
      </w:r>
      <w:r>
        <w:rPr>
          <w:rFonts w:ascii="Arial" w:cs="Arial" w:eastAsia="Arial" w:hAnsi="Arial"/>
          <w:sz w:val="18"/>
          <w:szCs w:val="18"/>
          <w:color w:val="auto"/>
        </w:rPr>
        <w:t>Protein variant, also known as a protein isoform, refers to a set of similar proteins that originate from a single gene or gene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variations can be generated by different molecular mechanisms, including alternative splicing of RNAs, various expression patterns of RNAs and post-translational modifications.</w:t>
      </w:r>
    </w:p>
    <w:p>
      <w:pPr>
        <w:spacing w:after="0" w:line="130"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Proteograph Product Suite. </w:t>
      </w:r>
      <w:r>
        <w:rPr>
          <w:rFonts w:ascii="Arial" w:cs="Arial" w:eastAsia="Arial" w:hAnsi="Arial"/>
          <w:sz w:val="18"/>
          <w:szCs w:val="18"/>
          <w:color w:val="auto"/>
        </w:rPr>
        <w:t>Our Proteograph Product Suite refers to an integrated solution consisting of consumables, which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nanoparticles, our automatic instrument, and our data analysis software.</w:t>
      </w:r>
    </w:p>
    <w:p>
      <w:pPr>
        <w:spacing w:after="0" w:line="116"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Proteomic(s). </w:t>
      </w:r>
      <w:r>
        <w:rPr>
          <w:rFonts w:ascii="Arial" w:cs="Arial" w:eastAsia="Arial" w:hAnsi="Arial"/>
          <w:sz w:val="18"/>
          <w:szCs w:val="18"/>
          <w:color w:val="auto"/>
        </w:rPr>
        <w:t>Proteomic(s) refers to the large-scale study of proteins. The proteome is the entire set of proteins that is produced or modified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organism or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8" w:name="page19"/>
    <w:bookmarkEnd w:id="1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Software. </w:t>
      </w:r>
      <w:r>
        <w:rPr>
          <w:rFonts w:ascii="Arial" w:cs="Arial" w:eastAsia="Arial" w:hAnsi="Arial"/>
          <w:sz w:val="18"/>
          <w:szCs w:val="18"/>
          <w:color w:val="auto"/>
        </w:rPr>
        <w:t>Our software refers to our integrated software suite that helps our customers process and interrogate the data that is generated by 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instruments after a proteomic assay has been performed using our Proteograph Product Suite.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Throughput. </w:t>
      </w:r>
      <w:r>
        <w:rPr>
          <w:rFonts w:ascii="Arial" w:cs="Arial" w:eastAsia="Arial" w:hAnsi="Arial"/>
          <w:sz w:val="18"/>
          <w:szCs w:val="18"/>
          <w:color w:val="auto"/>
        </w:rPr>
        <w:t>Throughput refers to the rate at which an assay can be performed on during a given time period.</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Transcriptome. </w:t>
      </w:r>
      <w:r>
        <w:rPr>
          <w:rFonts w:ascii="Arial" w:cs="Arial" w:eastAsia="Arial" w:hAnsi="Arial"/>
          <w:sz w:val="16"/>
          <w:szCs w:val="16"/>
          <w:color w:val="auto"/>
        </w:rPr>
        <w:t>Transcriptome refers to the sum total of all messenger RNA (mRNA) molecules that are expressed from the genes of an organism,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result of a biological process called “transcription” whereby the information in a strand of DNA is copied into a new molecule of mRNA.</w:t>
      </w:r>
    </w:p>
    <w:p>
      <w:pPr>
        <w:spacing w:after="0" w:line="7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b w:val="1"/>
          <w:bCs w:val="1"/>
          <w:i w:val="1"/>
          <w:iCs w:val="1"/>
          <w:color w:val="auto"/>
        </w:rPr>
        <w:t xml:space="preserve">Unbiased. </w:t>
      </w:r>
      <w:r>
        <w:rPr>
          <w:rFonts w:ascii="Arial" w:cs="Arial" w:eastAsia="Arial" w:hAnsi="Arial"/>
          <w:sz w:val="18"/>
          <w:szCs w:val="18"/>
          <w:color w:val="auto"/>
        </w:rPr>
        <w:t>Unbiased refers to molecular analyses that does not depend upon specific ligands that are targeted to specific proteins, genes or gene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mutations. Unbiased contrasts with biased, which requires specific ligands to target molecules. Unbiased is also referred to as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since it enables the discovery of new molecular information by not being restricted to specific ligands and/or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121" w:right="459" w:bottom="1440" w:gutter="0" w:footer="0" w:header="0"/>
        </w:sectPr>
      </w:pPr>
    </w:p>
    <w:bookmarkStart w:id="19" w:name="page20"/>
    <w:bookmarkEnd w:id="1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in this prospectus,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is subject to numerous risks and uncertainties that you should consider before investing in our company, as fully described below. The principal factors and uncertainties that make investing in our company risky include, among others:</w:t>
      </w:r>
    </w:p>
    <w:p>
      <w:pPr>
        <w:spacing w:after="0" w:line="116" w:lineRule="exact"/>
        <w:rPr>
          <w:sz w:val="20"/>
          <w:szCs w:val="20"/>
          <w:color w:val="auto"/>
        </w:rPr>
      </w:pPr>
    </w:p>
    <w:p>
      <w:pPr>
        <w:ind w:left="660" w:right="4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rFonts w:ascii="Arial" w:cs="Arial" w:eastAsia="Arial" w:hAnsi="Arial"/>
          <w:sz w:val="18"/>
          <w:szCs w:val="18"/>
          <w:color w:val="auto"/>
        </w:rPr>
      </w:pPr>
    </w:p>
    <w:p>
      <w:pPr>
        <w:ind w:left="660" w:right="8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limited operating history, which may make it difficult to evaluate the prospects for our future viability and predict our future performance;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not yet commercially launched our Proteograph Product Suite, and we may not be able to successfully commercially launch our Proteograph as planned;</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we commercially launch our Proteograph Product Suite, our success depends on broad scientific and market acceptance of our Proteograph, which we may fail to achieve;</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 and</w:t>
      </w:r>
    </w:p>
    <w:p>
      <w:pPr>
        <w:spacing w:after="0" w:line="129"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1" w:right="359" w:bottom="1440" w:gutter="0" w:footer="0" w:header="0"/>
        </w:sectPr>
      </w:pPr>
    </w:p>
    <w:bookmarkStart w:id="20" w:name="page21"/>
    <w:bookmarkEnd w:id="2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an early-stage life sciences technology company, and we have incurred significant losses since we were formed in 2017, and expect to continue to incur losses in the future. We incurred net losses of $6.3 million and $16.0 million in 2018 and 2019, respectively and $10.9 million and $19.8 million in the nine months ended September 30, 2019 and 2020, respectively. As of September 30, 2020, we had an accumulated deficit of $42.4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future commercialization of our Proteograph Product Suite and research and development efforts for products. These efforts may prove more costly than we currently anticipate. We have not generated any product revenue and we may never generate revenue sufficient to offset our expenses, or at all.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206"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We have not commercialized our Proteograph Product Suite or any other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2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commercialize our Proteograph Product Suite on our anticipated timeline;</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and commercialization activities relating to our Proteograph Product Suite, including our Proteograph automation instrument and proprietary engineered nanoparticle (NP) technology, which may change from time to time;</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Proteograph, which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1" w:name="page22"/>
    <w:bookmarkEnd w:id="2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drive adoption of our Proteograph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prices at which we will be able to sell our Proteograph;</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volume and mix of our sales between our Proteograph consumables, automation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length of time of the sales cycle for purchases of our Proteograph, including lead time needed to procure Proteograph automation instruments from our third-party contract manufacturer;</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121" w:right="379" w:bottom="1440" w:gutter="0" w:footer="0" w:header="0"/>
        </w:sectPr>
      </w:pPr>
    </w:p>
    <w:bookmarkStart w:id="22" w:name="page23"/>
    <w:bookmarkEnd w:id="2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4"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have not yet commercially launched our Proteograph Product Suite, and we may not be able to successfully commercially launch our Proteograph as planned.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not yet commercially launched our Proteograph Product Suite. We plan to follow a three phase launch plan to commercialize our Proteograph, which includes a collaboration phase, an early access limited release phase and a broad commercial availability phase. We are currently in the collaboration phase of our commercial launch plan. Our commercial launch plan may not progress as planned due to:</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Proteograph with key opinion leaders in a timely fashion;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potential need or desire to modify aspects of our Proteograph prior to entering into the second or third phases of our commercial launch plan;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194" w:lineRule="exact"/>
        <w:rPr>
          <w:rFonts w:ascii="Arial" w:cs="Arial" w:eastAsia="Arial" w:hAnsi="Arial"/>
          <w:sz w:val="16"/>
          <w:szCs w:val="16"/>
          <w:color w:val="auto"/>
        </w:rPr>
      </w:pPr>
    </w:p>
    <w:p>
      <w:pPr>
        <w:ind w:left="660" w:right="8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commercially launch our Proteograph Product Suite, our success depends on broad scientific and market acceptance of our Proteograph, which we may fail to achieve.</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we will continue to experience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3" w:name="page24"/>
    <w:bookmarkEnd w:id="2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Proteograph. During the collaboration and early access limited release phases of our commercialization launch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collaboration and early access limited release phases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Proteograph;</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Proteograph to demonstrate comparable performance in intended use applications broadly in the hands of customers as achieved in the collaboration and early access limited release phases of our commercialization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customers’ willingness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Proteograph’s ease of use and whether it reliably provides advantages over other alternative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adoption of our Proteograph by academic institutions, laboratories, biopharmaceutical companies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we charge for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Proteograph;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cannot assure you that we will be successful in addressing each of these criteria or other criteria that might affect the market acceptance of any products we commercialize, particularly our Proteograph. If we are unsuccessful in achieving and maintaining market acceptance of our Proteograph, our business, financial condition and results of operations would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9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our being able to attract customers for our Proteograph. Although members of our management team have considerable industry experience, in the future we will be required to expand our sales, marketing, distribution and customer service and support capabilities with the appropriate technical expertise prior to the broad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121" w:right="399" w:bottom="1440" w:gutter="0" w:footer="0" w:header="0"/>
        </w:sectPr>
      </w:pPr>
    </w:p>
    <w:bookmarkStart w:id="24" w:name="page25"/>
    <w:bookmarkEnd w:id="2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launch of our Proteograph. To perform sales, marketing, distribution, and customer service and support successfully, we will face a number of risks, including:</w:t>
      </w:r>
    </w:p>
    <w:p>
      <w:pPr>
        <w:spacing w:after="0" w:line="116" w:lineRule="exact"/>
        <w:rPr>
          <w:sz w:val="20"/>
          <w:szCs w:val="20"/>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for our technology;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83"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Even if our Proteograph Product Suite is commercialized and achieves broad scientific and market acceptance, if we fail to improve it or introduce compelling new products, our revenues and our prospects could be harmed.</w:t>
      </w:r>
    </w:p>
    <w:p>
      <w:pPr>
        <w:spacing w:after="0" w:line="11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Even if we are able to commercialize our Proteograph Product Suite and achieve broad scientific and market acceptance, our ability to attract new customers and increase revenue from existing customers will depend in large part on our ability to enhance and improve our Proteograph and to introduce compelling new products. The success of any enhancement to our Proteograph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1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Proteograph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Proteograph automation instrument and NPs. For instance, there are standing “stay-at-home” orders in California, and specifically San Mateo County where our headquarters is located, that require businesses to implement certain social distancing protocols and other written health and safety plans and measures which may affect productivity and morale. We have continued to operate within the rules applicable to our business; however, an extended implementation of these governmental mandates could further impact our ability to operate effectively and conduct ongoing research and development or other activities. The COVID-19 pandemic has also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near term, we expect that substantially all of our revenue will be derived from sales of our Proteograph Product Suite, including our instruments and consumables, to academic and research institutions. We are currently in the collaboration phase of our commercialization plan and, as a result, in the near term, our ability to drive the adoption of our Proteograph will depend upon our ability to visit customer sites, the ability of our customers to access laboratories, install and train on our Proteograph Product Suite and conduct research in light of the COVID-19 pandemic. Additionally, as we move into the early access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Proteograph. All of these considerations are impacted by factors beyond our control, such as:</w:t>
      </w:r>
    </w:p>
    <w:p>
      <w:pPr>
        <w:spacing w:after="0" w:line="138" w:lineRule="exact"/>
        <w:rPr>
          <w:sz w:val="20"/>
          <w:szCs w:val="20"/>
          <w:color w:val="auto"/>
        </w:rPr>
      </w:pPr>
    </w:p>
    <w:p>
      <w:pPr>
        <w:ind w:left="660" w:right="12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Additionally, our suppliers have also been impacted by the COVID-19 pandemic. For example, our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and medical and testing supplies that we use for product development, as these other components and supplies are otherwise diverted to COVID-19-related testing and other uses.</w:t>
      </w:r>
    </w:p>
    <w:p>
      <w:pPr>
        <w:spacing w:after="0" w:line="1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21" w:right="359" w:bottom="1440" w:gutter="0" w:footer="0" w:header="0"/>
        </w:sectPr>
      </w:pPr>
    </w:p>
    <w:bookmarkStart w:id="26" w:name="page27"/>
    <w:bookmarkEnd w:id="2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harm our business, and we cannot anticipate all of the ways in which the current economic climate and financial market conditions could adversely impact our ability to raise capital, business,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17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December 31, 2020, we had 60 employees. Developing and commercializing our Proteograph will require us to hire and retain scientific, sales and marketing, software, manufacturing, customer service, distribution and quality assurance personnel. In addition, we expect that we will need to hire additional accounting, finance and other personnel in connection with our becoming, and our efforts to comply with the requirements of being, a public company. As a newly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are unable to recruit, train and retain our personnel, we may not achieve our goals.</w:t>
      </w:r>
    </w:p>
    <w:p>
      <w:pPr>
        <w:spacing w:after="0" w:line="116"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The departure of one or more of our executives officers, senior management team members, or other key employees could be disruptive to our business until we are able to hire qualified successors. We do not maintain “key man” life insurance on our senior management team.</w:t>
      </w:r>
    </w:p>
    <w:p>
      <w:pPr>
        <w:spacing w:after="0" w:line="12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 The current United States administration has made restricting immigration and reforming the work visa process a key focus of its initiatives and these efforts may adversely affect our ability to find qualified personnel.</w:t>
      </w:r>
    </w:p>
    <w:p>
      <w:pPr>
        <w:spacing w:after="0" w:line="1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7" w:name="page28"/>
    <w:bookmarkEnd w:id="2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failure to attract, train, retain and motivate qualified personnel could materially harm our business, results of operations, financial condition and prospects.</w:t>
      </w:r>
    </w:p>
    <w:p>
      <w:pPr>
        <w:spacing w:after="0" w:line="1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 of our Proteograph Product Suite from the time it is commercialized through the foreseeable future.</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our Proteograph Product Suite will be our first commercial product. While we anticipate having early access limited release in 2021, we do not expect to have broad commercial availability for our Proteograph until early 2022. If we are able to successfully commercialize our Proteograph, we expect that we will generate substantially all of our revenue from the sale of our Proteograph, which we expect to consist of consumables, automation instruments and software. There can be no assurance that we will be able to successfully commercialize our Proteograph,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Proteograph in order to keep up with the latest technology. To date, we have limited experience simultaneously designing, testing, manufacturing and selling products and there can be no assurance we will be able to do so. Our sales expectations are based in part on the assumption that our Proteograph will increase study sizes for our future customers and their associated purchases of our consumables. If sales of our instruments fail to materialize, so will the related consumable sales and associated revenue.</w:t>
      </w:r>
    </w:p>
    <w:p>
      <w:pPr>
        <w:spacing w:after="0" w:line="13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our development and commercialization plans for our Proteograph,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Proteograph or new products or product enhancements would have a substantial adverse effect on our business and results of operations.</w:t>
      </w:r>
    </w:p>
    <w:p>
      <w:pPr>
        <w:spacing w:after="0" w:line="11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to academic institutions and other research institutions. Much of these customers’ funding will be, in turn, provided by various state, federal and international government agencies. As a result, the demand for our Proteograph will depend upon the research and development budgets of these customers, which are impacted by factors beyond our control, such as:</w:t>
      </w:r>
    </w:p>
    <w:p>
      <w:pPr>
        <w:spacing w:after="0" w:line="13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researchers’ opinions of the utility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citation of our Proteograph in published research;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8" w:name="page29"/>
    <w:bookmarkEnd w:id="2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 Proteograph.</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2019,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and a decrease may be more likely under the current administration, whose annual budget proposals have repeatedly decreased NIH appropriations.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a single contract manufacturer to manufacture and supply our instruments. If this manufacturer should fail or not perform satisfactorily, our ability to commercialize and supply our instruments would be adversely affected.</w:t>
      </w:r>
    </w:p>
    <w:p>
      <w:pPr>
        <w:spacing w:after="0" w:line="11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 priority than ours, and we may not be able to obtain adequate supplies in a timely manner or on commercially reasonable terms. For example, due to the COVID-19 pandemic and increased demand for Hamilton’s products, we have seen the lead time for our instruments increase significantly. Further, if Hamilton is unable to obtain critical components used in our Proteograph or supply our instruments on the timelines we require, our business and commercialization efforts would be harmed.</w:t>
      </w:r>
    </w:p>
    <w:p>
      <w:pPr>
        <w:spacing w:after="0" w:line="141"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w:t>
      </w:r>
    </w:p>
    <w:p>
      <w:pPr>
        <w:spacing w:after="0" w:line="11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also experienced supply delays for critical hardware, instrumentation and medical and testing supplies that we use for product development, as these other components and supplies are otherwise diverted to COVID-19-related testing and other uses. If any of these events occur, our business, results of operations, financial condition and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9" w:name="page30"/>
    <w:bookmarkEnd w:id="2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We have limited experience producing and supplying our products, and we may be unable to consistently manufacture or source our automation instruments and consumables to the necessary specifications or in quantities necessary to meet demand on a timely basis and at acceptable performance and cost levels.</w:t>
      </w:r>
    </w:p>
    <w:p>
      <w:pPr>
        <w:spacing w:after="0" w:line="13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Proteograph Product Suite is an integrated workstation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or encounter unexpected difficulties in packaging our consumables, our business will be adversely impacted.</w:t>
      </w:r>
    </w:p>
    <w:p>
      <w:pPr>
        <w:spacing w:after="0" w:line="12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Proteograph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fails to maintain ISO quality management certifications, customers might choose not to purchase products from us.</w:t>
      </w:r>
    </w:p>
    <w:p>
      <w:pPr>
        <w:spacing w:after="0" w:line="13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134"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121" w:right="379" w:bottom="1440" w:gutter="0" w:footer="0" w:header="0"/>
        </w:sectPr>
      </w:pPr>
    </w:p>
    <w:bookmarkStart w:id="30" w:name="page31"/>
    <w:bookmarkEnd w:id="3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13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manufacturing our Proteograph, we depend upon third parties for the supply of our instruments and various components, many of which require a significant degree of technical expertise to produce. If our suppliers fail to produce our Proteograph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our Proteograph contain defects, we may experience:</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Proteograph or expansion of our Proteograph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or are defective, they may not be compatible or perform as intended with our Proteograph. In such case, the reliability, results and performance of our Proteograph may be compromised. The occurrence of any one or more of the foregoing could negatively affect our business, financial condition, and results of operations.</w:t>
      </w:r>
    </w:p>
    <w:p>
      <w:pPr>
        <w:spacing w:after="0" w:line="1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Proteograph software, our commercialization efforts and therefore business and results of operations could suffer.</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success of our Proteograph Product Suite depends, in part, on our ability to design and deploy our Proteograph software in a manner that enables the integration with our potential customers’ systems and accommodates our potential customers’ needs. Without our Proteograph software, the use of MS instruments can require expert knowledge and scalable high-performance computer infrastructure to run efficiently and can make it difficult for our customers to understand and evaluate the quality of their results.</w:t>
      </w:r>
    </w:p>
    <w:p>
      <w:pPr>
        <w:spacing w:after="0" w:line="133"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We have and will continue to spend significant amounts of effort developing our Proteograph software, and potential enhanced versions over time, to meet our customers’ and potential customers’ evolving needs. There is no assurance that the development or deployment of our Proteograph software, or any potential enhancements,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1" w:name="page32"/>
    <w:bookmarkEnd w:id="3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compelling to our customers. In addition, we may experience delays in our release dates of our Proteograph software, and there can be no assurance that our Proteograph software will be released according to schedule. If our software development and deployment plan does not accurately anticipate customer demands or if we fail to develop our Proteograph software in a manner that satisfies customer preferences in a timely and cost-effective manner, our Proteograph may fail to gain market acceptance.</w:t>
      </w:r>
    </w:p>
    <w:p>
      <w:pPr>
        <w:spacing w:after="0" w:line="13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171" w:lineRule="exact"/>
        <w:rPr>
          <w:sz w:val="20"/>
          <w:szCs w:val="20"/>
          <w:color w:val="auto"/>
        </w:rPr>
      </w:pPr>
    </w:p>
    <w:p>
      <w:pPr>
        <w:ind w:left="660" w:right="2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3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right="4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and SomaLogic.</w:t>
      </w:r>
    </w:p>
    <w:p>
      <w:pPr>
        <w:spacing w:after="0" w:line="13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1" w:right="379" w:bottom="1440" w:gutter="0" w:footer="0" w:header="0"/>
        </w:sectPr>
      </w:pPr>
    </w:p>
    <w:bookmarkStart w:id="32" w:name="page33"/>
    <w:bookmarkEnd w:id="3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3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the Sarbanes-Oxley Act (SOX). During our review and testing, we may identify deficiencies and be unable to remediate them before we must provide the required reports. In connection with the audit of our financial statements for the year ended December 31, 2019, we and our independent registered public accounting firm identified the following material weaknesses in our internal control over financial reporting, which remain unremediated:</w:t>
      </w:r>
    </w:p>
    <w:p>
      <w:pPr>
        <w:spacing w:after="0" w:line="117" w:lineRule="exact"/>
        <w:rPr>
          <w:sz w:val="20"/>
          <w:szCs w:val="20"/>
          <w:color w:val="auto"/>
        </w:rPr>
      </w:pPr>
    </w:p>
    <w:p>
      <w:pPr>
        <w:ind w:left="660" w:right="4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is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jc w:val="both"/>
        <w:ind w:left="660" w:right="6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69" w:lineRule="exact"/>
        <w:rPr>
          <w:rFonts w:ascii="Arial" w:cs="Arial" w:eastAsia="Arial" w:hAnsi="Arial"/>
          <w:sz w:val="16"/>
          <w:szCs w:val="16"/>
          <w:color w:val="auto"/>
        </w:rPr>
      </w:pPr>
    </w:p>
    <w:p>
      <w:pPr>
        <w:ind w:left="660" w:right="10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21" w:right="359" w:bottom="1440" w:gutter="0" w:footer="0" w:header="0"/>
        </w:sectPr>
      </w:pPr>
    </w:p>
    <w:bookmarkStart w:id="33" w:name="page34"/>
    <w:bookmarkEnd w:id="3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begun to take certain actions to address the control deficiencies in our financial reporting, including hiring three finance department employees with appropriate expertise, including our Chief Financial Officer and our Controller, and retaining an accounting consulting firm to provide additional depth and breadth to our technical accounting and financial reporting capabilities. We have also begun to review and document our accounting and financial processes and internal controls, build out our financial management and reporting systems infrastructure, and further develop and formalize our accounting policies and financial reporting procedures, which includes ongoing senior management review and establishing our audit committee oversight. In addition, our current plan includes the hiring of an additional two finance and accounting personnel during 2021 to assist in executing on these specific functions. 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1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becoming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41"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To achieve compliance with Section 404(a) within the prescribed period, we will be engaging in a process to document and evaluate our internal control over financial reporting, which is both costly and challenging.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4" w:name="page35"/>
    <w:bookmarkEnd w:id="3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9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130"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3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Class A common stock.</w:t>
      </w:r>
    </w:p>
    <w:p>
      <w:pPr>
        <w:spacing w:after="0" w:line="11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products are currently labeled and promoted, and are, and in the near-future will be, sold primarily to academic and research institutions and research companies as research use only (RUO) products, and are not currently designed, or intended to be used, for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1" w:right="359" w:bottom="1440" w:gutter="0" w:footer="0" w:header="0"/>
        </w:sectPr>
      </w:pPr>
    </w:p>
    <w:bookmarkStart w:id="35" w:name="page36"/>
    <w:bookmarkEnd w:id="3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1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24" w:lineRule="exact"/>
        <w:rPr>
          <w:sz w:val="20"/>
          <w:szCs w:val="20"/>
          <w:color w:val="auto"/>
        </w:rPr>
      </w:pPr>
    </w:p>
    <w:p>
      <w:pPr>
        <w:ind w:right="8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1" w:right="379" w:bottom="1440" w:gutter="0" w:footer="0" w:header="0"/>
        </w:sectPr>
      </w:pPr>
    </w:p>
    <w:bookmarkStart w:id="36" w:name="page37"/>
    <w:bookmarkEnd w:id="3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1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3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7" w:name="page38"/>
    <w:bookmarkEnd w:id="3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70"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prospectus. If our available cash resources, net proceeds from this offering and anticipated cash flow from operations are insufficient to satisfy our liquidity requirements including because of lower demand for our products or the realization of other risks described in this prospectus, we may be required to raise additional capital prior to such time through issuances of equity or convertible debt securities, entrance into a credit facility or another form of third-party funding or seek other debt financing.</w:t>
      </w:r>
    </w:p>
    <w:p>
      <w:pPr>
        <w:spacing w:after="0" w:line="12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We will consider raising additional capital in the future to expand our business, to pursue strategic investments, to take advantage of financing opportunities or for other reasons, including:</w:t>
      </w:r>
    </w:p>
    <w:p>
      <w:pPr>
        <w:spacing w:after="0" w:line="116" w:lineRule="exact"/>
        <w:rPr>
          <w:sz w:val="20"/>
          <w:szCs w:val="20"/>
          <w:color w:val="auto"/>
        </w:rPr>
      </w:pPr>
    </w:p>
    <w:p>
      <w:pPr>
        <w:ind w:left="660" w:right="7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our sales and marketing and other commercialization efforts to drive market adoption of our Proteograph Product Suite,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funding development and marketing efforts of our Proteograph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licensing or investing in technologies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acquiring or investing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right="5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our Proteograph and new products, and the cost of the sales and marketing activities associated with establishing adoption of our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21" w:right="359" w:bottom="1440" w:gutter="0" w:footer="0" w:header="0"/>
        </w:sectPr>
      </w:pPr>
    </w:p>
    <w:bookmarkStart w:id="38" w:name="page39"/>
    <w:bookmarkEnd w:id="3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of PrognomIQ as a separate healthcare company in the area of disease testing.</w:t>
      </w:r>
    </w:p>
    <w:p>
      <w:pPr>
        <w:spacing w:after="0" w:line="171"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for unbiased, deep and large-scale proteomic information. We continue to hold approximately 19% of the outstanding capital stock of PrognomIQ. We may not realize the potential benefits of forming PrognomIQ for a variety of reasons, including:</w:t>
      </w:r>
    </w:p>
    <w:p>
      <w:pPr>
        <w:spacing w:after="0" w:line="9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be unable to successfully develop viable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PrognomIQ’s business may not help demonstrate the value of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reach agreement with PrognomIQ on future commercial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not become a meaningful customer of ours;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PrognomIQ may need to raise additional funding in the future and be unable to do so; and</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formation of PrognomIQ and our continuing equity stake in PrognomIQ may add complexities to our business from a finance, tax and accounting perspective.</w:t>
      </w:r>
    </w:p>
    <w:p>
      <w:pPr>
        <w:spacing w:after="0" w:line="116"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21" w:right="359" w:bottom="1440" w:gutter="0" w:footer="0" w:header="0"/>
        </w:sectPr>
      </w:pPr>
    </w:p>
    <w:bookmarkStart w:id="39" w:name="page40"/>
    <w:bookmarkEnd w:id="3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1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America Invents Act and its implementation could increase the uncertainties and costs surrounding the prosecution of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21" w:right="359" w:bottom="1440" w:gutter="0" w:footer="0" w:header="0"/>
        </w:sectPr>
      </w:pPr>
    </w:p>
    <w:bookmarkStart w:id="40" w:name="page41"/>
    <w:bookmarkEnd w:id="4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applications and the enforcement or defense of our issued patents, all of which could have a material adverse effect on our business, financial condition, results of operations and prospects.</w:t>
      </w:r>
    </w:p>
    <w:p>
      <w:pPr>
        <w:spacing w:after="0" w:line="1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2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2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3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1" w:right="339" w:bottom="1440" w:gutter="0" w:footer="0" w:header="0"/>
        </w:sectPr>
      </w:pPr>
    </w:p>
    <w:bookmarkStart w:id="41" w:name="page42"/>
    <w:bookmarkEnd w:id="4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other intellectual property rights on a worldwide basis. As a result, it is possible that we will not be able to enforce our rights against third parties that misappropriate our proprietary technology in those countries.</w:t>
      </w:r>
    </w:p>
    <w:p>
      <w:pPr>
        <w:spacing w:after="0" w:line="11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44"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1" w:right="359" w:bottom="1440" w:gutter="0" w:footer="0" w:header="0"/>
        </w:sectPr>
      </w:pPr>
    </w:p>
    <w:bookmarkStart w:id="42" w:name="page43"/>
    <w:bookmarkEnd w:id="4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from academic to industry scientific positions.</w:t>
      </w:r>
    </w:p>
    <w:p>
      <w:pPr>
        <w:spacing w:after="0" w:line="13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3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1" w:right="359" w:bottom="1440" w:gutter="0" w:footer="0" w:header="0"/>
        </w:sectPr>
      </w:pPr>
    </w:p>
    <w:bookmarkStart w:id="43" w:name="page44"/>
    <w:bookmarkEnd w:id="4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1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For example, we are aware of a third party in certain jurisdictions outside of the United States that have filed to own the trademark registrations for the trademark, SEER, and have opposed our application for registration for such trademark. If they succeed in registering or developing common law rights in such trademark or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While extensions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 w:right="339" w:bottom="1440" w:gutter="0" w:footer="0" w:header="0"/>
        </w:sectPr>
      </w:pPr>
    </w:p>
    <w:bookmarkStart w:id="44" w:name="page45"/>
    <w:bookmarkEnd w:id="4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1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3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2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proteomes, including through the use of nanoparticles. Such patent is expected to expire in 2026, without taking into account any possible patent term adjustments or extensions. We are also aware of a pending patent application in Europe owned by a third party that is directed to methods of identifying biomarkers in biofluids using nanoparticles and, if issued, is projected to expire in 2037, without taking into account any possible patent term adjustments or extensions. Such patent and patent application could be construed to cover our products and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1" w:right="339" w:bottom="1440" w:gutter="0" w:footer="0" w:header="0"/>
        </w:sectPr>
      </w:pPr>
    </w:p>
    <w:bookmarkStart w:id="45" w:name="page46"/>
    <w:bookmarkEnd w:id="4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1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1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4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1" w:right="359" w:bottom="1440" w:gutter="0" w:footer="0" w:header="0"/>
        </w:sectPr>
      </w:pPr>
    </w:p>
    <w:bookmarkStart w:id="46" w:name="page47"/>
    <w:bookmarkEnd w:id="4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2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1" w:right="359" w:bottom="1440" w:gutter="0" w:footer="0" w:header="0"/>
        </w:sectPr>
      </w:pPr>
    </w:p>
    <w:bookmarkStart w:id="47" w:name="page48"/>
    <w:bookmarkEnd w:id="4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manufacture or commercialize our products without infringing third-party patent rights. Any of the foregoing could harm our business, financial condition, results of operations and prospects.</w:t>
      </w:r>
    </w:p>
    <w:p>
      <w:pPr>
        <w:spacing w:after="0" w:line="116"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We may need to obtain additional licenses from others to advance our research, development and commercialization activities. For instance, under our license agreement with BWH, we currently in-license two patent families one of which includes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124"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disputes may also arise between us and our licensor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1" w:right="339" w:bottom="1440" w:gutter="0" w:footer="0" w:header="0"/>
        </w:sectPr>
      </w:pPr>
    </w:p>
    <w:bookmarkStart w:id="48" w:name="page49"/>
    <w:bookmarkEnd w:id="4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2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12"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which could adversely affect our ability to offer products or services, our ability to continue operations and our business, financial condition, results of operations and prospects.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1" w:right="339" w:bottom="1440" w:gutter="0" w:footer="0" w:header="0"/>
        </w:sectPr>
      </w:pPr>
    </w:p>
    <w:bookmarkStart w:id="49" w:name="page50"/>
    <w:bookmarkEnd w:id="4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13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2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92"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1" w:right="359" w:bottom="1440" w:gutter="0" w:footer="0" w:header="0"/>
        </w:sectPr>
      </w:pPr>
    </w:p>
    <w:bookmarkStart w:id="50" w:name="page51"/>
    <w:bookmarkEnd w:id="5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4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16" w:lineRule="exact"/>
        <w:rPr>
          <w:sz w:val="20"/>
          <w:szCs w:val="20"/>
          <w:color w:val="auto"/>
        </w:rPr>
      </w:pPr>
    </w:p>
    <w:p>
      <w:pPr>
        <w:ind w:right="660" w:firstLine="324"/>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 xml:space="preserve">Risks Related to this Offering and Ownership of Our Class A Common Stock </w:t>
      </w:r>
      <w:r>
        <w:rPr>
          <w:rFonts w:ascii="Arial" w:cs="Arial" w:eastAsia="Arial" w:hAnsi="Arial"/>
          <w:sz w:val="18"/>
          <w:szCs w:val="18"/>
          <w:b w:val="1"/>
          <w:bCs w:val="1"/>
          <w:i w:val="1"/>
          <w:iCs w:val="1"/>
          <w:color w:val="auto"/>
        </w:rPr>
        <w:t>An active trading market for our Class A common stock may not be sustained.</w:t>
      </w:r>
    </w:p>
    <w:p>
      <w:pPr>
        <w:spacing w:after="0" w:line="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Although our Class A common stock is traded on the Nasdaq Global Select Market under the symbol “SEER,” there is a very limited trading history and an active trading market for our Class A common stock may not be sustained. Accordingly, we cannot assure you of your ability to sell your shares of Class A common stock when desired or the prices that you may obtain for your shares.</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an active market for our Class A common stock with meaningful trading volume is not sustained, the market price of our Class A common stock may decline materially below the offering price and you may not be able to sell your shares. The public offering price for our shares in this offering will be determined by negotiations between the Company, the selling stockholders and representatives of the underwriters and may not be indicative of prices that will prevail in the open market following this offering. Consequently, you may not be able to sell your shares of our Class A common stock at prices equal to or greater than the price you paid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320" w:top="121" w:right="419" w:bottom="1440" w:gutter="0" w:footer="0" w:header="0"/>
        </w:sectPr>
      </w:pPr>
    </w:p>
    <w:bookmarkStart w:id="51" w:name="page52"/>
    <w:bookmarkEnd w:id="5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Class A common stock may be volatile, which could result in substantial losses for investors purchasing shares in this offering.</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of the factors that may cause the market price of our Class A common stock to fluctuate include, but are not limited to:</w:t>
      </w:r>
    </w:p>
    <w:p>
      <w:pPr>
        <w:spacing w:after="0" w:line="171" w:lineRule="exact"/>
        <w:rPr>
          <w:sz w:val="20"/>
          <w:szCs w:val="20"/>
          <w:color w:val="auto"/>
        </w:rPr>
      </w:pPr>
    </w:p>
    <w:p>
      <w:pPr>
        <w:ind w:left="660" w:right="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our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1" w:right="359" w:bottom="1440" w:gutter="0" w:footer="0" w:header="0"/>
        </w:sectPr>
      </w:pPr>
    </w:p>
    <w:bookmarkStart w:id="52" w:name="page53"/>
    <w:bookmarkEnd w:id="5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particularly in light of the current COVID-19 pandemic. Broad market and industry factors may seriously affect the market price of our Class A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Class A common stock, which is the stock we are offering in this offering, has one vote per share, and our Class B common stock has ten votes per share, except as otherwise required by law. Our Class B common stock is held by our founders and early investors. Following this offering, the holders of</w:t>
      </w:r>
    </w:p>
    <w:p>
      <w:pPr>
        <w:spacing w:after="0"/>
        <w:tabs>
          <w:tab w:leader="none" w:pos="4260" w:val="left"/>
        </w:tabs>
        <w:rPr>
          <w:sz w:val="20"/>
          <w:szCs w:val="20"/>
          <w:color w:val="auto"/>
        </w:rPr>
      </w:pPr>
      <w:r>
        <w:rPr>
          <w:rFonts w:ascii="Arial" w:cs="Arial" w:eastAsia="Arial" w:hAnsi="Arial"/>
          <w:sz w:val="18"/>
          <w:szCs w:val="18"/>
          <w:color w:val="auto"/>
        </w:rPr>
        <w:t>our Class B common stock will hold in the aggregate</w:t>
      </w:r>
      <w:r>
        <w:rPr>
          <w:sz w:val="20"/>
          <w:szCs w:val="20"/>
          <w:color w:val="auto"/>
        </w:rPr>
        <w:tab/>
      </w:r>
      <w:r>
        <w:rPr>
          <w:rFonts w:ascii="Arial" w:cs="Arial" w:eastAsia="Arial" w:hAnsi="Arial"/>
          <w:sz w:val="16"/>
          <w:szCs w:val="16"/>
          <w:color w:val="auto"/>
        </w:rPr>
        <w:t>% of the voting power of our capital stock.</w:t>
      </w:r>
    </w:p>
    <w:p>
      <w:pPr>
        <w:spacing w:after="0" w:line="15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this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See the section titled “Description of Capital Stock—Common stock—Conversion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over the long term.</w:t>
      </w:r>
    </w:p>
    <w:p>
      <w:pPr>
        <w:spacing w:after="0" w:line="11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addition, FTSE Russell and Standard &amp; Poor’s no longer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It is unclear what effect, if any, exclusion from any indices has had on the valuations of the affected publicly traded companies. It is possible that such policies could depress the valuations of public companies excluded from such indices compared to those of other companies that are included.</w:t>
      </w:r>
    </w:p>
    <w:p>
      <w:pPr>
        <w:spacing w:after="0" w:line="1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6"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Class A common stock by our existing stockholders could cause the price of our Class A common stock to decline.</w:t>
      </w:r>
    </w:p>
    <w:p>
      <w:pPr>
        <w:spacing w:after="0" w:line="11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following the expiration of the market standoff and lock-up agreements or the early release of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121" w:right="359" w:bottom="1440" w:gutter="0" w:footer="0" w:header="0"/>
        </w:sectPr>
      </w:pPr>
    </w:p>
    <w:bookmarkStart w:id="53" w:name="page54"/>
    <w:bookmarkEnd w:id="5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or the perception in the market that the holders of a large number of shares of Class A common stock intend to sell shares and could reduce the market price of our Class A common stock.</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connection with this offering, J.P. Morgan Securities LLC, Morgan Stanley &amp; Co. LLC and BofA Securities, Inc., as representatives of the several underwriters of our initial public offering, have agreed to release the restrictions under the lock-up agreements that were executed in connection with our initial public offering with respect to up to 2,625,000 shares of our Class A common stock to be sold in this offering that are held by the selling stockholders, which includes shares beneficially owned by our directors and executive officers or entities with which they are affiliated; provided, however, that the release of shares of our common stock held by the selling stockholders is limited to the shares actually sold in this offering. J.P. Morgan Securities LLC, Morgan Stanley &amp; Co. LLC and BofA Securities, Inc., as representatives of the several underwriters of our initial public offering, may, in their sole discretion, from time to time permit our stockholders to sell additional shares and waive the contractual lock-up prior to the expiration of the lock-up agreements.</w:t>
      </w:r>
    </w:p>
    <w:p>
      <w:pPr>
        <w:spacing w:after="0" w:line="13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to the existing lock-up agreements that were executed in connection with our initial public offering, the selling stockholders who are selling up to 5% of their existing holdings have entered into lock-up agreements in connection with this offering, on substantially similar terms, which expire 180 days from the date of this prospectus, and the selling stockholders who are selling greater than 5% and up to 19.7% of their existing holdings have entered into lock-up agreements in connection with this offering, on substantially similar terms, which expire 365 days from the date of this prospectus.</w:t>
      </w:r>
    </w:p>
    <w:p>
      <w:pPr>
        <w:spacing w:after="0" w:line="10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addition, J.P. Morgan Securities LLC, Morgan Stanley &amp; Co. LLC and BofA Securities, Inc., as representatives of the several underwriters of our initial public offering, have agreed to release the restrictions under the lock-up agreements that were executed in connection with our initial public offering</w:t>
      </w:r>
    </w:p>
    <w:p>
      <w:pPr>
        <w:ind w:right="220"/>
        <w:spacing w:after="0" w:line="323" w:lineRule="auto"/>
        <w:rPr>
          <w:sz w:val="20"/>
          <w:szCs w:val="20"/>
          <w:color w:val="auto"/>
        </w:rPr>
      </w:pPr>
      <w:r>
        <w:rPr>
          <w:rFonts w:ascii="Arial" w:cs="Arial" w:eastAsia="Arial" w:hAnsi="Arial"/>
          <w:sz w:val="16"/>
          <w:szCs w:val="16"/>
          <w:color w:val="auto"/>
        </w:rPr>
        <w:t>with respect to up to shares of our Class A common stock, which may be sold by existing stockholders separately from this offering. Such stockholders have agreed to execute additional lock-up agreements substantially on the same terms as those described above for the selling stockholders.</w:t>
      </w:r>
    </w:p>
    <w:p>
      <w:pPr>
        <w:spacing w:after="0" w:line="84"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Upon completion of this offering, shares of Class A common stock and all shares of our Class B common stock (and any share of Class A common stock into which they are converted) are currently prohibited or otherwise restricted from being sold in the public market under securities laws, lock-up agreements entered into with the underwriters in connection with our initial public offering or this offering, market standoff agreements entered into by our stockholders with us, or lock-up agreements entered into by our stockholders; however, subject to applicable securities law restrictions and the new lock-up agreements referred to above, and excluding shares of Class A common stock issued pursuant to the early exercise of unvested stock options that will remain unvested, the shares of our Class A common stock outstanding at the time of our initial public offering will be able to be sold in the public market beginning on June 2, 2021.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1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Moreover, 35,676,836 shares of our Class A common stock have rights, subject to conditions, to require us to file registration statements with the SEC covering their shares or to include their shares in registration statements that we may file for ourselves or other stockholders as described under “Description of Capital Stock—Registration Rights.” Sales of Class A common stock in the public market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 See the section titled “Shares Eligible for Future Sale” for more information regarding shares of Class A common stock that may be sold in the public market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121" w:right="359" w:bottom="1440" w:gutter="0" w:footer="0" w:header="0"/>
        </w:sectPr>
      </w:pPr>
    </w:p>
    <w:bookmarkStart w:id="54" w:name="page55"/>
    <w:bookmarkEnd w:id="5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we will receive from this offering. Our management will have broad discretion in the application of the net proceeds, including for any of the purposes described in the section titled “Use of Proceeds” in this prospectus.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dividends for the foreseeable future. Investors in this offering may never obtain a return on their investment.</w:t>
      </w:r>
    </w:p>
    <w:p>
      <w:pPr>
        <w:spacing w:after="0" w:line="1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2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1" w:right="339" w:bottom="1440" w:gutter="0" w:footer="0" w:header="0"/>
        </w:sectPr>
      </w:pPr>
    </w:p>
    <w:bookmarkStart w:id="55" w:name="page56"/>
    <w:bookmarkEnd w:id="5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22" w:lineRule="exact"/>
        <w:rPr>
          <w:sz w:val="20"/>
          <w:szCs w:val="20"/>
          <w:color w:val="auto"/>
        </w:rPr>
      </w:pPr>
    </w:p>
    <w:p>
      <w:pPr>
        <w:jc w:val="both"/>
        <w:ind w:right="300"/>
        <w:spacing w:after="0" w:line="381"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46"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03" w:lineRule="exact"/>
        <w:rPr>
          <w:sz w:val="20"/>
          <w:szCs w:val="20"/>
          <w:color w:val="auto"/>
        </w:rPr>
      </w:pPr>
    </w:p>
    <w:p>
      <w:pPr>
        <w:ind w:left="660" w:right="2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multi-class common stock structure provides our holders of Class B common stock with the ability to significantly influence the outcome of matters requiring stockholder approval, even if they own significantly less than a majority of the shares of our outstanding Class A common stock and Class B common stock;</w:t>
      </w:r>
    </w:p>
    <w:p>
      <w:pPr>
        <w:spacing w:after="0" w:line="129" w:lineRule="exact"/>
        <w:rPr>
          <w:rFonts w:ascii="Arial" w:cs="Arial" w:eastAsia="Arial" w:hAnsi="Arial"/>
          <w:sz w:val="18"/>
          <w:szCs w:val="18"/>
          <w:color w:val="auto"/>
        </w:rPr>
      </w:pPr>
    </w:p>
    <w:p>
      <w:pPr>
        <w:ind w:left="660" w:right="340" w:hanging="328"/>
        <w:spacing w:after="0" w:line="342"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stockholder-proposed amendment to our amended and restated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stockholders are be able to act by written consent only if the action is first recommended or approved by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only the chair of the board of directors, chief executive officer or a majority of the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121" w:right="379" w:bottom="1440" w:gutter="0" w:footer="0" w:header="0"/>
        </w:sectPr>
      </w:pPr>
    </w:p>
    <w:bookmarkStart w:id="56" w:name="page57"/>
    <w:bookmarkEnd w:id="5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of December 31, 2018 and 2019, we had U.S. federal and state net operating loss carryforwards, or NOLs, of $5.3 million and $35.1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this offering or future issuances or sales of our stock, including certain transactions involving our stock that are outside of our control, could result in future “ownership changes.” “Ownership changes” that have occurred in the past or that may occur in the future, including in connection with this offering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12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92"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To the extent that we continue to qualify as a "smaller reporting company," as such term is defined in Rule 12b-2 under the Securities Exchange Act of 1934, after we cease to qualify as an emerging growth company, we will continue to be permitted to make certain reduced disclosures in our periodic reports and other documents that we file with the SEC. We cannot predict whether investors will find our Class A common stock less attractive if we rely on these exemptions. If some investors find our Class A common stock less attractive as a result, there may be a less active trading market for our Class A common stock and our stock price may be more volatile.</w:t>
      </w:r>
    </w:p>
    <w:p>
      <w:pPr>
        <w:spacing w:after="0" w:line="120"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1" w:right="339" w:bottom="1440" w:gutter="0" w:footer="0" w:header="0"/>
        </w:sectPr>
      </w:pPr>
    </w:p>
    <w:bookmarkStart w:id="57" w:name="page58"/>
    <w:bookmarkEnd w:id="5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incur significant increased costs and management resources as a result of operating as a public company.</w:t>
      </w:r>
    </w:p>
    <w:p>
      <w:pPr>
        <w:spacing w:after="0" w:line="171"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As a public company, we continue to incur significant legal, accounting, compliance and other expenses that we did not incur as a private company and these expenses may increase even more after we are no longer an “emerging growth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0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Class A common stock in this offering, you will incur immediate and substantial dilution as a result of this offering.</w:t>
      </w:r>
    </w:p>
    <w:p>
      <w:pPr>
        <w:spacing w:after="0" w:line="18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If you purchase our Class A common stock in this offering, you will incur immediate and substantial dilution of $68.97 per share, representing the difference between the assumed public offering price of $77.88 per share, which was the last reported sale price of our Class A common stock on the Nasdaq Global Select Market on January 22, 2021, after deducting the estimated underwriting discounts and commissions and estimated offering expenses payable by us, and our pro forma net tangible book value per share after giving effect to the issuance and sale of 1,400,000 shares of Class A common stock by us in this offering. As of December 31, 2020, there were 7,553,500 shares of our Class A common stock subject to outstanding stock options with a weighted-average exercise price of $2.51 per share. To the extent that these outstanding stock options and warrants are ultimately exercised or the underwriters exercise their option to purchase additional shares of our Class A common stock, you will incur further dilution. See the section titled “Dilution” for more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75" w:lineRule="exact"/>
        <w:rPr>
          <w:sz w:val="20"/>
          <w:szCs w:val="20"/>
          <w:color w:val="auto"/>
        </w:rPr>
      </w:pPr>
    </w:p>
    <w:p>
      <w:pPr>
        <w:jc w:val="both"/>
        <w:ind w:right="980"/>
        <w:spacing w:after="0" w:line="381" w:lineRule="auto"/>
        <w:rPr>
          <w:sz w:val="20"/>
          <w:szCs w:val="20"/>
          <w:color w:val="auto"/>
        </w:rPr>
      </w:pPr>
      <w:r>
        <w:rPr>
          <w:rFonts w:ascii="Arial" w:cs="Arial" w:eastAsia="Arial" w:hAnsi="Arial"/>
          <w:sz w:val="15"/>
          <w:szCs w:val="15"/>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46"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Our Redwood City, California, facilities house our corporate, research and development and quality assurance teams. Our instruments are manufactured at our third-party manufacturer’s facilities in Nevada, and our consumables are manufactured at various locations in the United States and internationally.</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facilities in Redwood City and those of our third-party manufacturers are vulnerable to natural disasters, public health crises, including the impact of the COVID-19 pandemic, and catastrophic events. For example, our Redwood City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1" w:right="339" w:bottom="1440" w:gutter="0" w:footer="0" w:header="0"/>
        </w:sectPr>
      </w:pPr>
    </w:p>
    <w:bookmarkStart w:id="58" w:name="page59"/>
    <w:bookmarkEnd w:id="5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2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1" w:right="339" w:bottom="1440" w:gutter="0" w:footer="0" w:header="0"/>
        </w:sectPr>
      </w:pPr>
    </w:p>
    <w:bookmarkStart w:id="59" w:name="page60"/>
    <w:bookmarkEnd w:id="5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personal information, including sensitive personal information, of our employees, customers and others, any of which could have a material adverse effect on our business, reputation, financial condition and results of operations.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1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11"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1" w:right="339" w:bottom="1440" w:gutter="0" w:footer="0" w:header="0"/>
        </w:sectPr>
      </w:pPr>
    </w:p>
    <w:bookmarkStart w:id="60" w:name="page61"/>
    <w:bookmarkEnd w:id="6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3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1" w:right="339" w:bottom="1440" w:gutter="0" w:footer="0" w:header="0"/>
        </w:sectPr>
      </w:pPr>
    </w:p>
    <w:bookmarkStart w:id="61" w:name="page62"/>
    <w:bookmarkEnd w:id="6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This prospectus contains forward-looking statements within the meaning of the Private Securities Litigation Reform Act of 1995. All statements other than statements of historical facts contained in this prospectus, including statements regarding our future results of operations and financial position, business strategy,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30" w:lineRule="exact"/>
        <w:rPr>
          <w:sz w:val="20"/>
          <w:szCs w:val="20"/>
          <w:color w:val="auto"/>
        </w:rPr>
      </w:pPr>
    </w:p>
    <w:p>
      <w:pPr>
        <w:ind w:left="660" w:right="8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estimates of our addressable market, market growth, future revenue, key performance indicators, expenses, capital requirements and our needs for additional financing;</w:t>
      </w:r>
    </w:p>
    <w:p>
      <w:pPr>
        <w:spacing w:after="0" w:line="116" w:lineRule="exact"/>
        <w:rPr>
          <w:rFonts w:ascii="Arial" w:cs="Arial" w:eastAsia="Arial" w:hAnsi="Arial"/>
          <w:sz w:val="18"/>
          <w:szCs w:val="18"/>
          <w:color w:val="auto"/>
        </w:rPr>
      </w:pPr>
    </w:p>
    <w:p>
      <w:pPr>
        <w:ind w:left="660" w:right="420" w:hanging="328"/>
        <w:spacing w:after="0" w:line="308"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 launch plan, including our ability to add additional collaborators during the collaboration phase and expand to additional key opinion leaders during the early access limited release phase;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Proteograph Product Suite, including the expected pricing of our Proteograph automation instrument and associated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competitive companies and technologies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key personnel and to manage our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additional financing in this or future offerings;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volatility of the trading price of our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benefits of the PrognomIQ, Inc.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COVID-19 on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1" w:right="339" w:bottom="1440" w:gutter="0" w:footer="0" w:header="0"/>
        </w:sectPr>
      </w:pPr>
    </w:p>
    <w:bookmarkStart w:id="62" w:name="page63"/>
    <w:bookmarkEnd w:id="6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prospectus, whether as a result of any new information, future events or otherwise.</w:t>
      </w:r>
    </w:p>
    <w:p>
      <w:pPr>
        <w:spacing w:after="0" w:line="12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21" w:right="379" w:bottom="1440" w:gutter="0" w:footer="0" w:header="0"/>
        </w:sectPr>
      </w:pPr>
    </w:p>
    <w:bookmarkStart w:id="63" w:name="page64"/>
    <w:bookmarkEnd w:id="6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Proteograph Product Suite, including data regarding the estimated size of such markets.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 The sources listed below are not a part of this prospectus and are not incorporated by reference in this prospectus.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sources of industry, market and other data contained in this prospectus are listed below:</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Allied Market Research. “Global Proteomics Market - Opportunity Analysis and Industry Forecast, 2018-2025” (March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Technavio. “Genomics Market by Solution and Geography - Forecast and Analysis 2020-2024”.</w:t>
      </w:r>
    </w:p>
    <w:p>
      <w:pPr>
        <w:spacing w:after="0" w:line="171"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Pubmed Database. PubMed is the National Library of Medicine. PubMed comprises more than 30 million citations for biomedical literature from MEDLINE, life science journals, and online books. Citations may include links to full-text content from PubMed Central and publisher web sites.</w:t>
      </w:r>
    </w:p>
    <w:p>
      <w:pPr>
        <w:spacing w:after="0" w:line="69" w:lineRule="exact"/>
        <w:rPr>
          <w:rFonts w:ascii="Arial" w:cs="Arial" w:eastAsia="Arial" w:hAnsi="Arial"/>
          <w:sz w:val="16"/>
          <w:szCs w:val="16"/>
          <w:color w:val="auto"/>
        </w:rPr>
      </w:pPr>
    </w:p>
    <w:p>
      <w:pPr>
        <w:ind w:left="660" w:right="14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UniProt Database. The Universal Protein Resource (UniProt) is a comprehensive resource for protein sequence and annotation data. The UniProt databases are the UniProt Knowledgebase (UniProtKB), the UniProt Reference Clusters (UniRef), and the UniProt Archive (UniParc).</w:t>
      </w:r>
    </w:p>
    <w:p>
      <w:pPr>
        <w:spacing w:after="0" w:line="69"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ClinVar. ClinVar is a freely accessible, public archive of reports of the relationships among human variations and phenotypes, with supporting evidence.</w:t>
      </w:r>
    </w:p>
    <w:p>
      <w:pPr>
        <w:spacing w:after="0" w:line="116"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dbSNP. dbSNP is a public-domain archive for human single nucleotide variations, microsatellites, and small-scale insertions and deletions along with publication, population frequency, molecular consequence, and genomic and RefSeq mapping information for both common variations and clinical mutations.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are published studies referenced throughout this prospectus, the citations for those studies are listed below:</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Blume, J. E. et al. Rapid, deep and precise profiling of the plasma proteome with multi-nanoparticle protein corona. </w:t>
      </w:r>
      <w:r>
        <w:rPr>
          <w:rFonts w:ascii="Arial" w:cs="Arial" w:eastAsia="Arial" w:hAnsi="Arial"/>
          <w:sz w:val="16"/>
          <w:szCs w:val="16"/>
          <w:i w:val="1"/>
          <w:iCs w:val="1"/>
          <w:color w:val="auto"/>
        </w:rPr>
        <w:t>Nat. Commun.</w:t>
      </w:r>
      <w:r>
        <w:rPr>
          <w:rFonts w:ascii="Arial" w:cs="Arial" w:eastAsia="Arial" w:hAnsi="Arial"/>
          <w:sz w:val="16"/>
          <w:szCs w:val="16"/>
          <w:color w:val="auto"/>
        </w:rPr>
        <w:t xml:space="preserve"> 11, (2020).</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Keshishian, H. et al. Quantitative, multiplexed workflow for deep analysis of human blood plasma and biomarker discovery by mass spectrometry. </w:t>
      </w:r>
      <w:r>
        <w:rPr>
          <w:rFonts w:ascii="Arial" w:cs="Arial" w:eastAsia="Arial" w:hAnsi="Arial"/>
          <w:sz w:val="18"/>
          <w:szCs w:val="18"/>
          <w:i w:val="1"/>
          <w:iCs w:val="1"/>
          <w:color w:val="auto"/>
        </w:rPr>
        <w:t xml:space="preserve">Nat. Protoc. </w:t>
      </w:r>
      <w:r>
        <w:rPr>
          <w:rFonts w:ascii="Arial" w:cs="Arial" w:eastAsia="Arial" w:hAnsi="Arial"/>
          <w:sz w:val="18"/>
          <w:szCs w:val="18"/>
          <w:color w:val="auto"/>
        </w:rPr>
        <w:t>12, 1683–1701 (2017).</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Schwenk, J. M. et al. The Human Plasma Proteome Draft of 2017: Building on the Human Plasma PeptideAtlas from Mass Spectrometry and Complementary Assays. </w:t>
      </w:r>
      <w:r>
        <w:rPr>
          <w:rFonts w:ascii="Arial" w:cs="Arial" w:eastAsia="Arial" w:hAnsi="Arial"/>
          <w:sz w:val="18"/>
          <w:szCs w:val="18"/>
          <w:i w:val="1"/>
          <w:iCs w:val="1"/>
          <w:color w:val="auto"/>
        </w:rPr>
        <w:t>J. Proteome Res.</w:t>
      </w:r>
      <w:r>
        <w:rPr>
          <w:rFonts w:ascii="Arial" w:cs="Arial" w:eastAsia="Arial" w:hAnsi="Arial"/>
          <w:sz w:val="18"/>
          <w:szCs w:val="18"/>
          <w:color w:val="auto"/>
        </w:rPr>
        <w:t xml:space="preserve"> 16, 4299–4310 (2017).</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Liao, W. Y. et al. Heparin co-factor II enhances cell motility and promotes metastasis in non-small cell lung cancer. </w:t>
      </w:r>
      <w:r>
        <w:rPr>
          <w:rFonts w:ascii="Arial" w:cs="Arial" w:eastAsia="Arial" w:hAnsi="Arial"/>
          <w:sz w:val="16"/>
          <w:szCs w:val="16"/>
          <w:i w:val="1"/>
          <w:iCs w:val="1"/>
          <w:color w:val="auto"/>
        </w:rPr>
        <w:t>J. Pathol.</w:t>
      </w:r>
      <w:r>
        <w:rPr>
          <w:rFonts w:ascii="Arial" w:cs="Arial" w:eastAsia="Arial" w:hAnsi="Arial"/>
          <w:sz w:val="16"/>
          <w:szCs w:val="16"/>
          <w:color w:val="auto"/>
        </w:rPr>
        <w:t xml:space="preserve"> 235, 50–64 (2015).</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Szklarczyk, D. et al. STRING v11: Protein-protein association networks with increased coverage, supporting functional discovery in genome-wide experimental datasets. </w:t>
      </w:r>
      <w:r>
        <w:rPr>
          <w:rFonts w:ascii="Arial" w:cs="Arial" w:eastAsia="Arial" w:hAnsi="Arial"/>
          <w:sz w:val="18"/>
          <w:szCs w:val="18"/>
          <w:i w:val="1"/>
          <w:iCs w:val="1"/>
          <w:color w:val="auto"/>
        </w:rPr>
        <w:t>Nucleic Acids Res.</w:t>
      </w:r>
      <w:r>
        <w:rPr>
          <w:rFonts w:ascii="Arial" w:cs="Arial" w:eastAsia="Arial" w:hAnsi="Arial"/>
          <w:sz w:val="18"/>
          <w:szCs w:val="18"/>
          <w:color w:val="auto"/>
        </w:rPr>
        <w:t xml:space="preserve"> 47, D607–D613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21" w:right="359" w:bottom="1440" w:gutter="0" w:footer="0" w:header="0"/>
        </w:sectPr>
      </w:pPr>
    </w:p>
    <w:bookmarkStart w:id="64" w:name="page65"/>
    <w:bookmarkEnd w:id="6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estimate that the net proceeds from our issuance and sale of shares of our Class A common stock in this offering will be approximately $109.0 million, based on an assumed public offering price of $77.88 per share, which was the last reported sale price of our Class A common stock on the Nasdaq Global Select Market on January 22, 2021, and after deducting the underwriting discounts and commissions and estimated offering expenses payable by us. We will not receive any proceeds from the sale of shares of Class A common stock by the selling stockholders or if the underwriters exercise their option to purchase additional shares from the selling stockholders.</w:t>
      </w:r>
    </w:p>
    <w:p>
      <w:pPr>
        <w:spacing w:after="0" w:line="13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Each $1.00 increase or decrease in the assumed public offering price of $77.88 per share, which was the last reported sale price of our Class A common stock on the Nasdaq Global Select Market on January 22, 2021, would increase or decrease, as applicable, the aggregate net proceeds to us from this offering by approximately $1.4 million, assuming the number of shares of Class A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 Class A common stock offered by us would increase or decrease, as applicable, the net proceeds to us from this offering by approximately $77.9 million, assuming that the assumed public offering price remains the same, and after deducting the underwriting discounts and commissions and estimated offering expenses payable by us. We do not expect that a change in the public offering price or the number of shares by these amounts would have a material effect on our uses of the proceeds from this offering, although it may change the time at which we will need to seek additional capital.</w:t>
      </w:r>
    </w:p>
    <w:p>
      <w:pPr>
        <w:spacing w:after="0" w:line="12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principal purpose of this offering is to obtain additional capital to support our operations. Our intended use of the net proceeds from this offering is generally consistent with our intended use of proceeds from our initial public offering. We currently intend to use the net proceeds from this offering, together with our existing cash, to commercialize our Proteograph Product Suite through our ongoing sales and marketing activities, and for other development work associated with advancing our Proteograph Product Suite, research and development, and general corporate purposes.</w:t>
      </w:r>
    </w:p>
    <w:p>
      <w:pPr>
        <w:spacing w:after="0" w:line="117"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may also use a portion of the proceeds to in-license, acquire or invest in additional businesses, technologies, products or assets, subject to applicable regulatory restrictions. Although we have no specific agreements, commitments or understandings with respect to any in-licensing activity or acquisitions, we evaluate these opportunities and engage in related discussions with other companies from time-to-time.</w:t>
      </w:r>
    </w:p>
    <w:p>
      <w:pPr>
        <w:spacing w:after="0" w:line="11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amount and timing of our actual expenditures will depend on numerous factors, including the results of our research and development and commercialization efforts, cash flows from operations, the anticipated growth of our business and any unforeseen cash needs. As a result, our management will have broad discretion over the use of the proceeds from this offering.</w:t>
      </w:r>
    </w:p>
    <w:p>
      <w:pPr>
        <w:spacing w:after="0" w:line="130"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including certificates of deposit or direct or guaranteed obligations of the U.S. government, and subject to applicable regulatory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121" w:right="359" w:bottom="1440" w:gutter="0" w:footer="0" w:header="0"/>
        </w:sectPr>
      </w:pPr>
    </w:p>
    <w:bookmarkStart w:id="65" w:name="page66"/>
    <w:bookmarkEnd w:id="6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1" w:right="359" w:bottom="1440" w:gutter="0" w:footer="0" w:header="0"/>
        </w:sectPr>
      </w:pPr>
    </w:p>
    <w:bookmarkStart w:id="66" w:name="page67"/>
    <w:bookmarkEnd w:id="6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cash, cash equivalents and investments and our capitalization as of September 30, 2020:</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71" w:lineRule="exact"/>
        <w:rPr>
          <w:rFonts w:ascii="Arial" w:cs="Arial" w:eastAsia="Arial" w:hAnsi="Arial"/>
          <w:sz w:val="18"/>
          <w:szCs w:val="18"/>
          <w:color w:val="auto"/>
        </w:rPr>
      </w:pPr>
    </w:p>
    <w:p>
      <w:pPr>
        <w:ind w:left="980" w:right="20" w:hanging="324"/>
        <w:spacing w:after="0" w:line="308" w:lineRule="auto"/>
        <w:tabs>
          <w:tab w:leader="none" w:pos="97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automatic conversion of all of our outstanding shares of convertible preferred stock into an aggregate of 29,026,787 shares of Class A common stock in connection with our initial public offering as if such conversion had occurred on September 30, 2020;</w:t>
      </w:r>
    </w:p>
    <w:p>
      <w:pPr>
        <w:spacing w:after="0" w:line="92" w:lineRule="exact"/>
        <w:rPr>
          <w:rFonts w:ascii="Arial" w:cs="Arial" w:eastAsia="Arial" w:hAnsi="Arial"/>
          <w:sz w:val="17"/>
          <w:szCs w:val="17"/>
          <w:color w:val="auto"/>
        </w:rPr>
      </w:pPr>
    </w:p>
    <w:p>
      <w:pPr>
        <w:ind w:left="980" w:hanging="324"/>
        <w:spacing w:after="0" w:line="263" w:lineRule="auto"/>
        <w:tabs>
          <w:tab w:leader="none" w:pos="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stock-based compensation of approximately $0.2 million associated with RSUs subject to service-based and performance-based vesting conditions that we recognized in connection with our initial public offering and is reflected as an increase to additional paid-in capital and accumulated deficit;</w:t>
      </w:r>
    </w:p>
    <w:p>
      <w:pPr>
        <w:spacing w:after="0" w:line="129" w:lineRule="exact"/>
        <w:rPr>
          <w:rFonts w:ascii="Arial" w:cs="Arial" w:eastAsia="Arial" w:hAnsi="Arial"/>
          <w:sz w:val="18"/>
          <w:szCs w:val="18"/>
          <w:color w:val="auto"/>
        </w:rPr>
      </w:pPr>
    </w:p>
    <w:p>
      <w:pPr>
        <w:ind w:left="980" w:right="120" w:hanging="324"/>
        <w:spacing w:after="0" w:line="286" w:lineRule="auto"/>
        <w:tabs>
          <w:tab w:leader="none" w:pos="97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sale and issuance of 10,592,106 shares of Class A common stock by us in our initial public offering and 7,105,262 shares of Class A common stock by us in a concurrent private placement, based upon the public offering price of $19.00 per share, after deducting the underwriting discounts and commissions and estimated offering expenses payable by us; and</w:t>
      </w:r>
    </w:p>
    <w:p>
      <w:pPr>
        <w:spacing w:after="0" w:line="111" w:lineRule="exact"/>
        <w:rPr>
          <w:rFonts w:ascii="Arial" w:cs="Arial" w:eastAsia="Arial" w:hAnsi="Arial"/>
          <w:sz w:val="17"/>
          <w:szCs w:val="17"/>
          <w:color w:val="auto"/>
        </w:rPr>
      </w:pPr>
    </w:p>
    <w:p>
      <w:pPr>
        <w:jc w:val="both"/>
        <w:ind w:left="980" w:hanging="324"/>
        <w:spacing w:after="0" w:line="286" w:lineRule="auto"/>
        <w:tabs>
          <w:tab w:leader="none" w:pos="97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voluntary conversion of 2,803,737 shares of Class B common stock by OCF 2014 Trust, an entity affiliated with Dr. Farokhzad, to an equal amount of Class A common stock at the time of the initial public offering and the conversion of 150,000 shares of Class B common stock by Dynamics Group, LLC, an entity affiliated with Dr. Farokhzad, in connection with a charitable gift; and</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pro forma adjustments set forth above, and</w:t>
      </w:r>
    </w:p>
    <w:p>
      <w:pPr>
        <w:spacing w:after="0" w:line="171" w:lineRule="exact"/>
        <w:rPr>
          <w:rFonts w:ascii="Arial" w:cs="Arial" w:eastAsia="Arial" w:hAnsi="Arial"/>
          <w:sz w:val="18"/>
          <w:szCs w:val="18"/>
          <w:color w:val="auto"/>
        </w:rPr>
      </w:pPr>
    </w:p>
    <w:p>
      <w:pPr>
        <w:ind w:left="980" w:hanging="324"/>
        <w:spacing w:after="0" w:line="286" w:lineRule="auto"/>
        <w:tabs>
          <w:tab w:leader="none" w:pos="97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sale and issuance of 1,400,000 shares of our Class A common stock by us in this offering, at an assumed public offering price of $77.88 per share, which was the last reported sale price of our Class A common stock on the Nasdaq Global Select Market on January 22, 2021, after deducting underwriting discounts and commissions and estimated offering expenses payable by us.</w:t>
      </w:r>
    </w:p>
    <w:p>
      <w:pPr>
        <w:spacing w:after="0" w:line="1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00"/>
          </w:cols>
          <w:pgMar w:left="320" w:top="121" w:right="679" w:bottom="1440" w:gutter="0" w:footer="0" w:header="0"/>
        </w:sectPr>
      </w:pPr>
    </w:p>
    <w:bookmarkStart w:id="67" w:name="page68"/>
    <w:bookmarkEnd w:id="6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of September 30 , 2020</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240" w:type="dxa"/>
            <w:vAlign w:val="bottom"/>
          </w:tcPr>
          <w:p>
            <w:pPr>
              <w:spacing w:after="0"/>
              <w:rPr>
                <w:sz w:val="11"/>
                <w:szCs w:val="11"/>
                <w:color w:val="auto"/>
              </w:rPr>
            </w:pPr>
          </w:p>
        </w:tc>
        <w:tc>
          <w:tcPr>
            <w:tcW w:w="1320" w:type="dxa"/>
            <w:vAlign w:val="bottom"/>
          </w:tcPr>
          <w:p>
            <w:pPr>
              <w:jc w:val="right"/>
              <w:ind w:right="273"/>
              <w:spacing w:after="0" w:line="129"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3"/>
              <w:spacing w:after="0" w:line="189"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4"/>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gridSpan w:val="7"/>
          </w:tcPr>
          <w:p>
            <w:pPr>
              <w:jc w:val="center"/>
              <w:ind w:right="273"/>
              <w:spacing w:after="0"/>
              <w:rPr>
                <w:sz w:val="20"/>
                <w:szCs w:val="20"/>
                <w:color w:val="auto"/>
              </w:rPr>
            </w:pPr>
            <w:r>
              <w:rPr>
                <w:rFonts w:ascii="Arial" w:cs="Arial" w:eastAsia="Arial" w:hAnsi="Arial"/>
                <w:sz w:val="14"/>
                <w:szCs w:val="14"/>
                <w:i w:val="1"/>
                <w:iCs w:val="1"/>
                <w:color w:val="auto"/>
                <w:w w:val="91"/>
              </w:rPr>
              <w:t>(in thousands, except share and per share data)</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435,965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537,690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par value $0.00001 per share: 29,026,827 shares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authorized, 29,026,787 issued and outstanding, actual; no shares authorized, issued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 pro forma and pro forma as adjusted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162,849</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8"/>
              </w:rPr>
              <w:t>Preferred stock, par value $0.00001 per share: no shares authorized, issued and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outstanding, actual; 5,000,000 shares authorized and no shares issued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Class A common stock, par value $0.00001 per share: 56,074,766 shares authorized,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3,296,556 issued and outstanding, actual; 94,000,000 shares authorized, 53,500,763</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shares issued and outstanding, pro forma; and 94,000,000 shares authorized,</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54,900,763 shares issued and outstanding, pro forma as adjusted</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4"/>
              </w:rPr>
              <w:t>Class B common stock, par value $0.00001 per share: 9,345,794 shares authorized,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9,345,784 issued and outstanding, actual; 6,000,000 shares authorized,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5,865,732 shares issued and outstanding, pro forma; and 6,000,000 shares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authorized, 5,865,732 shares issued and outstanding, pro forma as adjusted</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584,102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439,921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541,646</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125,536</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541,646</w:t>
            </w:r>
          </w:p>
        </w:tc>
        <w:tc>
          <w:tcPr>
            <w:tcW w:w="0" w:type="dxa"/>
            <w:vAlign w:val="bottom"/>
          </w:tcPr>
          <w:p>
            <w:pPr>
              <w:spacing w:after="0"/>
              <w:rPr>
                <w:sz w:val="1"/>
                <w:szCs w:val="1"/>
                <w:color w:val="auto"/>
              </w:rPr>
            </w:pPr>
          </w:p>
        </w:tc>
      </w:tr>
      <w:tr>
        <w:trPr>
          <w:trHeight w:val="27"/>
        </w:trPr>
        <w:tc>
          <w:tcPr>
            <w:tcW w:w="63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-98425</wp:posOffset>
            </wp:positionV>
            <wp:extent cx="31032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ind w:left="340" w:right="80" w:hanging="332"/>
        <w:spacing w:after="0" w:line="266" w:lineRule="auto"/>
        <w:tabs>
          <w:tab w:leader="none" w:pos="3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Each $1.00 increase or decrease in the assumed public offering price of $77.88 per share, which was the last reported sale price of our Class A common stock on the Nasdaq Global Select Market on January 22, 2021, would increase or decrease, as applicable, the amount of our as adjusted cash and cash equivalents, additional paid-in capital, total stockholders’ equity and total capitalization by $1.3 million, assuming that the number of shares of Class A common stock offered by us, as set forth on the cover page of this prospectus, remains the same and after deducting estimated underwriting discounts and commissions payable by us. An increase or decrease of 1.0 million shares in the number of shares of Class A common stock offered by us would increase or decrease, as applicable, the amount of our as adjusted cash and cash equivalents, additional paid-in capital, total stockholders’ equity and total capitalization by $73.2 million, assuming the assumed public offering price remains the same, and after deducting estimated underwriting discounts and commissions payable by us.</w:t>
      </w:r>
    </w:p>
    <w:p>
      <w:pPr>
        <w:spacing w:after="0" w:line="13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as adjusted column in the table above is based on 53,500,763 shares of our Class A common stock on a pro forma basis and 5,865,732 shares of our Class B common stock outstanding as of September 30, 2020 on a pro forma basis, and excludes the following:</w:t>
      </w:r>
    </w:p>
    <w:p>
      <w:pPr>
        <w:spacing w:after="0" w:line="116" w:lineRule="exact"/>
        <w:rPr>
          <w:sz w:val="20"/>
          <w:szCs w:val="20"/>
          <w:color w:val="auto"/>
        </w:rPr>
      </w:pPr>
    </w:p>
    <w:p>
      <w:pPr>
        <w:ind w:left="660" w:right="4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1" w:right="339" w:bottom="1440" w:gutter="0" w:footer="0" w:header="0"/>
        </w:sectPr>
      </w:pPr>
    </w:p>
    <w:bookmarkStart w:id="68" w:name="page69"/>
    <w:bookmarkEnd w:id="68"/>
    <w:p>
      <w:pPr>
        <w:ind w:left="8"/>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right="260" w:hanging="328"/>
        <w:spacing w:after="0" w:line="277" w:lineRule="auto"/>
        <w:tabs>
          <w:tab w:leader="none" w:pos="3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2,678,942 shares of our Class A common stock issuable upon the exercise of options to purchase shares of our Class A common stock granted after September 30, 2020, with a weighted-average exercise price of $16.86 per share;</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173,982shares of our Class A common stock issuable upon the vesting of RSUs granted after September 30, 2020; and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7,797,109shares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648" w:hanging="324"/>
        <w:spacing w:after="0" w:line="342" w:lineRule="auto"/>
        <w:tabs>
          <w:tab w:leader="none" w:pos="644" w:val="left"/>
        </w:tabs>
        <w:numPr>
          <w:ilvl w:val="1"/>
          <w:numId w:val="42"/>
        </w:numPr>
        <w:rPr>
          <w:rFonts w:ascii="Arial" w:cs="Arial" w:eastAsia="Arial" w:hAnsi="Arial"/>
          <w:sz w:val="16"/>
          <w:szCs w:val="16"/>
          <w:color w:val="auto"/>
        </w:rPr>
      </w:pPr>
      <w:r>
        <w:rPr>
          <w:rFonts w:ascii="Arial" w:cs="Arial" w:eastAsia="Arial" w:hAnsi="Arial"/>
          <w:sz w:val="16"/>
          <w:szCs w:val="16"/>
          <w:color w:val="auto"/>
        </w:rPr>
        <w:t>6,601,782 shares of our Class A common stock to be reserved for future issuance under our 2020 Plan, and any additional shares that become available under our 2020 Plan pursuant to provisions thereof that automatically increase the share reserve under the plan each year; and</w:t>
      </w:r>
    </w:p>
    <w:p>
      <w:pPr>
        <w:spacing w:after="0" w:line="69" w:lineRule="exact"/>
        <w:rPr>
          <w:rFonts w:ascii="Arial" w:cs="Arial" w:eastAsia="Arial" w:hAnsi="Arial"/>
          <w:sz w:val="16"/>
          <w:szCs w:val="16"/>
          <w:color w:val="auto"/>
        </w:rPr>
      </w:pPr>
    </w:p>
    <w:p>
      <w:pPr>
        <w:ind w:left="648" w:right="200" w:hanging="324"/>
        <w:spacing w:after="0" w:line="308" w:lineRule="auto"/>
        <w:tabs>
          <w:tab w:leader="none" w:pos="644" w:val="left"/>
        </w:tabs>
        <w:numPr>
          <w:ilvl w:val="1"/>
          <w:numId w:val="42"/>
        </w:numPr>
        <w:rPr>
          <w:rFonts w:ascii="Arial" w:cs="Arial" w:eastAsia="Arial" w:hAnsi="Arial"/>
          <w:sz w:val="17"/>
          <w:szCs w:val="17"/>
          <w:color w:val="auto"/>
        </w:rPr>
      </w:pPr>
      <w:r>
        <w:rPr>
          <w:rFonts w:ascii="Arial" w:cs="Arial" w:eastAsia="Arial" w:hAnsi="Arial"/>
          <w:sz w:val="17"/>
          <w:szCs w:val="17"/>
          <w:color w:val="auto"/>
        </w:rPr>
        <w:t>1,195,327 shares of common stock reserved for future issuance under our ESPP, and any additional shares that become available under our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828"/>
          </w:cols>
          <w:pgMar w:left="652" w:top="121" w:right="419" w:bottom="1440" w:gutter="0" w:footer="0" w:header="0"/>
        </w:sectPr>
      </w:pPr>
    </w:p>
    <w:bookmarkStart w:id="69" w:name="page70"/>
    <w:bookmarkEnd w:id="6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immediately to the extent of the difference between the initial public offering price per share of our Class A common stock and the pro forma as adjusted net tangible book value per share of our common stock immediately after this offering.</w:t>
      </w:r>
    </w:p>
    <w:p>
      <w:pPr>
        <w:spacing w:after="0" w:line="130" w:lineRule="exact"/>
        <w:rPr>
          <w:sz w:val="20"/>
          <w:szCs w:val="20"/>
          <w:color w:val="auto"/>
        </w:rPr>
      </w:pPr>
    </w:p>
    <w:p>
      <w:pPr>
        <w:jc w:val="both"/>
        <w:ind w:right="240" w:firstLine="324"/>
        <w:spacing w:after="0" w:line="279" w:lineRule="auto"/>
        <w:rPr>
          <w:sz w:val="20"/>
          <w:szCs w:val="20"/>
          <w:color w:val="auto"/>
        </w:rPr>
      </w:pPr>
      <w:r>
        <w:rPr>
          <w:rFonts w:ascii="Arial" w:cs="Arial" w:eastAsia="Arial" w:hAnsi="Arial"/>
          <w:sz w:val="17"/>
          <w:szCs w:val="17"/>
          <w:color w:val="auto"/>
        </w:rPr>
        <w:t>Our historical net tangible book value as of September 30, 2020 was $124.4 million, or $9.84 per share. Our historical net tangible book value is the amount of our total tangible assets less our total liabilities. Historical net tangible book value per share represents the amount of our total tangible assets less our total liabilities. Historical net tangible book value per share represents historical net tangible book value divided by the number of shares of our Class A common stock and Class B common stock outstanding as of September 30, 2020.</w:t>
      </w:r>
    </w:p>
    <w:p>
      <w:pPr>
        <w:spacing w:after="0" w:line="11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pro forma net tangible book value as of September 30, 2020 was $439.9 million, or $7.41 per share. Pro forma net tangible book value per share represents pro forma net tangible book value divided by the total number of shares of our Class A common stock and Class B common stock outstanding as of September 30, 2020, after giving effect to the conversion of all outstanding shares of our convertible preferred stock into an aggregate of 29,026,787 shares of our Class A common stock immediately prior to our initial public offering and the sale and issuance of 10,592,106 shares of Class A common stock by us in our initial public offering and 7,105,262 shares of Class A common stock by us in a concurrent private placement, based upon the public offering price of $19.00 per share, after deducting the underwriting discounts and commissions and estimated offering expenses payable by us.</w:t>
      </w:r>
    </w:p>
    <w:p>
      <w:pPr>
        <w:spacing w:after="0" w:line="11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After giving further effect to our sale of 1,400,000 shares of Class A common stock in this offering at the assumed public offering price of $77.88 per share, which was the last reported sale price of our Class A common stock on the Nasdaq Global Select Market on January 22, 2021, and after deducting the underwriting discounts and commissions and estimated offering expenses payable by us, our pro forma as adjusted net tangible book value as of September 30, 2020 would have been approximately $541.6 million, or approximately $8.91 per share. This represents an immediate increase in pro forma as adjusted net tangible book value of $1.50 per share to our existing stockholders and an immediate dilution in pro forma as adjusted net tangible book value of approximately $68.97 per share to new investors purchasing Class A common stock in this offering. Dilution per share to new investors purchasing Class A common stock in this offering is determined by subtracting pro forma as adjusted net tangible book value per share after this offering from the assumed public offering price per share paid by new investors. The following table illustrates this dilution on a per share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6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Historical net tangible book value per share as of September 30, 2020</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 forma decrease in net tangible book value per share as of September 30, 2020</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Increase in pro forma net tangible book value per share attributable to new investors purchasing shares of</w:t>
            </w: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 in this offering</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6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Each $1.00 increase or decrease in the assumed public offering price of $77.88 per share, which was the last reported sale price of our Class A common stock on the Nasdaq Global Select Market on January 22, 2021, would increase or decrease, as applicable, our pro forma as adjusted net tangible book value as of September 30, 2020 after this offering by approximately $1.3 million, or approximately $0.03 per share, and would increase or decrease, as applicable, dilution to investors in this offering by approximately $0.97 per share, assuming that the number of shares of Class A common stock offered by us, as set forth on the cover page of this prospectus, remains the same, after deducting the underwriting discounts and commissions and estimated offering expenses payable by us. We may also increase or decrease the number of shares of Class A common stock we are offering. An increase or decrease of 1.0 million in the number of shares of our Class A common stock we are offering would increase or decrease, as applicable, our pro forma as adjusted net tangible book value as of September 30, 2020 after this offering by approximately $73.2 million, or approximately $1.04 per share, and would decrease or increase dilution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1" w:right="339" w:bottom="1440" w:gutter="0" w:footer="0" w:header="0"/>
        </w:sectPr>
      </w:pPr>
    </w:p>
    <w:bookmarkStart w:id="70" w:name="page71"/>
    <w:bookmarkEnd w:id="7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this offering by approximately $1.07 per share, as applicable, assuming the assumed public offering price per 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9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following table summarizes, on a pro forma as adjusted basis, as of September 30, 2020, the difference between the number of shares of common stock purchased from us (on an as converted to Class A common stock basis), the total consideration paid, and the weighted-average price per share paid, by existing stockholders and by new investors in this offering, assuming a public offering price of $77.88 per share, which was the last reported sale price of our Class A common stock on the Nasdaq Global Select Market on January 22, 2021, and before deducting underwriting discounts and commissions and estimated offering expenses payable by 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14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88"/>
              </w:rPr>
              <w:t>Shares Purchased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Total Consideration</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Average Price Per</w:t>
            </w:r>
          </w:p>
        </w:tc>
      </w:tr>
      <w:tr>
        <w:trPr>
          <w:trHeight w:val="201"/>
        </w:trPr>
        <w:tc>
          <w:tcPr>
            <w:tcW w:w="3320" w:type="dxa"/>
            <w:vAlign w:val="bottom"/>
          </w:tcPr>
          <w:p>
            <w:pPr>
              <w:spacing w:after="0"/>
              <w:rPr>
                <w:sz w:val="17"/>
                <w:szCs w:val="17"/>
                <w:color w:val="auto"/>
              </w:rPr>
            </w:pPr>
          </w:p>
        </w:tc>
        <w:tc>
          <w:tcPr>
            <w:tcW w:w="21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85"/>
              </w:rPr>
              <w:t>Percent</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Share</w:t>
            </w:r>
          </w:p>
        </w:tc>
      </w:tr>
      <w:tr>
        <w:trPr>
          <w:trHeight w:val="181"/>
        </w:trPr>
        <w:tc>
          <w:tcPr>
            <w:tcW w:w="3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gridSpan w:val="5"/>
          </w:tcPr>
          <w:p>
            <w:pPr>
              <w:ind w:left="40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stockholders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59,366,495</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365,921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77.0 %</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investors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109,032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23.0</w:t>
            </w: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77.88</w:t>
            </w:r>
          </w:p>
        </w:tc>
      </w:tr>
      <w:tr>
        <w:trPr>
          <w:trHeight w:val="248"/>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60,766,495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Each $1.00 increase or decrease in the assumed public offering price of $77.88 per share, which was the last reported sale price of our Class A common stock on the Nasdaq Global Select Market on January 22, 2021, would increase or decrease, as applicable, the total consideration paid by new investors by $1.3 million, assuming that the number of shares of Class A common stock offered by us, as set forth on the cover page of this prospectus, remains the same and after deducting the underwriting discounts and commissions payable by us. Similarly, an increase or decrease of 1.0 million shares in the number of shares of Class A common stock offered by us would increase or decrease, as applicable, the total consideration paid by new investors by $73.2 million, assuming no change in the assumed public offering price and after deducting the underwriting discounts and commissions payable by us.</w:t>
      </w:r>
    </w:p>
    <w:p>
      <w:pPr>
        <w:spacing w:after="0" w:line="11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foregoing tables and calculations (other than the historical net tangible book value per share calculation) are based on 53,500,763 shares of our Class A common stock on a pro forma basis and 5,865,732 shares of our Class B common stock outstanding as of September 30, 2020 on a pro forma basis, and excludes the following:</w:t>
      </w:r>
    </w:p>
    <w:p>
      <w:pPr>
        <w:spacing w:after="0" w:line="130" w:lineRule="exact"/>
        <w:rPr>
          <w:sz w:val="20"/>
          <w:szCs w:val="20"/>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7,553,500 shares of our Class A common stock issuable upon the exercise of options to purchase shares of our Class A common stock outstanding as of September 30, 2020, with a weighted-average exercise price of $2.51 per share;</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2,678,942 shares of our Class A common stock issuable upon the exercise of options to purchase shares of our Class A common stock granted after September 30, 2020, with an exercise price of $16.86 per share;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335,194 shares of our Class A common stock issuable upon the vesting of RSUs outstanding as of September 30,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173,982 shares of our Class A common stock issuable upon the vesting of RSUs granted after September 30, 2020;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7,797,109 shares of our Class A common stock reserved for future issuance under our equity compensation plans, consisting of:</w:t>
      </w:r>
    </w:p>
    <w:p>
      <w:pPr>
        <w:spacing w:after="0" w:line="171" w:lineRule="exact"/>
        <w:rPr>
          <w:rFonts w:ascii="Arial" w:cs="Arial" w:eastAsia="Arial" w:hAnsi="Arial"/>
          <w:sz w:val="18"/>
          <w:szCs w:val="18"/>
          <w:color w:val="auto"/>
        </w:rPr>
      </w:pPr>
    </w:p>
    <w:p>
      <w:pPr>
        <w:ind w:left="980" w:right="20" w:hanging="324"/>
        <w:spacing w:after="0" w:line="342" w:lineRule="auto"/>
        <w:tabs>
          <w:tab w:leader="none" w:pos="976" w:val="left"/>
        </w:tabs>
        <w:numPr>
          <w:ilvl w:val="1"/>
          <w:numId w:val="43"/>
        </w:numPr>
        <w:rPr>
          <w:rFonts w:ascii="Arial" w:cs="Arial" w:eastAsia="Arial" w:hAnsi="Arial"/>
          <w:sz w:val="16"/>
          <w:szCs w:val="16"/>
          <w:color w:val="auto"/>
        </w:rPr>
      </w:pPr>
      <w:r>
        <w:rPr>
          <w:rFonts w:ascii="Arial" w:cs="Arial" w:eastAsia="Arial" w:hAnsi="Arial"/>
          <w:sz w:val="16"/>
          <w:szCs w:val="16"/>
          <w:color w:val="auto"/>
        </w:rPr>
        <w:t>6,601,782 shares of our Class A common stock to be reserved for future issuance under our 2020 Plan, and any additional shares that become available under our 2020 Plan pursuant to provisions thereof that automatically increase the share reserve under the plan each year; and</w:t>
      </w:r>
    </w:p>
    <w:p>
      <w:pPr>
        <w:spacing w:after="0" w:line="69" w:lineRule="exact"/>
        <w:rPr>
          <w:rFonts w:ascii="Arial" w:cs="Arial" w:eastAsia="Arial" w:hAnsi="Arial"/>
          <w:sz w:val="16"/>
          <w:szCs w:val="16"/>
          <w:color w:val="auto"/>
        </w:rPr>
      </w:pPr>
    </w:p>
    <w:p>
      <w:pPr>
        <w:ind w:left="980" w:right="260" w:hanging="324"/>
        <w:spacing w:after="0" w:line="308" w:lineRule="auto"/>
        <w:tabs>
          <w:tab w:leader="none" w:pos="976" w:val="left"/>
        </w:tabs>
        <w:numPr>
          <w:ilvl w:val="1"/>
          <w:numId w:val="43"/>
        </w:numPr>
        <w:rPr>
          <w:rFonts w:ascii="Arial" w:cs="Arial" w:eastAsia="Arial" w:hAnsi="Arial"/>
          <w:sz w:val="17"/>
          <w:szCs w:val="17"/>
          <w:color w:val="auto"/>
        </w:rPr>
      </w:pPr>
      <w:r>
        <w:rPr>
          <w:rFonts w:ascii="Arial" w:cs="Arial" w:eastAsia="Arial" w:hAnsi="Arial"/>
          <w:sz w:val="17"/>
          <w:szCs w:val="17"/>
          <w:color w:val="auto"/>
        </w:rPr>
        <w:t>1,195,327 shares of common stock reserved for future issuance under our ESPP, and any additional shares that become available under our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121" w:right="359" w:bottom="1440" w:gutter="0" w:footer="0" w:header="0"/>
        </w:sectPr>
      </w:pPr>
    </w:p>
    <w:bookmarkStart w:id="71" w:name="page72"/>
    <w:bookmarkEnd w:id="7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following selected statement of operations data for the years ended December 31, 2018 and 2019, and the balance sheet data as of December 31, 2018 and 2019, have been derived from our audited financial statements included elsewhere in this prospectus. We have derived the statement of operations data for the nine months ended September 30, 2019 and 2020, and the balance sheet data as of September 30, 2020 from our unaudited interim financial statements and related notes included elsewhere in this prospectus. Our unaudited interim financial statements were prepared in accordance with GAAP, on the same basis as our audited financial statements and include, in the opinion of management, all adjustments, consisting of normal recurring adjustments, that are necessary for the fair presentation of the financial information set forth in those financial statements. Our historical results are not necessarily indicative of the results that may be expected in the future, and our interim results are not necessarily indicative of our results for the full fiscal year. You should read the following selected financial and other data below in conjunction with the section titled “Management’s Discussion and Analysis of Financial Condition and Results of Operations” and our financial statements and related notes included elsewhere in this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7"/>
          </w:tcPr>
          <w:p>
            <w:pPr>
              <w:jc w:val="right"/>
              <w:ind w:right="375"/>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right"/>
              <w:ind w:right="45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7"/>
          </w:tcPr>
          <w:p>
            <w:pPr>
              <w:jc w:val="right"/>
              <w:spacing w:after="0"/>
              <w:rPr>
                <w:sz w:val="20"/>
                <w:szCs w:val="20"/>
                <w:color w:val="auto"/>
              </w:rPr>
            </w:pPr>
            <w:r>
              <w:rPr>
                <w:rFonts w:ascii="Arial" w:cs="Arial" w:eastAsia="Arial" w:hAnsi="Arial"/>
                <w:sz w:val="13"/>
                <w:szCs w:val="13"/>
                <w:i w:val="1"/>
                <w:iCs w:val="1"/>
                <w:color w:val="auto"/>
                <w:w w:val="92"/>
              </w:rPr>
              <w:t>(in thousands, except share and per share data)</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3"/>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4,606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70"/>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850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6"/>
              </w:rPr>
              <w:t>597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4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79"/>
              </w:rPr>
              <w:t>451</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845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593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4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48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and diluted</w:t>
            </w:r>
            <w:r>
              <w:rPr>
                <w:rFonts w:ascii="Arial" w:cs="Arial" w:eastAsia="Arial" w:hAnsi="Arial"/>
                <w:sz w:val="23"/>
                <w:szCs w:val="23"/>
                <w:color w:val="auto"/>
                <w:vertAlign w:val="superscript"/>
              </w:rPr>
              <w:t>(2)</w:t>
            </w:r>
          </w:p>
        </w:tc>
        <w:tc>
          <w:tcPr>
            <w:tcW w:w="460" w:type="dxa"/>
            <w:vAlign w:val="bottom"/>
            <w:gridSpan w:val="2"/>
            <w:vMerge w:val="continue"/>
            <w:shd w:val="clear" w:color="auto" w:fill="CCEEFF"/>
          </w:tcPr>
          <w:p>
            <w:pPr>
              <w:spacing w:after="0"/>
              <w:rPr>
                <w:sz w:val="19"/>
                <w:szCs w:val="19"/>
                <w:color w:val="auto"/>
              </w:rPr>
            </w:pPr>
          </w:p>
        </w:tc>
        <w:tc>
          <w:tcPr>
            <w:tcW w:w="132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4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w w:val="95"/>
              </w:rPr>
              <w:t>Weighted-average common shares outstanding, basic and</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3"/>
        </w:trPr>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tcBorders>
              <w:bottom w:val="single" w:sz="8" w:color="CCEEFF"/>
            </w:tcBorders>
            <w:gridSpan w:val="3"/>
            <w:shd w:val="clear" w:color="auto" w:fill="CCEEFF"/>
          </w:tcPr>
          <w:p>
            <w:pPr>
              <w:ind w:left="20"/>
              <w:spacing w:after="0" w:line="197" w:lineRule="exact"/>
              <w:rPr>
                <w:sz w:val="20"/>
                <w:szCs w:val="20"/>
                <w:color w:val="auto"/>
              </w:rPr>
            </w:pPr>
            <w:r>
              <w:rPr>
                <w:rFonts w:ascii="Arial" w:cs="Arial" w:eastAsia="Arial" w:hAnsi="Arial"/>
                <w:sz w:val="17"/>
                <w:szCs w:val="17"/>
                <w:color w:val="auto"/>
              </w:rPr>
              <w:t>Pro forma net loss per common share, basic and diluted</w:t>
            </w:r>
            <w:r>
              <w:rPr>
                <w:rFonts w:ascii="Arial" w:cs="Arial" w:eastAsia="Arial" w:hAnsi="Arial"/>
                <w:sz w:val="22"/>
                <w:szCs w:val="22"/>
                <w:color w:val="auto"/>
                <w:vertAlign w:val="superscript"/>
              </w:rPr>
              <w:t>(2)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w w:val="89"/>
              </w:rPr>
              <w:t>Pro forma weighted-average common shares used to compute</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21,454,787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03"/>
        </w:trPr>
        <w:tc>
          <w:tcPr>
            <w:tcW w:w="44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basic and diluted net loss per common share</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line="151" w:lineRule="exact"/>
              <w:rPr>
                <w:sz w:val="20"/>
                <w:szCs w:val="20"/>
                <w:color w:val="auto"/>
              </w:rPr>
            </w:pPr>
            <w:r>
              <w:rPr>
                <w:rFonts w:ascii="Arial" w:cs="Arial" w:eastAsia="Arial" w:hAnsi="Arial"/>
                <w:sz w:val="14"/>
                <w:szCs w:val="14"/>
                <w:color w:val="auto"/>
              </w:rPr>
              <w:t>__________________</w:t>
            </w: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4460" w:type="dxa"/>
            <w:vAlign w:val="bottom"/>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480" w:type="dxa"/>
            <w:vAlign w:val="bottom"/>
            <w:gridSpan w:val="3"/>
          </w:tcPr>
          <w:p>
            <w:pPr>
              <w:spacing w:after="0"/>
              <w:rPr>
                <w:sz w:val="20"/>
                <w:szCs w:val="20"/>
                <w:color w:val="auto"/>
              </w:rPr>
            </w:pPr>
            <w:r>
              <w:rPr>
                <w:rFonts w:ascii="Arial" w:cs="Arial" w:eastAsia="Arial" w:hAnsi="Arial"/>
                <w:sz w:val="14"/>
                <w:szCs w:val="14"/>
                <w:color w:val="auto"/>
              </w:rPr>
              <w:t>(1)  Operating expenses include stock-based compensation as follows: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7"/>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7"/>
          </w:tcPr>
          <w:p>
            <w:pPr>
              <w:jc w:val="right"/>
              <w:ind w:right="81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6"/>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14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1" w:right="339" w:bottom="1440" w:gutter="0" w:footer="0" w:header="0"/>
        </w:sectPr>
      </w:pPr>
    </w:p>
    <w:bookmarkStart w:id="72" w:name="page73"/>
    <w:bookmarkEnd w:id="7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40" w:hanging="332"/>
        <w:spacing w:after="0" w:line="273" w:lineRule="auto"/>
        <w:tabs>
          <w:tab w:leader="none" w:pos="332"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See Note 12 to our financial statements for an explanation of the calculations of our basic and diluted net loss per share attributable to common stockholders, pro forma net loss per share attributable to common stockholders and the weighted-average number of shares used in the computation of the per share amounts.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6"/>
                <w:szCs w:val="16"/>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As of September 30,</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6"/>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30,953</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121,506</w:t>
            </w:r>
          </w:p>
        </w:tc>
      </w:tr>
      <w:tr>
        <w:trPr>
          <w:trHeight w:val="270"/>
        </w:trPr>
        <w:tc>
          <w:tcPr>
            <w:tcW w:w="6360" w:type="dxa"/>
            <w:vAlign w:val="bottom"/>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(3)</w:t>
            </w:r>
          </w:p>
        </w:tc>
        <w:tc>
          <w:tcPr>
            <w:tcW w:w="960" w:type="dxa"/>
            <w:vAlign w:val="bottom"/>
          </w:tcPr>
          <w:p>
            <w:pPr>
              <w:spacing w:after="0"/>
              <w:rPr>
                <w:sz w:val="23"/>
                <w:szCs w:val="23"/>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27,521</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82,991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117,451</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33,696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8,354</w:t>
            </w:r>
          </w:p>
        </w:tc>
      </w:tr>
      <w:tr>
        <w:trPr>
          <w:trHeight w:val="27"/>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(6,548)</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9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29,975</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125,536</w:t>
            </w:r>
          </w:p>
        </w:tc>
      </w:tr>
    </w:tbl>
    <w:p>
      <w:pPr>
        <w:spacing w:after="0" w:line="170" w:lineRule="exact"/>
        <w:rPr>
          <w:sz w:val="20"/>
          <w:szCs w:val="20"/>
          <w:color w:val="auto"/>
        </w:rPr>
      </w:pPr>
    </w:p>
    <w:p>
      <w:pPr>
        <w:ind w:left="340" w:right="360" w:hanging="332"/>
        <w:spacing w:after="0" w:line="273" w:lineRule="auto"/>
        <w:tabs>
          <w:tab w:leader="none" w:pos="332"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1" w:right="339" w:bottom="1440" w:gutter="0" w:footer="0" w:header="0"/>
        </w:sectPr>
      </w:pPr>
    </w:p>
    <w:bookmarkStart w:id="73" w:name="page74"/>
    <w:bookmarkEnd w:id="7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section titled “Selected Financial Data” and our financial statements and related notes included elsewhere in this prospectus.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revenue to date has been nominal and generated from research collaborations and activities. Our initial product, the Proteograph Product Suite, has not yet been commercialized, and we have not generated any revenue from product sales to date. Our ability to generate product revenue sufficient to achieve profitability, if ever, will depend on the successful commercialization of our Proteograph Product Suite.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w:t>
      </w:r>
    </w:p>
    <w:p>
      <w:pPr>
        <w:spacing w:after="0" w:line="13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intend to commercialize our Proteograph Product Suite as an integrated solution comprising consumables, an automation instrument and software. Our commercial strategy will focus on growing adoption by the research community of our Proteograph, expanding the installed base and increasing utilization to generate revenue from the purchase of our Proteograph consumables. We expect a highly efficient sales model since our Proteograph does not have a large capital expenditure component and our Proteograph automation instrument integrates with most existing proteomics laboratories’ workflows and also complements large-scale genomics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1" w:right="339" w:bottom="1440" w:gutter="0" w:footer="0" w:header="0"/>
        </w:sectPr>
      </w:pPr>
    </w:p>
    <w:bookmarkStart w:id="74" w:name="page75"/>
    <w:bookmarkEnd w:id="7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intend to commercialize our Proteograph through a direct sales channel in the United States, and through both direct and distributor sales channels in regions outside the United States. Given our stage of development, we currently have limited marketing and no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Proteograph.</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leverage well-established unit operations to formulate and manufacture our NPs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 Product Suite.</w:t>
      </w:r>
    </w:p>
    <w:p>
      <w:pPr>
        <w:spacing w:after="0" w:line="14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Pricing for the supply of our Proteograph automation instrument is on a fixed schedule during the initial term of the agreement, with tiered pricing dependent upon the number of units purchased in a twelve-month period.</w:t>
      </w:r>
    </w:p>
    <w:p>
      <w:pPr>
        <w:spacing w:after="0" w:line="10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our incorporation, we have incurred significant losses and negative cash flows from operations. During the year ended December 31, 2019, we incurred a net loss of $16.0 million and used $13.1 million of cash in operations. During nine months ended September 30, 2020, we incurred a net loss of $19.8 million and used $15.3 million of cash in operations. As of September 30, 2020, we had an accumulated deficit of $42.4 million. We expect to continue to incur significant and increasing losses and do not expect positive cash flows from operations for the foreseeable future, and our net losses may fluctuate significantly from period to period, depending on the timing of and expenditures on our planned commercialization and research and development activities.</w:t>
      </w:r>
    </w:p>
    <w:p>
      <w:pPr>
        <w:spacing w:after="0" w:line="138"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To date, we have financed our operations primarily through private placements of convertible preferred stock. From the date of our incorporation through September 30, 2020, we have raised aggregate net proceeds of approximately $162.8 million from the issuance of convertible preferred stock, net of issuance costs. As of September 30, 2020, we had unrestricted cash and cash equivalents of $17.7 million and investments of $103.8 million.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to increase significantly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to develop and commercialize our Proteograph Product Suite;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 sales, marketing, service, support and distribution infrastructure in advance of commercialization;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build-out and expand our in-house NP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to engage in research and development of other products and enhancements to our Proteograph;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21" w:right="359" w:bottom="1440" w:gutter="0" w:footer="0" w:header="0"/>
        </w:sectPr>
      </w:pPr>
    </w:p>
    <w:bookmarkStart w:id="75" w:name="page76"/>
    <w:bookmarkEnd w:id="7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build the infrastructure to operate as a public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We believe PrognomIQ’s use of proteomics and the potential for other similar companies which use proteomics in their research and products will help us drive the adoption of our Proteograph Product Suite in these applications.</w:t>
      </w:r>
    </w:p>
    <w:p>
      <w:pPr>
        <w:spacing w:after="0" w:line="12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 transition services and support, including laboratory and office space to PrognomIQ during the transition period. We anticipate these services to continue through the first half of 2021.</w:t>
      </w:r>
    </w:p>
    <w:p>
      <w:pPr>
        <w:spacing w:after="0" w:line="134"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a result of the COVID-19 pandemic, we could experience disruptions that could severely impact our business. For example, we have experienced longer lead times from Hamilton for orders of our automation instruments and may experience delays and longer lead times from our other suppliers of critical hardware, instrumentation and consumables used for product development and manufacturing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1" w:right="339" w:bottom="1440" w:gutter="0" w:footer="0" w:header="0"/>
        </w:sectPr>
      </w:pPr>
    </w:p>
    <w:bookmarkStart w:id="76" w:name="page77"/>
    <w:bookmarkEnd w:id="7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have not generated any revenue from product sales and may not do so in the near future. Our revenue to date has been generated from research collaborations and activities.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1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increase our investment in our R&amp;D efforts related to our Proteograph Product Suite, our product development pipeline and our proprietary engineered NP technology.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General and administrative expenses consist primarily of employee compensation, including stock-based compensation, and related benefits for executive management, finance, administration and human resources, allocated overhead, professional service fees and other general overhead costs to support our operations.</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expect to incur additional general and administrative expenses as we continue to invest in our personnel as we grow and with the additional costs incurred as a result of operating as a public company, including accounting, human resources, legal, insurance and investor relations costs. As a result, we expect general and administrative expenses to increase in absolute dollars in future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cash, cash equivalents and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Interest expense consists of interest related to certain convertible promissory notes that were issued in May 2019. These notes were converted to convertible preferred stock in November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Expense</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Other expense consists of our share of losses from our equity method investment made in August 2020, the carrying amount of which was reduced to zero during the period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1" w:right="359" w:bottom="1440" w:gutter="0" w:footer="0" w:header="0"/>
        </w:sectPr>
      </w:pPr>
    </w:p>
    <w:bookmarkStart w:id="77" w:name="page78"/>
    <w:bookmarkEnd w:id="7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Nine Months Ended September 30, 2019 and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4,445</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56"/>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(9,123)</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4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1"/>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262</w:t>
            </w:r>
          </w:p>
        </w:tc>
        <w:tc>
          <w:tcPr>
            <w:tcW w:w="11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452%</w:t>
            </w:r>
          </w:p>
        </w:tc>
      </w:tr>
    </w:tbl>
    <w:p>
      <w:pPr>
        <w:spacing w:after="0" w:line="148"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Revenue increased by $0.3 million, or 452%, from $58 thousand in the nine months ended September 30, 2019 to $0.3 million in the nine months ended September 30, 2020, due to a Small Business Innovation Research grant awarded in the third quarter of 2019 and continued through 2020.</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8,580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4,940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40"/>
          </w:cols>
          <w:pgMar w:left="320" w:top="121" w:right="339" w:bottom="1440" w:gutter="0" w:footer="0" w:header="0"/>
          <w:type w:val="continuous"/>
        </w:sectPr>
      </w:pPr>
    </w:p>
    <w:bookmarkStart w:id="78" w:name="page79"/>
    <w:bookmarkEnd w:id="7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R&amp;D expenses increased by $4.9 million, or 58%, from $8.6 million in the nine months ended September 30, 2019 to $13.5 million in the nine months ended September 30, 2020. The increase was primarily due to an increase in product development efforts related to our Proteograph Product Suite including $2.6 million in employee compensation costs, stock-based compensation and other related costs due to growth in research and development personnel, $1.0 million related to the expansion of facilities and maintenance and depreciation of laboratory equipment, $1.2 million in laboratory materials and prototypes, supplies and reagents used for in-house research and $0.8 million in professional and consulting fees. This was offset by a decrease in clinical study fees of $0.6 million related to the costs associated with the ramp down of site enrollment for clinical studies related to the collection of biological samples for research use. These clinical studies are related to the assets transferred to PrognomIQ.</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7"/>
                <w:szCs w:val="17"/>
                <w:color w:val="auto"/>
              </w:rPr>
            </w:pPr>
          </w:p>
        </w:tc>
        <w:tc>
          <w:tcPr>
            <w:tcW w:w="1720" w:type="dxa"/>
            <w:vAlign w:val="bottom"/>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09"/>
        </w:trPr>
        <w:tc>
          <w:tcPr>
            <w:tcW w:w="51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8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4,445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bl>
    <w:p>
      <w:pPr>
        <w:spacing w:after="0" w:line="148"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General and administrative expenses increased by $4.4 million, or 150%, from $3.0 million in the nine months ended September 30, 2019 to $7.4 million in the nine months ended September 30, 2020, primarily due to a $2.4 million increase in employee compensation, including stock-based compensation and other related expenses, as a result of both converting consultants to full-time employees and an increase in personnel. Other increases include $0.6 million in professional and consulting fees related to non-deferred accounting and audit services related to our initial public offering, $1.0 million in corporate legal matters primarily related to the PrognomIQ transaction and patent activities, $0.2 million in public relation costs, and $0.1 million related to expansion of information technology services and support.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4"/>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spacing w:after="0"/>
              <w:rPr>
                <w:sz w:val="17"/>
                <w:szCs w:val="17"/>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r>
      <w:tr>
        <w:trPr>
          <w:trHeight w:val="210"/>
        </w:trPr>
        <w:tc>
          <w:tcPr>
            <w:tcW w:w="5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5"/>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593</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181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14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Total other income increased by $0.2 million, or 30%, from $0.6 million in the nine months ended September 30, 2019 to $0.8 million in the nine months ended September 30, 2020. The increase was attributable to an increase in interest income, which in turn was attributable to higher amounts of cash invested in money market funds and U.S. Treasury securities in the first nine months of 2020 as a result of $55.0 million raised in convertible preferred stock financings in the fourth quarter of 2019 and $55.0 million raised in convertible preferred stock financings in the second quarter of 2020, compared to $17.1 million raised in convertible preferred stock financings during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1" w:right="339" w:bottom="1440" w:gutter="0" w:footer="0" w:header="0"/>
        </w:sectPr>
      </w:pPr>
    </w:p>
    <w:bookmarkStart w:id="79" w:name="page80"/>
    <w:bookmarkEnd w:id="7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Comparisons of the Years Ended December 31, 2018 and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4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1720" w:type="dxa"/>
            <w:vAlign w:val="bottom"/>
            <w:gridSpan w:val="2"/>
          </w:tcPr>
          <w:p>
            <w:pPr>
              <w:ind w:left="102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r>
      <w:tr>
        <w:trPr>
          <w:trHeight w:val="190"/>
        </w:trPr>
        <w:tc>
          <w:tcPr>
            <w:tcW w:w="512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rPr>
              <w:t>%</w:t>
            </w:r>
          </w:p>
        </w:tc>
      </w:tr>
      <w:tr>
        <w:trPr>
          <w:trHeight w:val="26"/>
        </w:trPr>
        <w:tc>
          <w:tcPr>
            <w:tcW w:w="5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5"/>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ind w:left="56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20"/>
                <w:szCs w:val="20"/>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1,624</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10,241</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(6,758)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57"/>
        </w:trPr>
        <w:tc>
          <w:tcPr>
            <w:tcW w:w="5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w:t>
            </w: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391"/>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ind w:left="460"/>
              <w:spacing w:after="0"/>
              <w:rPr>
                <w:sz w:val="20"/>
                <w:szCs w:val="20"/>
                <w:color w:val="auto"/>
              </w:rPr>
            </w:pPr>
            <w:r>
              <w:rPr>
                <w:rFonts w:ascii="Arial" w:cs="Arial" w:eastAsia="Arial" w:hAnsi="Arial"/>
                <w:sz w:val="18"/>
                <w:szCs w:val="18"/>
                <w:color w:val="auto"/>
              </w:rPr>
              <w:t>Total other income</w:t>
            </w:r>
          </w:p>
        </w:tc>
        <w:tc>
          <w:tcPr>
            <w:tcW w:w="8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12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(9,731)</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1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8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1"/>
                <w:szCs w:val="21"/>
                <w:color w:val="auto"/>
              </w:rPr>
            </w:pPr>
          </w:p>
        </w:tc>
        <w:tc>
          <w:tcPr>
            <w:tcW w:w="1080" w:type="dxa"/>
            <w:vAlign w:val="bottom"/>
          </w:tcPr>
          <w:p>
            <w:pPr>
              <w:jc w:val="center"/>
              <w:ind w:right="39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(6,307)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(9,707)</w:t>
            </w:r>
          </w:p>
        </w:tc>
        <w:tc>
          <w:tcPr>
            <w:tcW w:w="5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340" w:right="9600" w:hanging="8"/>
        <w:spacing w:after="0" w:line="514" w:lineRule="auto"/>
        <w:tabs>
          <w:tab w:leader="none" w:pos="475" w:val="left"/>
        </w:tabs>
        <w:numPr>
          <w:ilvl w:val="0"/>
          <w:numId w:val="4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Not meaningful Revenue</w:t>
      </w: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81"/>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gridSpan w:val="3"/>
          </w:tcPr>
          <w:p>
            <w:pPr>
              <w:jc w:val="right"/>
              <w:ind w:right="359"/>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116</w:t>
            </w:r>
          </w:p>
        </w:tc>
        <w:tc>
          <w:tcPr>
            <w:tcW w:w="102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increased by $0.1 million from $0 in 2018 due to approximately $58,000 received under a Small Business Innovation Research grant awarded in the third quarter of 2019, as well as approximately $58,000 earned for research collaboration.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6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7"/>
              </w:rPr>
              <w:t>(dollars in thousands)</w:t>
            </w: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3,776</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8,617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bl>
    <w:p>
      <w:pPr>
        <w:spacing w:after="0" w:line="14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R&amp;D expenses increased by $8.6 million, or 228%, from $3.8 million in 2018 to $12.4 million in 2019. The increase was primarily due to an increase in product development efforts related to our Proteograph Product Suite including $3.7 million in employee compensation costs, stock-based compensation and other related costs due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121" w:right="339" w:bottom="1440" w:gutter="0" w:footer="0" w:header="0"/>
          <w:type w:val="continuous"/>
        </w:sectPr>
      </w:pPr>
    </w:p>
    <w:bookmarkStart w:id="80" w:name="page81"/>
    <w:bookmarkEnd w:id="8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growth in research and development personnel, $1.4 million related to the expansion of facilities and maintenance and depreciation of laboratory equipment, $1.5 million in laboratory materials, supplies and reagents used for in-house research and $0.4 million in professional and consulting fees. It also reflects an increase in clinical study fees of $1.5 million related to the costs associated with clinical studies for the collection of biological samples for research use, which relate to the assets transferred to PrognomIQ.</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0"/>
        </w:trPr>
        <w:tc>
          <w:tcPr>
            <w:tcW w:w="5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40" w:type="dxa"/>
            <w:vAlign w:val="bottom"/>
            <w:gridSpan w:val="4"/>
          </w:tcPr>
          <w:p>
            <w:pPr>
              <w:jc w:val="right"/>
              <w:ind w:right="1262"/>
              <w:spacing w:after="0"/>
              <w:rPr>
                <w:sz w:val="20"/>
                <w:szCs w:val="20"/>
                <w:color w:val="auto"/>
              </w:rPr>
            </w:pPr>
            <w:r>
              <w:rPr>
                <w:rFonts w:ascii="Arial" w:cs="Arial" w:eastAsia="Arial" w:hAnsi="Arial"/>
                <w:sz w:val="14"/>
                <w:szCs w:val="14"/>
                <w:i w:val="1"/>
                <w:iCs w:val="1"/>
                <w:color w:val="auto"/>
                <w:w w:val="95"/>
              </w:rPr>
              <w:t>(dollars in thousands)</w:t>
            </w:r>
          </w:p>
        </w:tc>
        <w:tc>
          <w:tcPr>
            <w:tcW w:w="1080" w:type="dxa"/>
            <w:vAlign w:val="bottom"/>
          </w:tcPr>
          <w:p>
            <w:pPr>
              <w:spacing w:after="0"/>
              <w:rPr>
                <w:sz w:val="15"/>
                <w:szCs w:val="15"/>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2,982</w:t>
            </w:r>
          </w:p>
        </w:tc>
        <w:tc>
          <w:tcPr>
            <w:tcW w:w="9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148"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General and administrative expenses increased by $1.6 million, or 54%, from $3.0 million in 2018 to $4.6 million in 2019, primarily due to a $1.0 million increase in employee compensation, including stock-based compensation and other related expenses, as a result of both converting consultants to full-time employees and an increase in personnel. Other increases include $0.4 million in professional and consulting fees related to accounting and audit services and corporate legal matters, and an increase of $0.1 million related to business license fees and taxes.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1"/>
        </w:trPr>
        <w:tc>
          <w:tcPr>
            <w:tcW w:w="5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gridSpan w:val="3"/>
          </w:tcPr>
          <w:p>
            <w:pPr>
              <w:jc w:val="right"/>
              <w:ind w:right="279"/>
              <w:spacing w:after="0"/>
              <w:rPr>
                <w:sz w:val="20"/>
                <w:szCs w:val="20"/>
                <w:color w:val="auto"/>
              </w:rPr>
            </w:pPr>
            <w:r>
              <w:rPr>
                <w:rFonts w:ascii="Arial" w:cs="Arial" w:eastAsia="Arial" w:hAnsi="Arial"/>
                <w:sz w:val="14"/>
                <w:szCs w:val="14"/>
                <w:i w:val="1"/>
                <w:iCs w:val="1"/>
                <w:color w:val="auto"/>
                <w:w w:val="95"/>
              </w:rPr>
              <w:t>(dollars in thousands)</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96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394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r>
    </w:tbl>
    <w:p>
      <w:pPr>
        <w:spacing w:after="0" w:line="148"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Total other income increased by $0.4 million, or 87%, from $0.5 million in 2018 to $0.8 million in 2019. The increase in interest income was attributable to higher amounts of excess cash invested in money market funds and U.S. Treasury securities as a result of $71.7 million raised in convertible preferred stock financings during 2019, compared to $29.9 million raised in convertible preferred stock financings during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the date of our incorporation, we have not generated any revenue from product sales and have incurred significant operating losses and negative cash flows from operations. Our operations have been funded primarily through the sale and issuance of convertible preferred stock since inception. We anticipate that we will continue to incur net losses and do not expect positive cash flows from operations for the foreseeable future. As of September 30, 2020, we had an accumulated deficit of $42.4 million. As of September 30, 2020, we had unrestricted cash and cash equivalents of $17.7 million and investments of $103.8 million.</w:t>
      </w:r>
    </w:p>
    <w:p>
      <w:pPr>
        <w:spacing w:after="0" w:line="134"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Based upon our current operating plan, we believe our existing cash, cash equivalents and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(i) delays in execution of or a significant expansion of our commercialization plans; (ii) changes we may make to the business that affect ongoing operating expenses; (iii) changes we may make in our business or commercialization strategy; (iv) changes we may make in our research and development spending plans; (v) the impact of the COVID-19 pandemic; and (vi) other items affecting our forecasted level of expenditures and use of cash resources including potential acquisitions.</w:t>
      </w:r>
    </w:p>
    <w:p>
      <w:pPr>
        <w:spacing w:after="0" w:line="1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be unable to raise additional funds or to enter into financing agreements or arrangements on favorable terms, or at all. Our failure to obtain sufficient funds on acceptable terms when needed could have a material adverse effect on our business, results of operations and financial condition, and could force us to delay future commercialization efforts. We cannot assure you that we will ever be profitable or generate positive cash flow from operating activities or that, if we achieve profitability, we will be able to sustain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1" w:right="339" w:bottom="1440" w:gutter="0" w:footer="0" w:header="0"/>
        </w:sectPr>
      </w:pPr>
    </w:p>
    <w:bookmarkStart w:id="81" w:name="page82"/>
    <w:bookmarkEnd w:id="8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cash flows for the periods indicated:</w:t>
      </w: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p>
      <w:pPr>
        <w:jc w:val="center"/>
        <w:ind w:left="4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560"/>
        <w:spacing w:after="0"/>
        <w:rPr>
          <w:sz w:val="20"/>
          <w:szCs w:val="20"/>
          <w:color w:val="auto"/>
        </w:rPr>
      </w:pPr>
      <w:r>
        <w:rPr>
          <w:rFonts w:ascii="Arial" w:cs="Arial" w:eastAsia="Arial" w:hAnsi="Arial"/>
          <w:sz w:val="12"/>
          <w:szCs w:val="12"/>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38100</wp:posOffset>
            </wp:positionV>
            <wp:extent cx="20485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5"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860" w:space="720"/>
            <w:col w:w="2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3"/>
          </w:tcPr>
          <w:p>
            <w:pPr>
              <w:jc w:val="right"/>
              <w:ind w:right="19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(13,073)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2"/>
              </w:rPr>
              <w:t>(72,383)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(39,831)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72,331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55,395</w:t>
            </w:r>
          </w:p>
        </w:tc>
        <w:tc>
          <w:tcPr>
            <w:tcW w:w="0" w:type="dxa"/>
            <w:vAlign w:val="bottom"/>
          </w:tcPr>
          <w:p>
            <w:pPr>
              <w:spacing w:after="0"/>
              <w:rPr>
                <w:sz w:val="1"/>
                <w:szCs w:val="1"/>
                <w:color w:val="auto"/>
              </w:rPr>
            </w:pPr>
          </w:p>
        </w:tc>
      </w:tr>
      <w:tr>
        <w:trPr>
          <w:trHeight w:val="156"/>
        </w:trPr>
        <w:tc>
          <w:tcPr>
            <w:tcW w:w="4700" w:type="dxa"/>
            <w:vAlign w:val="bottom"/>
          </w:tcPr>
          <w:p>
            <w:pPr>
              <w:ind w:left="20"/>
              <w:spacing w:after="0" w:line="156" w:lineRule="exact"/>
              <w:rPr>
                <w:sz w:val="20"/>
                <w:szCs w:val="20"/>
                <w:color w:val="auto"/>
              </w:rPr>
            </w:pPr>
            <w:r>
              <w:rPr>
                <w:rFonts w:ascii="Arial" w:cs="Arial" w:eastAsia="Arial" w:hAnsi="Arial"/>
                <w:sz w:val="18"/>
                <w:szCs w:val="18"/>
                <w:color w:val="auto"/>
                <w:w w:val="90"/>
              </w:rPr>
              <w:t>Net increase (decrease) in cash, cash equivalents and restricted</w:t>
            </w:r>
          </w:p>
        </w:tc>
        <w:tc>
          <w:tcPr>
            <w:tcW w:w="540" w:type="dxa"/>
            <w:vAlign w:val="bottom"/>
            <w:vMerge w:val="restart"/>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25,126</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center"/>
              <w:ind w:left="170"/>
              <w:spacing w:after="0"/>
              <w:rPr>
                <w:sz w:val="20"/>
                <w:szCs w:val="20"/>
                <w:color w:val="auto"/>
              </w:rPr>
            </w:pPr>
            <w:r>
              <w:rPr>
                <w:rFonts w:ascii="Arial" w:cs="Arial" w:eastAsia="Arial" w:hAnsi="Arial"/>
                <w:sz w:val="18"/>
                <w:szCs w:val="18"/>
                <w:color w:val="auto"/>
                <w:w w:val="92"/>
              </w:rPr>
              <w:t>(13,125)</w:t>
            </w:r>
          </w:p>
        </w:tc>
        <w:tc>
          <w:tcPr>
            <w:tcW w:w="100" w:type="dxa"/>
            <w:vAlign w:val="bottom"/>
          </w:tcPr>
          <w:p>
            <w:pPr>
              <w:spacing w:after="0"/>
              <w:rPr>
                <w:sz w:val="13"/>
                <w:szCs w:val="13"/>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13"/>
                <w:szCs w:val="13"/>
                <w:color w:val="auto"/>
              </w:rPr>
            </w:pP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8"/>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cash</w:t>
            </w:r>
          </w:p>
        </w:tc>
        <w:tc>
          <w:tcPr>
            <w:tcW w:w="54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the nine months ended September 30, 2020, cash used in operating activities was $15.3 million, attributable to a net loss of $19.8 million, partially offset by a net change in our net operating assets and liabilities of $0.6 million and non-cash charges of $3.9 million. Non-cash charges primarily consisted of $2.6 million in stock-based compensation,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$0.5 million.</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nine months ended September 30, 2019, cash used in operating activities was $9.7 million, attributable to a net loss of $10.9 million, partially offset by a net change in our net operating assets and liabilities of $0.2 million, and by non-cash charges of $1.4 million. Non-cash charges primarily consisted of $1.2 million in stock-based compensation and $0.5 million of depreciation and amortization, offset by $0.2 million of net accretion of discounts on available-for-sales securities. The change in our net operating assets and liabilities was primarily due to increased accrued liabilities related to clinical study fees of $0.4 million, offset by deposits related to a lease agreement of $0.5 million.</w:t>
      </w:r>
    </w:p>
    <w:p>
      <w:pPr>
        <w:spacing w:after="0" w:line="12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2019, cash used in operating activities was $13.1 million, attributable to a net loss of $16.0 million, partially offset by a net change in our net operating assets and liabilities of $1.0 million, and by non-cash charges of $2.0 million. Non-cash charges primarily consisted of $1.6 million in stock-based compensation and $0.7 million of depreciation and amortization, offset by $0.3 million of net accretion of discounts on available-for-sales securities. The change in our net operating assets and liabilities was primarily due to increased accrued liabilities related to clinical study fees of $0.4 million, tenant improvements of $0.3 million, professional services and consulting costs of $0.4 million, and $0.2 million in other general business expenses, offset by deposits related to a lease agreement of $0.3 million.</w:t>
      </w:r>
    </w:p>
    <w:p>
      <w:pPr>
        <w:spacing w:after="0" w:line="13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2018, cash used in operating activities was $4.7 million, attributable to a net loss of $6.3 million, partially offset by a net change in our net operating assets and liabilities of $1.0 million, and by non-cash charges of $0.7 million, which primarily consisted of stock-based compensation. The change in our net operating assets and liabilities was due to increased account payables and accrued liabilities of $1.3 million which was primarily driven by laboratory equipment purchases, offset by increases in prepaid expenses and other assets that was primarily driven by multi-year maintenance contracts purchased on the laboratory equipment.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9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In the nine months ended September 30, 2019, cash used in investing activities was $28.6 million, which related to purchases of available-for-sale securities, net of proceeds from maturities of $24.8 million, in addition to $3.8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1" w:right="339" w:bottom="1440" w:gutter="0" w:footer="0" w:header="0"/>
          <w:type w:val="continuous"/>
        </w:sectPr>
      </w:pPr>
    </w:p>
    <w:bookmarkStart w:id="82" w:name="page83"/>
    <w:bookmarkEnd w:id="8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2019, cash used in investing activities was $72.4 million, which related to purchases of available-for-sale securities, net of proceeds from maturities of $68.3 million, in addition to $4.1 million in payments primarily for laboratory equipment.</w:t>
      </w:r>
    </w:p>
    <w:p>
      <w:pPr>
        <w:spacing w:after="0" w:line="116" w:lineRule="exact"/>
        <w:rPr>
          <w:sz w:val="20"/>
          <w:szCs w:val="20"/>
          <w:color w:val="auto"/>
        </w:rPr>
      </w:pPr>
    </w:p>
    <w:p>
      <w:pPr>
        <w:ind w:left="340" w:right="40"/>
        <w:spacing w:after="0" w:line="438" w:lineRule="auto"/>
        <w:rPr>
          <w:sz w:val="20"/>
          <w:szCs w:val="20"/>
          <w:color w:val="auto"/>
        </w:rPr>
      </w:pPr>
      <w:r>
        <w:rPr>
          <w:rFonts w:ascii="Arial" w:cs="Arial" w:eastAsia="Arial" w:hAnsi="Arial"/>
          <w:sz w:val="18"/>
          <w:szCs w:val="18"/>
          <w:color w:val="auto"/>
        </w:rPr>
        <w:t xml:space="preserve">In 2018, cash used in investing activities was $0.2 million, which related to payments for property and equipment used for general business operations. </w:t>
      </w:r>
      <w:r>
        <w:rPr>
          <w:rFonts w:ascii="Arial" w:cs="Arial" w:eastAsia="Arial" w:hAnsi="Arial"/>
          <w:sz w:val="18"/>
          <w:szCs w:val="18"/>
          <w:b w:val="1"/>
          <w:bCs w:val="1"/>
          <w:i w:val="1"/>
          <w:iCs w:val="1"/>
          <w:color w:val="auto"/>
        </w:rPr>
        <w:t>Financing Activities</w:t>
      </w:r>
    </w:p>
    <w:p>
      <w:pPr>
        <w:spacing w:after="0" w:line="1"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In the nine months ended September 30, 2020, cash provided by financing activities was $55.4 million. This was attributable to the net proceeds of $54.9 million from the issuance of Series D-1 convertible preferred stock, net of issuance costs and $0.6 million from the exercise of stock options.</w:t>
      </w:r>
    </w:p>
    <w:p>
      <w:pPr>
        <w:spacing w:after="0" w:line="70"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In the nine months ended September 30, 2019, cash provided by financing activities was $17.7 million. This was attributable to the net proceeds of $17.3 million from the issuance of Series C convertible preferred stock, net of issuance costs and $0.4 million from the issuance of convertible notes payable.</w:t>
      </w:r>
    </w:p>
    <w:p>
      <w:pPr>
        <w:spacing w:after="0" w:line="13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In 2019, cash provided by financing activities was $72.3 million. This was attributable to the net proceeds of $17.3 million from the issuance of Series C convertible preferred stock, net of issuance costs and $54.6 million from the issuance of Series D convertible preferred stock, net of issuance costs.</w:t>
      </w:r>
    </w:p>
    <w:p>
      <w:pPr>
        <w:spacing w:after="0" w:line="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2018, cash provided by financing activities was $29.9 million which was attributable to the net proceeds from the issuance of Series B convertible preferred stock, net of issuance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10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1"/>
                <w:szCs w:val="11"/>
                <w:color w:val="auto"/>
              </w:rPr>
            </w:pPr>
          </w:p>
        </w:tc>
        <w:tc>
          <w:tcPr>
            <w:tcW w:w="1240" w:type="dxa"/>
            <w:vAlign w:val="bottom"/>
            <w:vMerge w:val="restart"/>
          </w:tcPr>
          <w:p>
            <w:pPr>
              <w:jc w:val="center"/>
              <w:ind w:right="202"/>
              <w:spacing w:after="0"/>
              <w:rPr>
                <w:sz w:val="20"/>
                <w:szCs w:val="20"/>
                <w:color w:val="auto"/>
              </w:rPr>
            </w:pPr>
            <w:r>
              <w:rPr>
                <w:rFonts w:ascii="Arial" w:cs="Arial" w:eastAsia="Arial" w:hAnsi="Arial"/>
                <w:sz w:val="14"/>
                <w:szCs w:val="14"/>
                <w:b w:val="1"/>
                <w:bCs w:val="1"/>
                <w:color w:val="auto"/>
                <w:w w:val="92"/>
              </w:rPr>
              <w:t>1-3 years</w:t>
            </w:r>
          </w:p>
        </w:tc>
        <w:tc>
          <w:tcPr>
            <w:tcW w:w="240" w:type="dxa"/>
            <w:vAlign w:val="bottom"/>
          </w:tcPr>
          <w:p>
            <w:pPr>
              <w:spacing w:after="0"/>
              <w:rPr>
                <w:sz w:val="11"/>
                <w:szCs w:val="11"/>
                <w:color w:val="auto"/>
              </w:rPr>
            </w:pPr>
          </w:p>
        </w:tc>
        <w:tc>
          <w:tcPr>
            <w:tcW w:w="10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1"/>
                <w:szCs w:val="11"/>
                <w:color w:val="auto"/>
              </w:rPr>
            </w:pPr>
          </w:p>
        </w:tc>
        <w:tc>
          <w:tcPr>
            <w:tcW w:w="110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8"/>
              </w:rPr>
              <w:t>1 year</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81"/>
        </w:trPr>
        <w:tc>
          <w:tcPr>
            <w:tcW w:w="4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ind w:right="182"/>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8,788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9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second half of 2021, the annual base rent will be $0.9 million in the first 12 months of the lease term (subject to an abatement period of nine months), and increases on an annual basis to $1.2 million in the final 12 months of the lease term. The amendment also provides for tenant incentives in the amount of $2.4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the date of our incorporation, we have not engaged in any off-balance sheet arrangements, as such term is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liabilities, and the disclosure of contingent assets and liabilities at the date of the financial statements, as well as revenue and expenses incurred during the reporting periods. Our estimates are based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sectPr>
      </w:pPr>
    </w:p>
    <w:bookmarkStart w:id="83" w:name="page84"/>
    <w:bookmarkEnd w:id="8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7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record accrued liabilities for estimated costs of research and development activities conducted by third-party service providers, which include expenses associated with clinical studies for the collection of biological samples for research use. These costs are a significant component of our research and development expenses. We accrue for these costs based on factors such as estimates of the work completed and in accordance with agreements established with its third-party service providers under the service agreements. We include these costs in accrued research and development in the balance sheets and within research and development expenses in the statements of operations and comprehensive loss. We make significant judgments and estimates such as when services are performed and the level of effort expended in each period to determine the accrued liabilities balance in each reporting period. As actual costs become known, we adjust our accrued liabilities. We have not experienced any material differences between accrued costs and actual costs incurred. However, the status and timing of actual services performed, number of patients enrolled and the rate of patient enrollments may vary from our estimates, resulting in adjustments to expense in future periods. As these accrued expenses are associated with clinical studies for the collection of biological samples for research use, which relate to the assets transferred to PrognomIQ, we do not anticipate similar accrued expenses going forward.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in the same period as the forfeitures occur. We estimate the fair value of share-based awards to employees and non-employees using the Black-Scholes option-pricing valuation model. The Black-Scholes model requires the input of subjective assumptions, including fair value of common stock, expected term, expected volatility, risk-free interest rate, and expected dividend yield, which are described in greater detail below.</w:t>
      </w:r>
    </w:p>
    <w:p>
      <w:pPr>
        <w:spacing w:after="0" w:line="124"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95" w:lineRule="exact"/>
        <w:rPr>
          <w:sz w:val="20"/>
          <w:szCs w:val="20"/>
          <w:color w:val="auto"/>
        </w:rPr>
      </w:pPr>
    </w:p>
    <w:p>
      <w:pPr>
        <w:ind w:left="660" w:right="160" w:hanging="328"/>
        <w:spacing w:after="0" w:line="263"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Fair value of Class A common stock—Historically, as there has been no public market for our Class A common stock, the fair value of our Class A common stock was determined by our board of directors based in part on valuations of our Class A common stock prepared by a third-party valuation specialist. See the subsection titled “Fair Value of Class A Common Stock” below.</w:t>
      </w:r>
    </w:p>
    <w:p>
      <w:pPr>
        <w:spacing w:after="0" w:line="12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1" w:right="339" w:bottom="1440" w:gutter="0" w:footer="0" w:header="0"/>
        </w:sectPr>
      </w:pPr>
    </w:p>
    <w:bookmarkStart w:id="84" w:name="page85"/>
    <w:bookmarkEnd w:id="8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line="25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volatility—Since we were previously a privately-held company and did not have any trading history for our common stock, the expected volatility was estimated based on the historical average volatility for comparable publicly traded life sciences technology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33"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zero coupon issues in effect at the time of grant for periods corresponding with the expected term of the options.</w:t>
      </w:r>
    </w:p>
    <w:p>
      <w:pPr>
        <w:spacing w:after="0" w:line="116"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Expected dividend yield—We have never paid dividends on our common stock and have no plans to pay dividends on our common stock. Therefore, we used an expected dividend yield of zero.</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For options granted to non-employee consultants, the fair value of these options is also measured using the Black-Scholes option-pricing model reflecting the same assumptions as applied to employee options in each of the reported periods, other than the expected term which is assumed to be the remaining contractual life of the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$11.0 million to $12.7 million over the next three to four years as a result of all compensatory equity issuances made in fiscal year 2020.</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expect to incur stock-based compensation of approximately $5.1 million to $6.7 million in fiscal year 2021 as a result of all compensatory equity issuances outstanding as of September 30,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Class A Common Stock</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Historically, for all periods prior to our initial public offering, the fair values of the shares of our Class A common stock underlying our share-based awards were determined on each grant date by our board of directors with input from management and the assistance of an independent third-party valuation specialist. Given the previous absence of a public trading market of our Class A common stock, and in accordance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our board of directors exercised reasonable judgment and considered numerous objective and subjective factors to determine the best estimate of the fair value of our Class A common stock at each grant date, including:</w:t>
      </w:r>
    </w:p>
    <w:p>
      <w:pPr>
        <w:spacing w:after="0" w:line="13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technology industry and trends within the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actual operating results and financial performance,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and business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U.S. market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21" w:right="379" w:bottom="1440" w:gutter="0" w:footer="0" w:header="0"/>
        </w:sectPr>
      </w:pPr>
    </w:p>
    <w:bookmarkStart w:id="85" w:name="page86"/>
    <w:bookmarkEnd w:id="8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lack of marketability of our Class A common stock.</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valuing our Class A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involves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12"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right="20" w:hanging="328"/>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Option Pricing Method (OPM).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difficult to predict and thus creates highly speculative forecasts.</w:t>
      </w:r>
    </w:p>
    <w:p>
      <w:pPr>
        <w:spacing w:after="0" w:line="132"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3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Based on our early stage of development and other relevant factors, we determined that an OPM was the most appropriate method for allocating our enterprise value to determine the estimated fair value of our Class A common stock for valuations during 2018 and 2019.</w:t>
      </w:r>
    </w:p>
    <w:p>
      <w:pPr>
        <w:spacing w:after="0" w:line="11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Starting in 2020, we used a hybrid method to determine the estimated fair value of our common stock, which included both the OPM and PWERM models.</w:t>
      </w:r>
    </w:p>
    <w:p>
      <w:pPr>
        <w:spacing w:after="0" w:line="116"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1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Following our initial public offering, the fair value of each share of underlying Class A common stock is determined based on the closing price as reported on the date of grant on the Nasdaq Global Select Market.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320" w:top="121" w:right="379" w:bottom="1440" w:gutter="0" w:footer="0" w:header="0"/>
        </w:sectPr>
      </w:pPr>
    </w:p>
    <w:bookmarkStart w:id="86" w:name="page87"/>
    <w:bookmarkEnd w:id="8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2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our initial public offering.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As a result of becoming a public company, we will be required, pursuant to Section 404 of the Sarbanes-Oxley Act of 2002, as amended, to furnish a report by our management on, among other things, the effectiveness of our internal control over financial reporting for first fiscal year 2021 or the date we are no longer an EGC as defined in the JOBS Act, if we take advantage (as we expect to do) of the exemptions for EGCs contained in the JOBS Act. This assessment will need to include disclosures of any material weaknesses identified by our management in our internal control over financial reporting.</w:t>
      </w:r>
    </w:p>
    <w:p>
      <w:pPr>
        <w:spacing w:after="0" w:line="14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audits of our financial statements included elsewhere in this prospectus, we and our independent registered public accounting firm identified material weaknesses related to:</w:t>
      </w:r>
    </w:p>
    <w:p>
      <w:pPr>
        <w:spacing w:after="0" w:line="116" w:lineRule="exact"/>
        <w:rPr>
          <w:sz w:val="20"/>
          <w:szCs w:val="20"/>
          <w:color w:val="auto"/>
        </w:rPr>
      </w:pPr>
    </w:p>
    <w:p>
      <w:pPr>
        <w:ind w:left="660" w:right="16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being insufficient accounting personnel to enable segregation of duties relating to the general ledger, disbursement, and certain accounting functions.</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not being formalized processes or controls for account reconciliations, including independent review of such reconciliations, or related financial statement analysis prepared in conformity with U.S. GAAP; and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there not being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are working to remediate the material weaknesses and are taking steps to strengthen our internal control over financial reporting through the hiring of additional finance and accounting personnel. With the additional personnel, we intend to take appropriate and reasonable steps to remediate these material weaknesses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320" w:top="121" w:right="399" w:bottom="1440" w:gutter="0" w:footer="0" w:header="0"/>
        </w:sectPr>
      </w:pPr>
    </w:p>
    <w:bookmarkStart w:id="87" w:name="page88"/>
    <w:bookmarkEnd w:id="8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implementation of appropriate segregation of duties, formalization of accounting policies and controls and retention of appropriate expertise for complex accounting transactions. However, we cannot assure you that these measures will significantly improve or remediate the material weaknesses described above. As of December 31, 2019, the material weaknesses have not been remediated.</w:t>
      </w:r>
    </w:p>
    <w:p>
      <w:pPr>
        <w:spacing w:after="0" w:line="13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actions that we are taking are subject to ongoing executive management review, and will also be subject to audit committee oversight. If we are unable to successfully remediate the material weakness, or if in the future, we identify further material weaknesses in our internal control over financial reporting, we may not detect errors on a timely basis and our financial statements may be materially misstated.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cash, cash equivalents and investments as of December 31, 2019 and September 30, 2020 consisted of $86.0 million and $121.5 million, respectively, in money market funds and U.S. Treasury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121" w:right="479" w:bottom="1440" w:gutter="0" w:footer="0" w:header="0"/>
        </w:sectPr>
      </w:pPr>
    </w:p>
    <w:bookmarkStart w:id="88" w:name="page89"/>
    <w:bookmarkEnd w:id="8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80" w:firstLine="324"/>
        <w:spacing w:after="0" w:line="269" w:lineRule="auto"/>
        <w:rPr>
          <w:sz w:val="20"/>
          <w:szCs w:val="20"/>
          <w:color w:val="auto"/>
        </w:rPr>
      </w:pPr>
      <w:r>
        <w:rPr>
          <w:rFonts w:ascii="Arial" w:cs="Arial" w:eastAsia="Arial" w:hAnsi="Arial"/>
          <w:sz w:val="17"/>
          <w:szCs w:val="17"/>
          <w:color w:val="auto"/>
        </w:rPr>
        <w:t>We aim to enable exceptional scientific outcomes by commercializing transformative products for researchers to unlock deep, unbiased biological information. Our initial product, the Proteograph Product Suite (Proteograph), will leverage our proprietary engineered nanoparticle (NP) technology to provide unbiased, deep, rapid and large-scale access across the proteome. Our Proteograph Product Suite is an integrated solution that is comprised of consumables, an automation instrument and software. Our Proteograph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2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 xml:space="preserve">Proteins are the functional units of all forms of life. While deoxyribonucleic acid (DNA) may be used as a static indicator of health risk, proteins are dynamic indicators of physiology and may be used to track health over time, gauge disease progression and monitor therapeutic response. Despite the central role proteins play in biology, the proteome is relatively unexplored compared to the genome, particularly the rich functional content that could be derived from large-scale proteomics studies. We believe large-scale characterization of the proteome has not been feasible with existing proteomics approaches, which broadly fall into two categories: (i) unbiased but not scalable, or (ii) scalable but biased. Current </w:t>
      </w:r>
      <w:r>
        <w:rPr>
          <w:rFonts w:ascii="Arial" w:cs="Arial" w:eastAsia="Arial" w:hAnsi="Arial"/>
          <w:sz w:val="16"/>
          <w:szCs w:val="16"/>
          <w:i w:val="1"/>
          <w:iCs w:val="1"/>
          <w:color w:val="auto"/>
        </w:rPr>
        <w:t>de novo</w:t>
      </w:r>
      <w:r>
        <w:rPr>
          <w:rFonts w:ascii="Arial" w:cs="Arial" w:eastAsia="Arial" w:hAnsi="Arial"/>
          <w:sz w:val="16"/>
          <w:szCs w:val="16"/>
          <w:color w:val="auto"/>
        </w:rPr>
        <w:t>, or unbiased, approaches require complex, lengthy, and labor- and capital-intensive workflows, which limit their scalability to small, under-powered studies, and require significant processing expertise. On the other hand, targeted or biased methods only enable interrogation of a limited number of known proteins per sample. Although biased approaches are scalable, they lack the breadth and depth necessary to appropriately characterize the proteome and catalog its many protein variants. Thus, we believe that proteomics researchers are forced into an unattractive trade-off between the number of samples in a study and the depth and breadth of the analysis. These trade-offs limit researchers’ abilities to advance characterization of the proteome to match the current characterization of the genome. We believe large-scale proteomic analysis is needed for a more complete understanding of biology.</w:t>
      </w:r>
    </w:p>
    <w:p>
      <w:pPr>
        <w:spacing w:after="0" w:line="11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Much like NGS enabled large-scale access to the genome and transformed science and medicine, we believe that widespread access to unbiased and deep proteomics will lead to novel biological insights, deepen understanding of health and disease, and aid functional characterization of genomic variants. We believe these capabilities appeal to a broad range of researchers and can lead to the creation of substantial end-market opportunities that may extend well beyond human health. We are initially focused on driving adoption of our Proteograph with customers in proteomics and genomics markets, who see the value of large-scale, unbiased, deep proteomics. Allied Market Research estimates the proteomics market was $32 billion in 2019. We believe that our Proteograph’s unique capabilities will enable researchers to undertake studies not possible today, particularly those of larger scale. We also believe that our Proteograph will complement genomics technologies by adding critical missing information that can provide functional context to genomic variation. According to the dbSNP database, approximately 695 million individual genetic variants have been identified to date; however, fewer than 0.2% of those variants have been cataloged in the ClinVar database with a reported relationship between variation and phenotype. We believe unbiased, deep and large-scale proteomics can help researchers map biological function of genomic variants, identify the most impactful disease and response-specific risk factors, and accelerate discovery of molecular mechanisms of health and disease. We believe these capabilities will broadly appeal to researchers and entities undertaking large-scale genomics studies. Therefore, we believe we will attract spending from the genomics market, estimated by Technavio to be $21 billion in 2019. In addition to the markets and applications that apply to current proteomics and genomics researchers, we believe our Proteograph is likely to lead to entirely new applications and market opportunities, much like NGS has done in genomics over the last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320" w:top="121" w:right="359" w:bottom="1440" w:gutter="0" w:footer="0" w:header="0"/>
        </w:sectPr>
      </w:pPr>
    </w:p>
    <w:bookmarkStart w:id="89" w:name="page90"/>
    <w:bookmarkEnd w:id="8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plan to initially focus on research applications for our Proteograph Product Suite and will sell and market our Proteograph for research use only (RUO). We plan to commercialize our Proteograph utilizing a three phase plan that has been shown to be effective and optimal for introducing disruptive products in numerous life sciences technology markets, including NGS. We are currently in the first phase, during which we will collaborate with a small number of key opinion leaders in proteomics, whose assessment and validation of products can significantly influence other researchers in their respective markets. Our first Proteograph was delivered to one of our first collaborators in October 2020, and we delivered a second Proteograph to a collaborator in December 2020. In consideration of our initial collaborators’ significant contributions to the development of our Proteograph Product Suite, including providing us with helpful data and feedback on our Proteograph, we have offered our early collaborators a special discount program for consumables that is not reflective of our expected commercial pricing. Additionally, we have provided these early collaborators with the ability to purchase our Proteograph automation instrument at a discount following the completion of the first phase of our commercialization plan. During the second phase, early access limited release, which we expect to commence in 2021, we plan to sell our Proteograph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commercial availability, in early 2022. During the second and third phases, we expect to sell our Proteograph at list prices though we may offer volume-based discounts on consumables, consistent with industry practice. We believe by following this approach we can appropriately scale our operations, deliver exceptional customer experiences, foster publications and develop a robust pipeline of customers to drive our revenue growth.</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Importance of Proteomics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Proteomics has been a key area of focus for researchers given the utility of the detailed and complex information to understanding biology that resides at the protein level. Virtually every function within a living organism occurs by the action of a protein or a group of proteins interacting with each other and working in concert. For example, enzymes catalyze chemical and biochemical reactions, hormones regulate cellular processes, receptors facilitate signal detection, antibodies provide immunity, and proteins also function in cellular and sub-cellular structure, storage, motility, and transport processes. Proteins are dynamic indicators of status and can be used to track a person’s health, disease progression and therapeutic response. By contrast, DNA is effectively a blueprint of what a person’s physiology could be, not an indicator of current physiological state. In short, DNA represents risk and proteins represent status.</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Despite the impact that proteins have on biology and physiology, the human proteome is relatively unexplored compared to the human genome. While the understanding of biology and disease mechanisms has advanced significantly over the past decade through large-scale data collection technologies, we believe these advances have mainly been in genomics. The widespread adoption of molecular profiling techniques, including NGS, has led to the identification of approximately 695 million genetic variations across all genomes that have been sequenced. Although this information has significantly improved the understanding of biology, the functional context at the protein level has not been established for the vast majority of this genomics information. In other words, researchers have not been able to connect phenotypic information with the relevant genotypic information. We believe that if we enable researchers to generate large bodies of proteomic data, to couple with large bodies of genomic data, they will be better positioned to understand the relationship between variation and function and its impact on biology.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121" w:right="359" w:bottom="1440" w:gutter="0" w:footer="0" w:header="0"/>
        </w:sectPr>
      </w:pPr>
    </w:p>
    <w:bookmarkStart w:id="90" w:name="page91"/>
    <w:bookmarkEnd w:id="9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031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Challenges of Accessing the Proteome</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human proteome is dynamic and far more complex and diverse in structure, composition and number of variants than either the genome or transcriptome. Starting from the genome, there are multiple biological steps that take place to arrive at the proteome, each step driving increasing complexity and diversity. The human genome of approximately 20,000 genes is estimated to give rise to 1,000,000 or more protein variants, in part because a single gene produces distinct ribonucleic acid (RNA) isoforms through the process of transcription and a myriad of structurally distinct proteins through the process of translation. Biological processes can further chemically modify these proteins in unique ways, resulting in a large number of protein variants through post-translational modifications. Overall, these processes result in many levels of protein diversity, from amino acid sequence and structural variations, to post-translational modifications (PTMs), to functional changes due to interactions between the proteins themselves, known as protein-protein interactions (PPIs). In addition, all of these forms of diversity can differ between states of health and disease. We believe the fundamental challenge with existing proteomics methods is their inability to measure the breadth and depth of the proteome’s complexity, rapidly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117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Image from Isabell Bludau et al. Proteomic and interactomic insights into the molecular basis of cell functional diversity. </w:t>
      </w:r>
      <w:r>
        <w:rPr>
          <w:rFonts w:ascii="Arial" w:cs="Arial" w:eastAsia="Arial" w:hAnsi="Arial"/>
          <w:sz w:val="14"/>
          <w:szCs w:val="14"/>
          <w:i w:val="1"/>
          <w:iCs w:val="1"/>
          <w:color w:val="auto"/>
        </w:rPr>
        <w:t>Nature Reviews Molecular Cell Biology</w:t>
      </w:r>
      <w:r>
        <w:rPr>
          <w:rFonts w:ascii="Arial" w:cs="Arial" w:eastAsia="Arial" w:hAnsi="Arial"/>
          <w:sz w:val="14"/>
          <w:szCs w:val="14"/>
          <w:color w:val="auto"/>
        </w:rPr>
        <w:t xml:space="preserv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21" w:right="359" w:bottom="1440" w:gutter="0" w:footer="0" w:header="0"/>
        </w:sectPr>
      </w:pPr>
    </w:p>
    <w:bookmarkStart w:id="91" w:name="page92"/>
    <w:bookmarkEnd w:id="9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Biased Approaches to Proteomics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Unlike DNA, proteins’ structures, chemistries and concentrations in any given sample are widely variable. Proteins also lack a direct amplification mechanism which creates technological challenges for identifying proteins at low concentration. This is different than DNA, which has an inherent and direct amplification mechanism for its replication, a mechanism that researchers have exploited with technologies such as polymerase chain reaction (PCR) for detection of DNA at low concentrations. Given the diversity of protein structures, coupled with the lack of a common amplification mechanism, researchers often use analyte-specific reagents (ASRs) to measure proteins. ASRs are ligands, such as antibodies, that have been designed to bind to specific areas of proteins, and therefore, involve a targeted or biased approach. This biased approach is limited in that ASRs do not have the capability to interrogate the entirety of the protein structure that they bind to and may not detect the presence of important protein variants. The average length of a human protein is approximately 470 amino acids, whereas the average binding site of an ASR is an epitope with a length of five to eight amino acids. ASRs cannot recognize differences between proteins outside of this small epitope binding site and therefore may not differentiate among protein variants. While a large number of ASRs can be designed to detect a large number of different proteins, because this approach is limited in its ability to measure protein variation, we believe that ASRs and other biased approaches are not optimal for discovery given the inherent protein complexity. This limitation of biased approaches is illustrated in the figure below where an antibody is unable to differentiate between two distinct variants of the same protein. If such variants are differentially related to health and disease, such approach may fail to discover important insights. Biased approaches, in general, are useful when the scientist or clinician knows what he or she is specifically analyzing. This is analogous to the role of PCR in genomics, which amplifies a specific DNA fragment in a targeted or biased manner to confirm the presence of a specific mutation, whereas NGS employs an unbiased approach to interrogate the breadth of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88900</wp:posOffset>
            </wp:positionV>
            <wp:extent cx="4500245" cy="213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02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of Current Unbiased Approaches to Proteomics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Rather than interrogating proteins at the amino acid level, there are unbiased approaches that interrogate proteins at the peptide level, providing amino-acid level resolution to protein variants. However, current unbiased approaches are limited by lack of scalability due to the vastly different concentrations of different proteins in samples. The concentration of proteins in plasma, for example, can span ten orders of magnitude from the most abundant protein, which is albumin, to some of the least abundant proteins, such as cytokines. The top 22 most abundant proteins account for approximately 99% of the total protein mass in the plasma, yet the many thousands of less abundant proteins comprising the other one percent of the total proteins by mass have significant impact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1" w:right="339" w:bottom="1440" w:gutter="0" w:footer="0" w:header="0"/>
        </w:sectPr>
      </w:pPr>
    </w:p>
    <w:bookmarkStart w:id="92" w:name="page93"/>
    <w:bookmarkEnd w:id="9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biology. Therefore, it is critical to be able to broadly and deeply detect proteins across the proteome, including those proteins that appear in low concentrations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82550</wp:posOffset>
            </wp:positionV>
            <wp:extent cx="4286250" cy="2657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62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 xml:space="preserve">Mass spectrometry (MS) can be used as an unbiased or biased detection technology, and has been used for detection of proteins and their variants for unbiased discovery, biased research and clinical applications. Given the varying dynamic range of protein concentrations in plasma and other biological samples, current MS methods for proteomic detection require complex sample preparation workflows that involve depletion of abundant proteins and grouping of the remaining proteins into smaller units through fractionation in order to measure deeper into the proteome. We believe current unbiased approaches are not widely adopted by researchers because the workflows, protocols and unit operations are extremely complex, the process is expensive and the time required to complete such analysis is significant. As one example of these complex methods, in a paper from </w:t>
      </w:r>
      <w:r>
        <w:rPr>
          <w:rFonts w:ascii="Arial" w:cs="Arial" w:eastAsia="Arial" w:hAnsi="Arial"/>
          <w:sz w:val="17"/>
          <w:szCs w:val="17"/>
          <w:i w:val="1"/>
          <w:iCs w:val="1"/>
          <w:color w:val="auto"/>
        </w:rPr>
        <w:t>Keshishian, H. et al.</w:t>
      </w:r>
      <w:r>
        <w:rPr>
          <w:rFonts w:ascii="Arial" w:cs="Arial" w:eastAsia="Arial" w:hAnsi="Arial"/>
          <w:sz w:val="17"/>
          <w:szCs w:val="17"/>
          <w:color w:val="auto"/>
        </w:rPr>
        <w:t>, the researchers first depleted the most abundant proteins with immuno-affinity columns and then separated the remaining proteins by many subsequent and complex chromatographic steps and mass spectrometer injections. This approach identified 4,500 different proteins, but only across 16 samples. The study took multiple months to complete.</w:t>
      </w:r>
    </w:p>
    <w:p>
      <w:pPr>
        <w:spacing w:after="0" w:line="12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critical unmet needs in proteomic analysis remain how to collect unbiased proteomic data on thousands of proteins in a sample spanning more than ten orders of dynamic range in concentration and how to do so in thousands of samples at a reasonable cost and in a reasonable amount of time. Genomics faced a similar unmet need before the advent of NGS, which allowed for massively parallel sampling.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Background of Massively Parallel Sampling</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ability to perform massively parallel sampling in biology has been transformational to researchers’ ability to perform large-scale and unbiased biological analysis. For example, before NGS, genomic approaches were not scalable to either read the entire genome or process very large numbers of samples. Researchers could only sequence hundreds of fragments of DNA or RNA at a time, and not easily in parallel. Genetic analysis was limited to biased, shallow genetic studies that were time-consuming and not scalable. As a result, researchers in genomics faced similar challenges that researchers currently face in proteomics. The introduction of NGS enabled massively parallel sampling of small fragments of DNA, allowing researchers to, in parallel, sequence tens of millions, and, through subsequent innovations, currently tens of billions, of fragments of DNA per sample. This transformative approach to sampling enabled genomic sequencing technologies to scale and created the path to genomic end-market opportunities, including basic research and discovery, translational research and clinical applications, including early cancer detection, recurrence monitoring and non-invasive prenatal testing. While there are no assurances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3" w:name="page94"/>
    <w:bookmarkEnd w:id="9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Proteograph will have the same effect on the proteomics market as NGS technologies have had on the genomics market, given the utility of proteins for measuring function, health and disease, we believe the same, if not a greater, market opportunity exists for providing unbiased, deep, rapid and scalable access to the proteome.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Engineered Nanoparticle Technology</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proprietary engineered NP technology overcomes the limitations of existing methods and is the foundation for our Proteograph Product Suite’s easy-to-use workflow for unbiased, deep, rapid and scalable proteomic analysis. Our approach is based on proprietary engineered NPs that enable unbiased and massively parallel sampling of intact proteins across the proteome, capturing a myriad of molecular information at the level of protein variants as well as PPIs. Our NPs are designed to eliminate the need for complex workflows required by other unbiased approaches, which we believe will make proteomics more accessible to the broader scientific community.</w:t>
      </w:r>
    </w:p>
    <w:p>
      <w:pPr>
        <w:spacing w:after="0" w:line="13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diameter of a nanoparticle is typically in the tens to hundreds of nanometers. As a reference, the diameter of the human hair is 80,000 nanometers. When nanoparticles are placed in contact with a biological sample, a thin layer of intact proteins rapidly, selectively and reproducibly adsorbs onto the surface of a nanoparticle upon contact, forming what is called a protein “corona.” Additional intact proteins can also join the corona layer by binding directly to a protein that has already attached to the nanoparticle through PPIs and intact protein complexes may also attach to the nanoparticle directly. Our NPs’ ability to capture whole and intact proteins and their many diverse variants provides access to protein structural information, including information on PPIs. At binding equilibrium, which occurs within minutes after our NPs come into contact with the protein, the selective sampling of proteins by our NPs is robust and highly reproducible.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98425</wp:posOffset>
            </wp:positionV>
            <wp:extent cx="5349240" cy="2065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protein sampling and binding of proteins to the nanoparticle surface are driven by three primary factors: (i) affinity of a given protein for a given nanoparticle’s physicochemical surface; (ii) concentration of a given protein in a biological sample; and (iii) affinity of the proteins for other proteins on the surface of the nanoparticle, forming PPIs. We can use a variety of different methods and materials to design and create different nanoparticles. Each nanoparticle can have distinct physicochemical properties that generate a unique protein corona pattern and a unique proteomic fingerprint. We can combine nanoparticles into panels to provide a representative and thorough sampling across the dynamic range of the proteome, from high to low abundance proteins. In effect, the properties of protein binding to a panel of nanoparticles are functionally equivalent to, and can replace, complex, biochemical laboratory workflows for the preparation of samples for deep, unbiased MS, and which enable the capture of thousands of proteins from biofluids for large-scale proteomics studies. Virtually any solubilized biological sample can be interrogated with nanoparticles, including cell or tissue homogenates, blood or blood components (such as plasma or serum, urine), saliva, cerebrospinal fluid and synovial fluid. The versatility of nanoparticles provides the opportunity to use a vast universe of different nanoparticles with different physicochemical properties to selectively, reproducibly and deeply sample the proteome in an unbiased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4" w:name="page95"/>
    <w:bookmarkEnd w:id="9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figure below illustrates the dynamic range of the proteome with high abundance proteins in the upper left of the curve and low abundance proteins in the lower right of the curve. Each of our unique nanoparticles has different physicochemical properties, which allows it to sample selectively across the breadth of the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143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NPs enable the unique capabilities of our Proteograph Product Suite, including the ability to:</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eliminate complex biofluid processing workflows required by other unbiased proteomic approaches;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sample in an unbiased manner across the dynamic range of the proteome in a variety of biological samples, including cell or tissue homogenates, blood or blood components (such as plasma or serum), urine, saliva, cerebrospinal fluid, and synovial fluid;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 and distinguish protein variants at the peptide level;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 and quantify protein variants and PPIs;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use machine learning to design, synthesize and select different NPs and NP panels to create multiple products and applications; and</w:t>
      </w:r>
    </w:p>
    <w:p>
      <w:pPr>
        <w:spacing w:after="0" w:line="182"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 compatible across a wide range of laboratory workflows, automation equipment and sample processing and detection methods, lowering the hurdle for product adoption.</w:t>
      </w:r>
    </w:p>
    <w:p>
      <w:pPr>
        <w:spacing w:after="0" w:line="11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 xml:space="preserve">We have validated our NP technology and the principle of protein corona formation as a robust and reproducible method to deeply and broadly profile the proteome in a high-throughput manner. In our recent publication in </w:t>
      </w:r>
      <w:r>
        <w:rPr>
          <w:rFonts w:ascii="Arial" w:cs="Arial" w:eastAsia="Arial" w:hAnsi="Arial"/>
          <w:sz w:val="18"/>
          <w:szCs w:val="18"/>
          <w:i w:val="1"/>
          <w:iCs w:val="1"/>
          <w:color w:val="auto"/>
        </w:rPr>
        <w:t>Nature Communications</w:t>
      </w:r>
      <w:r>
        <w:rPr>
          <w:rFonts w:ascii="Arial" w:cs="Arial" w:eastAsia="Arial" w:hAnsi="Arial"/>
          <w:sz w:val="18"/>
          <w:szCs w:val="18"/>
          <w:color w:val="auto"/>
        </w:rPr>
        <w:t xml:space="preserve"> (Blume et al.), we demonstrated a rapid, deep and precise profiling of the plasma proteome with our proprietary engineered NP technology.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Proteograph Product Suite</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proprietary engineered NP technology forms the basis for our first product, the Proteograph Product Suite. Our Proteograph is an integrated solution consisting of consumables, an automation instrument and software to perform unbiased, deep proteomic analysis at scale in a matter of hours. We designed our Proteograph to be efficient and easy-to-use, and to leverage broadly-used laboratory instrumentation to enable adoption in both decentralized and centralized settings and be widely available to life sciences researchers.</w:t>
      </w:r>
    </w:p>
    <w:p>
      <w:pPr>
        <w:spacing w:after="0" w:line="13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Proteograph consumables consist of our NP panel and all other consumables necessary to assay samples on our automation instrument. Our Proteograph automation instrument is custom-configured for researchers to assay samples in approximately seven hours, which includes thirty minutes of set-up time and six and a half hours of automated instrument time. The output from our automation instrument is peptides ready to be processed on an MS instrument, which is a widely-accessible platform for protein detection. The Proteograph Product Suite is detector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121" w:right="379" w:bottom="1440" w:gutter="0" w:footer="0" w:header="0"/>
        </w:sectPr>
      </w:pPr>
    </w:p>
    <w:bookmarkStart w:id="95" w:name="page96"/>
    <w:bookmarkEnd w:id="9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agnostic and, therefore, we believe, will be adaptable to other protein detection instruments in the future. The MS component of our Proteograph workflow is either provided by the researcher’s laboratory or can be outsourced to a third-party provider. We estimate that there are approximately 16,000 MS instruments with configurations typically used to perform proteomic analysis installed worldwide and, therefore, we believe that MS systems are readily accessible by researchers. Finally, we provide a data analytics software suite to analyze the output from the system that helps researchers interpret and gain insights into their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2254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our first Proteograph assay, we will employ a panel of five NPs. Our Proteograph consumables also include buffers and reagents for protein lysis and digestion, peptide purification and peptide quantification. We designed the performance specifications of our Proteograph to meet the core needs of the market in terms of protein coverage and sample throughput required for proteomic experiments that are unbiased and at-scale. The product will allow for the interrogation and processing of up to 16 samples by our five proprietary engineered NPs in parallel on a single 96-well plate in approximately seven hours. Eighty wells are arrayed in two groups of columns with eight samples and five particles in each column. The remaining 16 wells are for integrated quality control samples for gathering assay metrics and aid in troubleshooting. We include these quality controls because they greatly facilitate comparison of results across different assays, and also help to differentiate between anomalous versus accurate results in an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80645</wp:posOffset>
            </wp:positionV>
            <wp:extent cx="2057400" cy="22371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0" cy="223710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80"/>
          </w:cols>
          <w:pgMar w:left="320" w:top="121" w:right="399" w:bottom="1440" w:gutter="0" w:footer="0" w:header="0"/>
          <w:type w:val="continuous"/>
        </w:sectPr>
      </w:pPr>
    </w:p>
    <w:bookmarkStart w:id="96" w:name="page97"/>
    <w:bookmarkEnd w:id="9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ready availability of the non-particle reagents combined with our ability to efficiently and quickly design different NPs with different properties, greatly simplifies the development and production of future iterations or additional versions of our Proteograph assays to address potential customer needs, such as expanded coverage or specialized assays. Additionally, we can introduce new assays that include a different number of NPs and process different sample numbers. Our customers also can easily process the new assay using their existing Proteograph automation instrument, which allows for a greater number of samples to be analyzed in parallel, or additional NPs to analyze the proteome at greater depth.</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designed our NPs for robust performance in assays run on our Proteograph automation instrument, which is a custom-configured industry-standard liquid handling workstation. Our Proteograph instrument is designed to be robust and reproducible in its ability to consistently run experiments at the scale of hundreds to thousands of samples. Our instrument allows for rapid highly parallel proteomic sampling of multiple biosamples using multiple NPs on a 96-well plate. The assay protocol is fully automated after approximately thirty minutes of set-up time. The flexibility of our instrument, coupled with the inherent diversity of our NP technology, provides for many potential applications and study workflows that can suit particular experimental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77470</wp:posOffset>
            </wp:positionV>
            <wp:extent cx="3000375" cy="2400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0037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Proteograph automation instrument has been configured to process one full 96-well plate at a time. For our first Proteograph assay this translates into processing 16 samples in parallel for each 96-well plate run. Our Proteograph Instrument Control Software (PICS) for the Proteograph is fixed and tailored to our specified workflow. Each new Proteograph assay will be able to run on our same Proteograph automation instrument with a new NP panel and an accompanying software update. After an initial 30 minute set-up process, our first Proteograph assay runs for approximately six and one-half hours on our automation instrument. The output of our Proteograph assay and instrument is peptides that are quantified, dried, and reconstituted when ready to inject into a mass spectrometer for quantitative detection, either on an MS provided by the user or sent out for MS analysis to a third-party provider.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Proteograph software was designed for ease-of-use and was developed to help users arrive at insights quickly and efficiently following peptide detection by an MS instrument. To accommodate varying customer needs, we have designed our Proteograph software to be deployed as cloud-based and, in the future, on-premise. Both deployment options will provide a predefined workflow for data management and analysis that leverages publicly available MS data analysis tools. Without our software, the use of these tools requires expert knowledge and scalable high-performance computer infrastructure to run efficiently. We believe that our software could accelerate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121" w:right="379" w:bottom="1440" w:gutter="0" w:footer="0" w:header="0"/>
        </w:sectPr>
      </w:pPr>
    </w:p>
    <w:bookmarkStart w:id="97" w:name="page98"/>
    <w:bookmarkEnd w:id="9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adoption among non-proteomic experts by providing an intuitive user interface that automates and simplifies data handling, processing and analysis, and which provides access to a scalable infrastructure.</w:t>
      </w:r>
    </w:p>
    <w:p>
      <w:pPr>
        <w:spacing w:after="0" w:line="11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Another potential roadblock for researchers is understanding and evaluating the quality of their results. Our Proteograph assay incorporates a series of controls for monitoring quality of the assay. Our software provides an integrated view of the results of these control runs. Using the software, the customer can evaluate trends over time and implement performance boundaries around the expected values that flag unexpected outcomes in the data. Providing a simple, consistent interface for customers to evaluate the control data and generate a quality control (QC) report will help them understand our approach to QC in our Proteograph and simplify support. Eventually, user communities might provide an avenue for customers to share their experiences against the backdrop of a common environment and understanding.</w:t>
      </w:r>
    </w:p>
    <w:p>
      <w:pPr>
        <w:spacing w:after="0" w:line="12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expect that our Proteograph will enable generation of large volumes of proteomic data, and we have developed our Proteograph software to ensure that handling, management and analysis of data does not create new bottlenecks for researchers. Our Proteograph software offers ease of implementation and addresses key customer needs, which include analysis of raw MS data with pre-configured parameters, integrated QC reporting, the ability to visualize and download the primary data analysis, and statistical analysis tools. Our software is highly scalable and is designed to accommodate multi-instrument settings, rapidly expanding data volumes and emerging data analysis tools. Finally, as we continue to improve and extend our product portfolio, we expect to expand our Proteograph software suite to include advanced data analysis tools, including PPI analysis, mapping of PTMs, genetic polymorphisms, multi-omics integration, and systems biology framework analysis.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From Sample to Data Using our Proteograph Product Suite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Proteomic analysis using our Proteograph Product Suite has five primary steps:</w:t>
      </w:r>
    </w:p>
    <w:p>
      <w:pPr>
        <w:spacing w:after="0" w:line="171" w:lineRule="exact"/>
        <w:rPr>
          <w:sz w:val="20"/>
          <w:szCs w:val="20"/>
          <w:color w:val="auto"/>
        </w:rPr>
      </w:pPr>
    </w:p>
    <w:p>
      <w:pPr>
        <w:ind w:left="660" w:right="10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Particle-Matrix Association</w:t>
      </w:r>
      <w:r>
        <w:rPr>
          <w:rFonts w:ascii="Arial" w:cs="Arial" w:eastAsia="Arial" w:hAnsi="Arial"/>
          <w:sz w:val="18"/>
          <w:szCs w:val="18"/>
          <w:color w:val="auto"/>
        </w:rPr>
        <w:t>. NPs can be mixed with a wide variety of soluble biological sample types (matrices), including cell or tissue</w:t>
      </w:r>
      <w:r>
        <w:rPr>
          <w:rFonts w:ascii="Arial" w:cs="Arial" w:eastAsia="Arial" w:hAnsi="Arial"/>
          <w:sz w:val="18"/>
          <w:szCs w:val="18"/>
          <w:i w:val="1"/>
          <w:iCs w:val="1"/>
          <w:color w:val="auto"/>
        </w:rPr>
        <w:t xml:space="preserve"> </w:t>
      </w:r>
      <w:r>
        <w:rPr>
          <w:rFonts w:ascii="Arial" w:cs="Arial" w:eastAsia="Arial" w:hAnsi="Arial"/>
          <w:sz w:val="18"/>
          <w:szCs w:val="18"/>
          <w:color w:val="auto"/>
        </w:rPr>
        <w:t>homogenates, blood or blood components (such as plasma or serum), urine, saliva, cerebrospinal fluid, and synovial fluid. After combining the biosample and the NP, the mixture is incubated in a solution that mimics physiological conditions, producing protein-corona on the surface of the NPs.</w:t>
      </w:r>
    </w:p>
    <w:p>
      <w:pPr>
        <w:spacing w:after="0" w:line="13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Particle Wash</w:t>
      </w:r>
      <w:r>
        <w:rPr>
          <w:rFonts w:ascii="Arial" w:cs="Arial" w:eastAsia="Arial" w:hAnsi="Arial"/>
          <w:sz w:val="18"/>
          <w:szCs w:val="18"/>
          <w:color w:val="auto"/>
        </w:rPr>
        <w:t>. NPs are then captured by a magnetic field, after which they undergo repeated cycles of wash with buffer to remove unbound, or</w:t>
      </w:r>
      <w:r>
        <w:rPr>
          <w:rFonts w:ascii="Arial" w:cs="Arial" w:eastAsia="Arial" w:hAnsi="Arial"/>
          <w:sz w:val="18"/>
          <w:szCs w:val="18"/>
          <w:i w:val="1"/>
          <w:iCs w:val="1"/>
          <w:color w:val="auto"/>
        </w:rPr>
        <w:t xml:space="preserve"> </w:t>
      </w:r>
      <w:r>
        <w:rPr>
          <w:rFonts w:ascii="Arial" w:cs="Arial" w:eastAsia="Arial" w:hAnsi="Arial"/>
          <w:sz w:val="18"/>
          <w:szCs w:val="18"/>
          <w:color w:val="auto"/>
        </w:rPr>
        <w:t>loosely bound, proteins.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In-plate Digestion</w:t>
      </w:r>
      <w:r>
        <w:rPr>
          <w:rFonts w:ascii="Arial" w:cs="Arial" w:eastAsia="Arial" w:hAnsi="Arial"/>
          <w:sz w:val="18"/>
          <w:szCs w:val="18"/>
          <w:color w:val="auto"/>
        </w:rPr>
        <w:t>. Washed NPs are subject to enzymatic digestion to generate peptides, which are collected, quantified, dried and ready for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MS analysis.</w:t>
      </w:r>
    </w:p>
    <w:p>
      <w:pPr>
        <w:spacing w:after="0" w:line="11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Mass Spectrometry</w:t>
      </w:r>
      <w:r>
        <w:rPr>
          <w:rFonts w:ascii="Arial" w:cs="Arial" w:eastAsia="Arial" w:hAnsi="Arial"/>
          <w:sz w:val="18"/>
          <w:szCs w:val="18"/>
          <w:color w:val="auto"/>
        </w:rPr>
        <w:t>. The researcher prepares the digested peptides for measurement by dissolution in appropriate peptide reconstitution buffer</w:t>
      </w:r>
      <w:r>
        <w:rPr>
          <w:rFonts w:ascii="Arial" w:cs="Arial" w:eastAsia="Arial" w:hAnsi="Arial"/>
          <w:sz w:val="18"/>
          <w:szCs w:val="18"/>
          <w:i w:val="1"/>
          <w:iCs w:val="1"/>
          <w:color w:val="auto"/>
        </w:rPr>
        <w:t xml:space="preserve"> </w:t>
      </w:r>
      <w:r>
        <w:rPr>
          <w:rFonts w:ascii="Arial" w:cs="Arial" w:eastAsia="Arial" w:hAnsi="Arial"/>
          <w:sz w:val="18"/>
          <w:szCs w:val="18"/>
          <w:color w:val="auto"/>
        </w:rPr>
        <w:t>suitable for MS injection, at a volume and concentration that meets the researcher’s MS instrument and liquid chromatography gradient requirements.</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Data analysis. </w:t>
      </w:r>
      <w:r>
        <w:rPr>
          <w:rFonts w:ascii="Arial" w:cs="Arial" w:eastAsia="Arial" w:hAnsi="Arial"/>
          <w:sz w:val="18"/>
          <w:szCs w:val="18"/>
          <w:color w:val="auto"/>
        </w:rPr>
        <w:t>After data acquisition, typical MS analysis methods are employed within our Proteograph software to identify and quantify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and proteins in the sample. Quality control metrics are reported for the MS sample data, sample data summaries and output files are created, and initial cross-sample analyses are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121" w:right="359" w:bottom="1440" w:gutter="0" w:footer="0" w:header="0"/>
        </w:sectPr>
      </w:pPr>
    </w:p>
    <w:bookmarkStart w:id="98" w:name="page99"/>
    <w:bookmarkEnd w:id="9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805815</wp:posOffset>
            </wp:positionV>
            <wp:extent cx="4928870" cy="2048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88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Given the seven-hour run time per plate for our initial five-NP panel, our Proteograph Product Suite could process 48 samples in a 24-hour period for unbiased and deep proteomic analysis. By comparison, the workflows developed by leading proteomics labs can take as long as several days to weeks, for sample preparation for MS measurement to reach an equivalent depth of proteomic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91440</wp:posOffset>
            </wp:positionV>
            <wp:extent cx="5143500" cy="2194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Performance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four key technical attributes of our Proteograph Product Suite are its breadth of protein sampling, depth of coverage, accuracy and precision of measurement. In addition to its technical performance, our Proteograph automation instrument’s rapid throughput is an important characteristic to scale the number of samples assayed. We believe that our Proteograph Product Suite is the only product to provide these technical and operational capabilities in an integrated solution to enable large-scale proteomic analysis. As described below, we discuss the performance of our first Proteograph assay relative to existing unbiased proteomics methods across the technical attributes of breadth, depth, accuracy and precision of measurement and the operational aspect of throughput.</w:t>
      </w:r>
    </w:p>
    <w:p>
      <w:pPr>
        <w:spacing w:after="0" w:line="138" w:lineRule="exact"/>
        <w:rPr>
          <w:sz w:val="20"/>
          <w:szCs w:val="20"/>
          <w:color w:val="auto"/>
        </w:rPr>
      </w:pPr>
    </w:p>
    <w:p>
      <w:pPr>
        <w:ind w:left="660" w:right="60" w:hanging="328"/>
        <w:spacing w:after="0" w:line="25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Breadth of protein sampling. </w:t>
      </w:r>
      <w:r>
        <w:rPr>
          <w:rFonts w:ascii="Arial" w:cs="Arial" w:eastAsia="Arial" w:hAnsi="Arial"/>
          <w:sz w:val="18"/>
          <w:szCs w:val="18"/>
          <w:color w:val="auto"/>
        </w:rPr>
        <w:t>Breadth of protein sampling refers to our Proteograph Product Suite’s ability to conduct unbiased, highly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sampling of the proteome across its entire dynamic range, from high to low abundant proteins. Given the unique characteristics of our NPs, our Proteograph Product Suite allows for the unbiased highly parallel sampling of the proteome, and it does this across its entire dynamic range from high to low abundant proteins. Each uniquely engineered NP selectively captures hundreds of distinct intact proteins from a biosample based on their abundance and affinity for the NP surface. Our Proteograph</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60"/>
          </w:cols>
          <w:pgMar w:left="320" w:top="121" w:right="419" w:bottom="1440" w:gutter="0" w:footer="0" w:header="0"/>
          <w:type w:val="continuous"/>
        </w:sectPr>
      </w:pPr>
    </w:p>
    <w:bookmarkStart w:id="99" w:name="page100"/>
    <w:bookmarkEnd w:id="9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00"/>
        <w:spacing w:after="0" w:line="342" w:lineRule="auto"/>
        <w:rPr>
          <w:sz w:val="20"/>
          <w:szCs w:val="20"/>
          <w:color w:val="auto"/>
        </w:rPr>
      </w:pPr>
      <w:r>
        <w:rPr>
          <w:rFonts w:ascii="Arial" w:cs="Arial" w:eastAsia="Arial" w:hAnsi="Arial"/>
          <w:sz w:val="16"/>
          <w:szCs w:val="16"/>
          <w:color w:val="auto"/>
        </w:rPr>
        <w:t>leverages a panel of unique NPs to capture significantly more proteins and protein variants than current methods of unbiased proteomic analysis, as shown in the figure below. This advantage of our Proteograph Product Suite is particularly strong in complex biofluids such as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53340</wp:posOffset>
            </wp:positionV>
            <wp:extent cx="1285875" cy="3197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587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illustrated above, we compared our Proteograph Product Suite with other unbiased proteomics methods in a head-to-head experiment using the same biological sample. Neat plasma represents the simplest form of unbiased proteomic analysis, requiring minimal processing time, and resulted in a breadth of coverage of 312 proteins. By adding processing steps such as depletion of high abundance proteins and separation of the remaining proteins into multiple fractions (a process called fractionation), the breadth of protein sampling increased to 670 proteins. However, with our Proteograph, we detected 1,656 proteins in plasma, which represents a major expansion in breadth of protein coverage.</w:t>
      </w:r>
    </w:p>
    <w:p>
      <w:pPr>
        <w:spacing w:after="0" w:line="122" w:lineRule="exact"/>
        <w:rPr>
          <w:sz w:val="20"/>
          <w:szCs w:val="20"/>
          <w:color w:val="auto"/>
        </w:rPr>
      </w:pPr>
    </w:p>
    <w:p>
      <w:pPr>
        <w:ind w:left="660" w:hanging="328"/>
        <w:spacing w:after="0" w:line="270"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Depth of coverage. </w:t>
      </w:r>
      <w:r>
        <w:rPr>
          <w:rFonts w:ascii="Arial" w:cs="Arial" w:eastAsia="Arial" w:hAnsi="Arial"/>
          <w:sz w:val="17"/>
          <w:szCs w:val="17"/>
          <w:color w:val="auto"/>
        </w:rPr>
        <w:t>Depth of coverage refers to our Proteograph’s ability to evaluate the proteome across the wide dynamic range of abundance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proteins. The range from the most abundant to the least abundant protein in biological samples can vary greatly. In plasma, this range is estimated to be at least ten orders of magnitude, and the rich diversity of biology resides outside the most abundant proteins. Sampling across the entire dynamic range has been one of the seminal challenges in the field of proteomics. Conventional approaches to address this challenge have employed laborious depletion and fractionation methods, which can be avoided with the automated and scalable workflow of our Proteograph Product Suite. We compared the depth of coverage of our Proteograph with other unbiased proteomic methods in a head-to-head experiment, shown in the figure below. Our Proteograph samples proteins across the entire dynamic range of the plasma proteome, as defined in the Human Plasma Proteome Project database (Schwenk et al.), with the 75th percentile point of depth of coverage shown with the orange bar. The depth of coverage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80"/>
          </w:cols>
          <w:pgMar w:left="320" w:top="121" w:right="399" w:bottom="1440" w:gutter="0" w:footer="0" w:header="0"/>
        </w:sectPr>
      </w:pPr>
    </w:p>
    <w:bookmarkStart w:id="100" w:name="page101"/>
    <w:bookmarkEnd w:id="100"/>
    <w:p>
      <w:pPr>
        <w:ind w:left="8"/>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Proteograph reaches further into the low abundant proteins than the fractionation, depletion and neat plasma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1217295</wp:posOffset>
            </wp:positionH>
            <wp:positionV relativeFrom="paragraph">
              <wp:posOffset>117475</wp:posOffset>
            </wp:positionV>
            <wp:extent cx="4286250" cy="3111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625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8" w:hanging="328"/>
        <w:spacing w:after="0" w:line="271" w:lineRule="auto"/>
        <w:tabs>
          <w:tab w:leader="none" w:pos="323"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Accuracy of measurement. </w:t>
      </w:r>
      <w:r>
        <w:rPr>
          <w:rFonts w:ascii="Arial" w:cs="Arial" w:eastAsia="Arial" w:hAnsi="Arial"/>
          <w:sz w:val="17"/>
          <w:szCs w:val="17"/>
          <w:color w:val="auto"/>
        </w:rPr>
        <w:t>Accuracy refers to how close the measured abundance of a protein is to the true abundance in a sample. Accuracy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 abundance measurement can be demonstrated by MS signal intensity of the proteins sampled with our Proteograph, and comparing these values with measurements obtained directly by immuno-assay (ELISA). In the below experiment, purified C-Reactive Protein (CRP) was added or “spiked” in to plasma at levels of 2x, 5x, 10x, and 100x of the baseline measured levels for CRP in the plasma. These samples with known concentrations of CRP were then interrogated with our Proteograph Product Suite and ELISA. The figure shows the linearity of measurement of our Proteograph, as determined by MS signal intensity of four peptides within CRP when compared to the ELISA measurement of CRP. Our Proteograph assay can distinguish changes in protein abundance with significant accuracy, as demonstrated by a slope response approximately equal to one and an r-squared value greater than 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888"/>
          </w:cols>
          <w:pgMar w:left="652" w:top="121" w:right="359" w:bottom="1440" w:gutter="0" w:footer="0" w:header="0"/>
        </w:sectPr>
      </w:pPr>
    </w:p>
    <w:bookmarkStart w:id="101" w:name="page102"/>
    <w:bookmarkEnd w:id="101"/>
    <w:p>
      <w:pPr>
        <w:ind w:left="8"/>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805815</wp:posOffset>
            </wp:positionV>
            <wp:extent cx="2571750" cy="2143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28" w:hanging="328"/>
        <w:spacing w:after="0" w:line="287" w:lineRule="auto"/>
        <w:tabs>
          <w:tab w:leader="none" w:pos="323"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Precision of measurement. </w:t>
      </w:r>
      <w:r>
        <w:rPr>
          <w:rFonts w:ascii="Arial" w:cs="Arial" w:eastAsia="Arial" w:hAnsi="Arial"/>
          <w:sz w:val="16"/>
          <w:szCs w:val="16"/>
          <w:color w:val="auto"/>
        </w:rPr>
        <w:t>Precision refers to how close several measurements of protein abundance in the same sample are to each other.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precision in the measurement of a protein adds noise to an experiment, requiring a larger number of samples in the study to observe a true difference. Precision is typically measured as the coefficient of variation (CV%), or standard deviation divided by the mean times 100. Therefore, a lower CV% represents a more precise outcome. We compared the precision of our Proteograph with that of depletion, fractionation, and neat, by evaluating the same sample three times and calculating the CV% for the detected peptides and proteins. On average across the peptides, the median precision was 16.9 CV%. At this level of performance, our Proteograph has 80% statistical power to detect a 50% change in a peptide levels with only ten samples per sample group. Our Proteograph analysis shows lower CV%s than fractionation and depletion methods, which is notable since we achieve lower CV%s while concurrently sampling significantly more proteins, as shown in the figure below. In general, in unbiased assays, CV%s are expected to increase as the number of analytes detected increases. However, our Proteograph can increase the number of analytes that it detects while achieving comparatively better CV%s. Although neat plasma has a lower CV%, it is limited in the breadth of protein coverage to 312 proteins compared to 1,652 proteins sampled by our Proteograph.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83820</wp:posOffset>
            </wp:positionV>
            <wp:extent cx="1714500" cy="2640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848"/>
          </w:cols>
          <w:pgMar w:left="652" w:top="121" w:right="399" w:bottom="1440" w:gutter="0" w:footer="0" w:header="0"/>
        </w:sectPr>
      </w:pPr>
    </w:p>
    <w:bookmarkStart w:id="102" w:name="page103"/>
    <w:bookmarkEnd w:id="10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hanging="328"/>
        <w:spacing w:after="0" w:line="269" w:lineRule="auto"/>
        <w:tabs>
          <w:tab w:leader="none" w:pos="655"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Rapid and large-scale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Proteograph enables rapid and large-scale proteomic sample processing in a seven-hour workflow, compared to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unbiased solutions that can take days to weeks. We recently reviewed major published plasma and serum proteomics studies from 2016 to 2019 to compare protein coverage, throughput and sample size. We have compared the results of 14 published unbiased, deep proteomics studies with the results from our recent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paper (Blume et al.). While unbiased proteomics studies are vastly different in terms of their workflows, they may be considered more comparable in the quantifiable outputs of protein coverage, the amount of MS time required for the study and number of samples in the study. We only utilize the published MS time and did not account for up-front sample processing time. We examined these three outputs from the literature review against our published study. While we do not consider this to be a head-to-head comparison, it does provide general guidance to understand the comparative performance of our assay. We observed an average protein coverage of 1,960, with an average throughput of 1.5 proteins per minute, and average study size of 15 samples. This compares to our protein coverage of 2,094, a throughput of 14.2 proteins per minute, and study size of 141 samples. This advantage in throughput reflects only the MS time and does not include the additional throughput advantages of our Proteograph automation instrument, which enables simpler and faster sample processing, which is otherwise also a lengthy part of unbiased studies.</w:t>
      </w:r>
    </w:p>
    <w:p>
      <w:pPr>
        <w:spacing w:after="0" w:line="129"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We believe that our studies demonstrate that our Proteograph Product Suite has a unique combination of attributes spanning breadth, depth, accuracy and precision of measurement and throughput necessary for large-scale proteomics studies. We believe our Proteograph will broadly appeal to researchers seeking an easy to use, scalable approach for such studies.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proteome comprises millions of protein variants whose expression varies by cell, tissue, organ and system, as well as across time, and whose interaction with other proteins and biomolecules are essential to driving health and disease. No commercial product has existed that enables researchers to assess the proteome deeply, broadly, rapidly and at scale across thousands of samples. Despite this limitation, researchers rely on laborious, expensive and complex methods to survey as much of the proteome as they can. While NGS transformed life sciences end-markets through massively parallel access to the genome, lack of similar unbiased, deep, rapid and large-scale capabilities has to date evaded the field of proteomics. We believe our Proteograph enables such access to the proteome, and will allow researchers to undertake the scale of studies we believe are needed to understand the complexity of the proteome, and by extension biology.</w:t>
      </w:r>
    </w:p>
    <w:p>
      <w:pPr>
        <w:spacing w:after="0" w:line="14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believe the two primary near-term markets for our Proteograph are the proteomics market, which was $32 billion in 2019, according to Allied Market Research, and the genomics market, which was $21 billion in 2019, according to Technavio. Within these markets, potential applications of our Proteograph span basic research and discovery, translational research, diagnostics and applied applications. Of the $32 billion proteomics market, $25 billion is estimated to be spent on reagents, $5 billion on instruments, and $2 billion on services. In the near-term, we believe we will compete in both the proteomics reagent and instrument markets. Furthermore, the $21 billion genomics market consists of approximately $13 billion spent on products and $7 billion spent on services. In the near-term, we believe we will be able to garner spend from both products and services as genomic customers link genotype to phenotype by supplementing existing genomic data with proteomics data. While we initially plan to sell and market our Proteograph for RUO, we believe that the capabilities of our Proteograph Product Suite may enable our customers to use our Proteograph in other applications. While we currently do not intend to pursue clinical diagnostics applications, we may in the future seek premarket approval or clearance for our Proteograph in order to allow our customers to use our Proteograph in other product offerings. We believe that our Proteograph’s unique value proposition will resonate with proteomics researchers who already value deep and unbiased proteomic information, and who desire to scale experiments to far greater sample sizes at a fraction of the time and cost of current approaches. We also believe that as more genomics researchers incorporate other -omics approaches to elucidate key genomic findings, our Proteograph will uniquely provide large-scale, unbiased and deep proteomic information to complement genomic information, and enable researchers to gain a clearer picture of biology and a deeper understanding of genomic risk factors. Longer-term, we believe that the capabilities offered by our Proteograph and future products may potentially lead to new end-markets, applications, and business models that complement existing proteomics and genomics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21" w:right="359" w:bottom="1440" w:gutter="0" w:footer="0" w:header="0"/>
        </w:sectPr>
      </w:pPr>
    </w:p>
    <w:bookmarkStart w:id="103" w:name="page104"/>
    <w:bookmarkEnd w:id="10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805815</wp:posOffset>
            </wp:positionV>
            <wp:extent cx="5143500" cy="2837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Allied Market Research estimates the global proteomics market was $32 billion in 2019, and is expected to grow to $64 billion in 2024, representing a 15% compound annual growth rate. According to Allied Market Research, 60% of the proteomics market is focused on life sciences research, 35% for clinical applications and 5% other applications. Products in the proteomics market include spectrometry, microarray and chromatography instruments as well as reagents, used for both unbiased and biased proteomics. The majority of proteomic analysis to date either relies on biased or targeted methods or expensive, complex, and laborious unbiased 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deep methods that are applied only to tens of samples versus the thousands needed to power large-scale studies. Few methods are based on capture of intact proteins that enable analysis of proteome complexity at the level of amino acid variants, PTMs and PPIs, all of which have the potential to generate important biological insights. We believe the unique capabilities of our Proteograph will appeal to researchers either as a complement or substitute for current approaches, or in creating an entirely novel path to survey the proteome.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that we have an opportunity to provide a strong alternative to both unbiased and biased proteomics approaches, particularly in the discovery of new biology, and to grow the proteomics market by enabling new applications for unbiased proteomics. These applications currently span research, translational and clinical settings, and we believe that our Proteograph can address all these applications over time.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Genomics</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Technavio estimates the global genomics market was $21 billion in 2019 and is expected to grow to $38 billion by 2024, representing a 13% compound annual growth rate. Over the last fifteen years, application of large-scale genomics across the population has led to discovery of approximately 695 million individual human variants and it is expected the total number of such variants will only expand as more exomes and genomes are sequenced. However, despite this impressive rate of variant discovery, fewer than 0.2% of those variants have been cataloged in the ClinVar database with a reported relationship between genetic variation and phenotype. We believe that large-scale deep, unbiased proteomics studies, such as those our Proteograph could enable, will provide important missing biological information to improve functional characterization of genomic variants. In genomics markets, complementing large-scale genomics analysis with large-scale proteomic analysis has the potential to enhance and accelerate our understanding of biology, human health and ultimately the treatment of disease. Therefore, we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21" w:right="359" w:bottom="1440" w:gutter="0" w:footer="0" w:header="0"/>
        </w:sectPr>
      </w:pPr>
    </w:p>
    <w:bookmarkStart w:id="104" w:name="page105"/>
    <w:bookmarkEnd w:id="10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Proteograph can appeal to an increasing number of genomics customers, especially those in translational settings, who are looking to leverage multi-omics approaches to further annotate genomic variants in terms of function and connect genotype to phenotype.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Markets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also believe that our Proteograph Product Suite will enable novel applications and insights leading to new end-markets, similar to the impact that broad access to genomics products have had in creating new applications, end-markets and business models. For example, non-invasive prenatal testing and precision oncology currently make up a significant part of the current $21 billion genomics market, yet we believe that it would have been difficult to anticipate these market opportunities a decade ago. We believe the same dynamic of new market creation will occur in proteomics. One such application for proteomics is early disease detection. We recently spun out a new entity, PrognomIQ, Inc. (PrognomIQ), which aims to develop and commercialize novel diagnostic tests that leverage our Proteograph, in combination with genomics and metabolomics information, and will be a participant in the existing ecosystem of early disease detection. More broadly, we believe our Proteograph has the potential to further stimulate growth of new applications and end-markets in additional ecosystems.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Proteograph Product Suite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Proteograph Product Suite and its underlying NP technology have the following advantages:</w:t>
      </w:r>
    </w:p>
    <w:p>
      <w:pPr>
        <w:spacing w:after="0" w:line="171" w:lineRule="exact"/>
        <w:rPr>
          <w:sz w:val="20"/>
          <w:szCs w:val="20"/>
          <w:color w:val="auto"/>
        </w:rPr>
      </w:pPr>
    </w:p>
    <w:p>
      <w:pPr>
        <w:ind w:left="340" w:right="60" w:hanging="332"/>
        <w:spacing w:after="0" w:line="255"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Proteograph Product Suite is expected to be the first commercially available solution to provide the combination of unbiased, deep, rapid and large-scale access to the proteome. </w:t>
      </w:r>
      <w:r>
        <w:rPr>
          <w:rFonts w:ascii="Arial" w:cs="Arial" w:eastAsia="Arial" w:hAnsi="Arial"/>
          <w:sz w:val="18"/>
          <w:szCs w:val="18"/>
          <w:color w:val="auto"/>
        </w:rPr>
        <w:t>While other proteomics technologies exist today, we believe that our Proteograph is the first and only product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combination of these four attributes in a single integrated solution with an easy-to-use workflow. We believe these capabilities fill a gap that to date has been one of the rate-limiting steps in unlocking the complexity of biology. This creates a unique opportunity for us to drive widespread adoption of our Proteograph, transform proteomics and biological research, and establish our Proteograph as the industry standard for generating deep, unbiased proteomic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108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0" w:right="60" w:hanging="332"/>
        <w:spacing w:after="0" w:line="272" w:lineRule="auto"/>
        <w:tabs>
          <w:tab w:leader="none" w:pos="33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provides insight into protein variation and PPIs at a depth and scale that we believe sets a new standard for unbiased and deep proteomics, and is unattainable with other existing approaches. </w:t>
      </w:r>
      <w:r>
        <w:rPr>
          <w:rFonts w:ascii="Arial" w:cs="Arial" w:eastAsia="Arial" w:hAnsi="Arial"/>
          <w:sz w:val="17"/>
          <w:szCs w:val="17"/>
          <w:color w:val="auto"/>
        </w:rPr>
        <w:t>The ability to observe the myriad of possible protein variations,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go beyond simple total protein abundance, with the accuracy and precision necessary to extract useful insights across large numbers of subjects, is a key differentiating attribute of our Proteograph. Furthermore, capturing these variations at scale enables synergistic insights when combined with genomic variations, finally enabling the development of informative, individualized models of biology at population scale. As noted in the figure above, biased approaches can capture individual proteins at scale, but are not readily able to capture protein variants at scale. Current unbiased approaches are able to capture some protein variants at the peptide level and can capture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1" w:right="339" w:bottom="1440" w:gutter="0" w:footer="0" w:header="0"/>
        </w:sectPr>
      </w:pPr>
    </w:p>
    <w:bookmarkStart w:id="105" w:name="page106"/>
    <w:bookmarkEnd w:id="10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400"/>
        <w:spacing w:after="0" w:line="342" w:lineRule="auto"/>
        <w:rPr>
          <w:sz w:val="20"/>
          <w:szCs w:val="20"/>
          <w:color w:val="auto"/>
        </w:rPr>
      </w:pPr>
      <w:r>
        <w:rPr>
          <w:rFonts w:ascii="Arial" w:cs="Arial" w:eastAsia="Arial" w:hAnsi="Arial"/>
          <w:sz w:val="16"/>
          <w:szCs w:val="16"/>
          <w:color w:val="auto"/>
        </w:rPr>
        <w:t>polymorphisms and PTMs, but not at scale. Moreover, these unbiased approaches are not able to capture PPIs and protein pathway information at scale. We believe that our Proteograph is uniquely positioned to fully capture the breadth, depth and the complexity of the proteome at scale.</w:t>
      </w:r>
    </w:p>
    <w:p>
      <w:pPr>
        <w:spacing w:after="0" w:line="70" w:lineRule="exact"/>
        <w:rPr>
          <w:sz w:val="20"/>
          <w:szCs w:val="20"/>
          <w:color w:val="auto"/>
        </w:rPr>
      </w:pPr>
    </w:p>
    <w:p>
      <w:pPr>
        <w:ind w:left="340" w:right="200" w:hanging="332"/>
        <w:spacing w:after="0" w:line="271" w:lineRule="auto"/>
        <w:tabs>
          <w:tab w:leader="none" w:pos="335"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Our Proteograph Product Suite was designed to enable broad adoption across a wide variety of customers in both decentralized and centralized settings. </w:t>
      </w:r>
      <w:r>
        <w:rPr>
          <w:rFonts w:ascii="Arial" w:cs="Arial" w:eastAsia="Arial" w:hAnsi="Arial"/>
          <w:sz w:val="17"/>
          <w:szCs w:val="17"/>
          <w:color w:val="auto"/>
        </w:rPr>
        <w:t>Our Proteograph is an integrated solution comprised of consumables, an automation instrument and software, and was designed to deliver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ease-of-use, efficiency, robustness and reproducibility of results and to complement existing laboratory infrastructure. Our Proteograph’s simple and integrated workflow enables the customer to use their own MS instrument or leverage a widely available installed base of MS instruments . We estimate that there are approximately 16,000 MS instruments with configurations typically used to perform proteomic analysis installed worldwide. Since our Proteograph can leverage most MS instruments as a detector, we believe that we can take advantage of this installed base to accelerate adoption of our Proteograph. We believe these characteristics will facilitate broad adoption of our Proteograph across a variety of laboratories and institutions in both decentralized and centralized settings.</w:t>
      </w:r>
    </w:p>
    <w:p>
      <w:pPr>
        <w:spacing w:after="0" w:line="124" w:lineRule="exact"/>
        <w:rPr>
          <w:rFonts w:ascii="Arial" w:cs="Arial" w:eastAsia="Arial" w:hAnsi="Arial"/>
          <w:sz w:val="17"/>
          <w:szCs w:val="17"/>
          <w:color w:val="auto"/>
        </w:rPr>
      </w:pPr>
    </w:p>
    <w:p>
      <w:pPr>
        <w:ind w:left="340" w:right="20" w:hanging="332"/>
        <w:spacing w:after="0" w:line="290" w:lineRule="auto"/>
        <w:tabs>
          <w:tab w:leader="none" w:pos="335"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proprietary engineered NPs are a core technology from which we can develop a range of products, applications and platforms. </w:t>
      </w:r>
      <w:r>
        <w:rPr>
          <w:rFonts w:ascii="Arial" w:cs="Arial" w:eastAsia="Arial" w:hAnsi="Arial"/>
          <w:sz w:val="16"/>
          <w:szCs w:val="16"/>
          <w:color w:val="auto"/>
        </w:rPr>
        <w:t>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evaluated over 275 different NPs with diverse sets of physicochemical properties, from which our five NPs for our first Proteograph assay were selected. From our growing and diverse NP library, we can develop new arrays of NP consumables that address a variety of applications and customer needs. We plan to use machine learning techniques and apply large-scale data analyses of our NP binding properties to understand relationships between NP surfaces and protein binding and interactions in order to rationally design our NP panels. Our NPs are versatile and can be designed to work with different sample types from plasma to homogenized tissue and collect proteomic, molecular and other -omics information. We believe these characteristics will enable development of additional differentiated products to enable our customers to utilize applications across the life sciences industry, ranging from basic research and discovery, translational research, diagnostics and applied applications.</w:t>
      </w:r>
    </w:p>
    <w:p>
      <w:pPr>
        <w:spacing w:after="0" w:line="111" w:lineRule="exact"/>
        <w:rPr>
          <w:rFonts w:ascii="Arial" w:cs="Arial" w:eastAsia="Arial" w:hAnsi="Arial"/>
          <w:sz w:val="16"/>
          <w:szCs w:val="16"/>
          <w:color w:val="auto"/>
        </w:rPr>
      </w:pPr>
    </w:p>
    <w:p>
      <w:pPr>
        <w:ind w:left="340" w:hanging="332"/>
        <w:spacing w:after="0" w:line="293" w:lineRule="auto"/>
        <w:tabs>
          <w:tab w:leader="none" w:pos="335"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NP technology inherently provides significant operational leverage in research and development, manufacturing and commercialization. </w:t>
      </w:r>
      <w:r>
        <w:rPr>
          <w:rFonts w:ascii="Arial" w:cs="Arial" w:eastAsia="Arial" w:hAnsi="Arial"/>
          <w:sz w:val="16"/>
          <w:szCs w:val="16"/>
          <w:color w:val="auto"/>
        </w:rPr>
        <w:t>NPs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efficient to design, develop and manufacture. We believe we will be able to rapidly increase and deploy our understanding of NP design to develop new products with our software and data analytics capabilities. In the NP manufacturing process, we use well-characterized inputs and methods, which require relatively modest capital equipment and space investments. Since our core technology resides in the NP consumables, not the instrument, new products will often involve commercializing new NP assays and software that can be run on the existing instrumentation. This capital-efficient and labor-efficient model has the potential to provide significant operating leverage to our organization.</w:t>
      </w:r>
    </w:p>
    <w:p>
      <w:pPr>
        <w:spacing w:after="0" w:line="110" w:lineRule="exact"/>
        <w:rPr>
          <w:rFonts w:ascii="Arial" w:cs="Arial" w:eastAsia="Arial" w:hAnsi="Arial"/>
          <w:sz w:val="16"/>
          <w:szCs w:val="16"/>
          <w:color w:val="auto"/>
        </w:rPr>
      </w:pPr>
    </w:p>
    <w:p>
      <w:pPr>
        <w:ind w:left="340" w:right="120" w:hanging="332"/>
        <w:spacing w:after="0" w:line="291" w:lineRule="auto"/>
        <w:tabs>
          <w:tab w:leader="none" w:pos="335"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Our Proteograph Product Suite has the potential to provide sustainable differentiation. </w:t>
      </w:r>
      <w:r>
        <w:rPr>
          <w:rFonts w:ascii="Arial" w:cs="Arial" w:eastAsia="Arial" w:hAnsi="Arial"/>
          <w:sz w:val="16"/>
          <w:szCs w:val="16"/>
          <w:color w:val="auto"/>
        </w:rPr>
        <w:t>Our Proteograph is uniquely capable of generating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reproducible, deep and unbiased proteomic data, and as more of this data gets created over our time and used by more customers to generate insights, we expect to create a virtuous cycle that will fuel further adoption of our Proteograph throughout the industry. Our Proteograph was designed to fully integrate with customer workflows and provide a unique user experience, supported by our software packages, to create a sustainable solution within our customers’ organizations. Our Proteograph automation instrument and NP technology are covered by five issued patents and over 25 pending patent applications, worldwide, as of September 30, 2020, covering improvements in NPs, assay methods and ways to leverage proteomic data and information for life sciences research and clinical diagnostic and drug discovery applications.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aim to enable exceptional scientific outcomes by commercializing transformative products for researchers to unlock deep, unbiased biological information. Our growth strategy is to:</w:t>
      </w:r>
    </w:p>
    <w:p>
      <w:pPr>
        <w:spacing w:after="0" w:line="116" w:lineRule="exact"/>
        <w:rPr>
          <w:sz w:val="20"/>
          <w:szCs w:val="20"/>
          <w:color w:val="auto"/>
        </w:rPr>
      </w:pPr>
    </w:p>
    <w:p>
      <w:pPr>
        <w:ind w:left="340" w:right="920" w:hanging="332"/>
        <w:spacing w:after="0" w:line="277"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adoption of our Proteograph Product Suite to enable researchers to create large-scale unbiased proteomic datasets that generate transformative scientific insights. </w:t>
      </w:r>
      <w:r>
        <w:rPr>
          <w:rFonts w:ascii="Arial" w:cs="Arial" w:eastAsia="Arial" w:hAnsi="Arial"/>
          <w:sz w:val="18"/>
          <w:szCs w:val="18"/>
          <w:color w:val="auto"/>
        </w:rPr>
        <w:t>Our initial product, the Proteograph,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320" w:top="121" w:right="379" w:bottom="1440" w:gutter="0" w:footer="0" w:header="0"/>
        </w:sectPr>
      </w:pPr>
    </w:p>
    <w:bookmarkStart w:id="106" w:name="page107"/>
    <w:bookmarkEnd w:id="106"/>
    <w:p>
      <w:pPr>
        <w:ind w:left="332"/>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32" w:right="60"/>
        <w:spacing w:after="0" w:line="273" w:lineRule="auto"/>
        <w:rPr>
          <w:sz w:val="20"/>
          <w:szCs w:val="20"/>
          <w:color w:val="auto"/>
        </w:rPr>
      </w:pPr>
      <w:r>
        <w:rPr>
          <w:rFonts w:ascii="Arial" w:cs="Arial" w:eastAsia="Arial" w:hAnsi="Arial"/>
          <w:sz w:val="17"/>
          <w:szCs w:val="17"/>
          <w:color w:val="auto"/>
        </w:rPr>
        <w:t>uniquely enables researchers and clinicians to generate unbiased, deep proteomic information at speed and scale which are not possible today. The utility and potential applications of these capabilities are broad, spanning across basic research and discovery, translational research, diagnostics and applied applications. We believe our first NP assay for our Proteograph is particularly well suited to address the core needs of researchers focused on basic and translational research and diagnostics. We intend to drive adoption of our Proteograph through a three phase commercial launch plan that includes an initial collaboration phase with key opinion leaders, then an early access limited availability phase in 2021 to initiate and build momentum of customer references, and finally broad commercial availability in early 2022.</w:t>
      </w:r>
    </w:p>
    <w:p>
      <w:pPr>
        <w:spacing w:after="0" w:line="124" w:lineRule="exact"/>
        <w:rPr>
          <w:sz w:val="20"/>
          <w:szCs w:val="20"/>
          <w:color w:val="auto"/>
        </w:rPr>
      </w:pPr>
    </w:p>
    <w:p>
      <w:pPr>
        <w:ind w:left="332" w:right="20" w:hanging="332"/>
        <w:spacing w:after="0" w:line="254" w:lineRule="auto"/>
        <w:tabs>
          <w:tab w:leader="none" w:pos="327"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market development activities to increase awareness of the importance of large-scale proteomic data and the ability to access it</w:t>
      </w:r>
      <w:r>
        <w:rPr>
          <w:rFonts w:ascii="Arial" w:cs="Arial" w:eastAsia="Arial" w:hAnsi="Arial"/>
          <w:sz w:val="18"/>
          <w:szCs w:val="18"/>
          <w:color w:val="auto"/>
        </w:rPr>
        <w:t>.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and accelerate demand for our products, particularly as new applications are created and adopted by customers, we plan to invest in market development activities to educate prospective customers, funding bodies, commercial entities, government-sponsored -omics programs, and other stakeholders of the importance and value of large-scale unbiased and deep proteomic data. These activities will likely include collaborations with key opinion leaders, generation of peer-reviewed publications, sponsorship of targeted projects, joint publications and seminars, and industry partnerships. These activities aim to establish the value of large-scale unbiased and deep proteomic data, and demonstrate the unique capabilities offered by our products.</w:t>
      </w:r>
    </w:p>
    <w:p>
      <w:pPr>
        <w:spacing w:after="0" w:line="140" w:lineRule="exact"/>
        <w:rPr>
          <w:rFonts w:ascii="Arial" w:cs="Arial" w:eastAsia="Arial" w:hAnsi="Arial"/>
          <w:sz w:val="18"/>
          <w:szCs w:val="18"/>
          <w:color w:val="auto"/>
        </w:rPr>
      </w:pPr>
    </w:p>
    <w:p>
      <w:pPr>
        <w:ind w:left="332" w:hanging="332"/>
        <w:spacing w:after="0" w:line="255" w:lineRule="auto"/>
        <w:tabs>
          <w:tab w:leader="none" w:pos="327"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Continually innovate to develop and commercialize additional transformative products to access the proteome and accelerate our understanding of biology</w:t>
      </w:r>
      <w:r>
        <w:rPr>
          <w:rFonts w:ascii="Arial" w:cs="Arial" w:eastAsia="Arial" w:hAnsi="Arial"/>
          <w:sz w:val="18"/>
          <w:szCs w:val="18"/>
          <w:color w:val="auto"/>
        </w:rPr>
        <w:t>. We aim to continually innovate and develop new products, applications, workflows and analysis tools that simplify and accelerate researchers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clinicians’ ability to generate proteomic data and to connect proteomic data to genomic and transcriptomic data that drive novel biological insights. As leaders in NGS have demonstrated, our sustainable advantage will come from continual development and commercialization of new products and applications based on our technology, and we will drive innovation through both internal R&amp;D projects and from collaborations with customers and partners.</w:t>
      </w:r>
    </w:p>
    <w:p>
      <w:pPr>
        <w:spacing w:after="0" w:line="138" w:lineRule="exact"/>
        <w:rPr>
          <w:rFonts w:ascii="Arial" w:cs="Arial" w:eastAsia="Arial" w:hAnsi="Arial"/>
          <w:sz w:val="18"/>
          <w:szCs w:val="18"/>
          <w:color w:val="auto"/>
        </w:rPr>
      </w:pPr>
    </w:p>
    <w:p>
      <w:pPr>
        <w:ind w:left="332" w:right="120" w:hanging="332"/>
        <w:spacing w:after="0" w:line="296" w:lineRule="auto"/>
        <w:tabs>
          <w:tab w:leader="none" w:pos="327"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build our commercial infrastructure and NP manufacturing capabilities to provide for our commercial launch in the United States and internationally. </w:t>
      </w:r>
      <w:r>
        <w:rPr>
          <w:rFonts w:ascii="Arial" w:cs="Arial" w:eastAsia="Arial" w:hAnsi="Arial"/>
          <w:sz w:val="16"/>
          <w:szCs w:val="16"/>
          <w:color w:val="auto"/>
        </w:rPr>
        <w:t>We are initially building our commercial infrastructure to sell and support our products directly in the United States, the European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Union and United Kingdom. We expect to expand access to our products in other geographies, starting with select countries in Asia Pacific through distributors, and eventually to the rest of the world. We are also scaling our NP manufacturing capabilities in our facility in Redwood City, California, and will continually evaluate and optimize our manufacturing and supply chain footprint to meet our business objectives.</w:t>
      </w:r>
    </w:p>
    <w:p>
      <w:pPr>
        <w:spacing w:after="0" w:line="107" w:lineRule="exact"/>
        <w:rPr>
          <w:rFonts w:ascii="Arial" w:cs="Arial" w:eastAsia="Arial" w:hAnsi="Arial"/>
          <w:sz w:val="16"/>
          <w:szCs w:val="16"/>
          <w:color w:val="auto"/>
        </w:rPr>
      </w:pPr>
    </w:p>
    <w:p>
      <w:pPr>
        <w:ind w:left="332" w:right="40" w:hanging="332"/>
        <w:spacing w:after="0" w:line="291" w:lineRule="auto"/>
        <w:tabs>
          <w:tab w:leader="none" w:pos="327"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creation of an ecosystem of customers, partners and collaborators whose expertise and offerings complement and enhance the power and utility of our products. </w:t>
      </w:r>
      <w:r>
        <w:rPr>
          <w:rFonts w:ascii="Arial" w:cs="Arial" w:eastAsia="Arial" w:hAnsi="Arial"/>
          <w:sz w:val="16"/>
          <w:szCs w:val="16"/>
          <w:color w:val="auto"/>
        </w:rPr>
        <w:t>We intend to seed and develop a new ecosystem of applications and organizations that can take advantage of large-scale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proteomic analysis. This ecosystem can include areas such as disease detection, large-scale population studies, agriculture, environmental monitoring and food safety. Much as we have seen large-scale genomic analysis spur new innovations in non-invasive prenatal testing, early cancer detection and recurrence monitoring, we believe large-scale proteomics will enhance these markets and spur the development of new markets and applications. To help seed the growth of this ecosystem, we recently spun-out a new company called PrognomIQ, which plans to develop and commercialize diagnostic tests for early disease detection, leveraging our Proteograph in combination with other -omics technologies.</w:t>
      </w:r>
    </w:p>
    <w:p>
      <w:pPr>
        <w:spacing w:after="0" w:line="112" w:lineRule="exact"/>
        <w:rPr>
          <w:rFonts w:ascii="Arial" w:cs="Arial" w:eastAsia="Arial" w:hAnsi="Arial"/>
          <w:sz w:val="16"/>
          <w:szCs w:val="16"/>
          <w:color w:val="auto"/>
        </w:rPr>
      </w:pPr>
    </w:p>
    <w:p>
      <w:pPr>
        <w:ind w:left="332" w:right="20" w:hanging="332"/>
        <w:spacing w:after="0" w:line="273" w:lineRule="auto"/>
        <w:tabs>
          <w:tab w:leader="none" w:pos="327"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proprietary engineered NP technology to analyze molecules beyond proteins. </w:t>
      </w:r>
      <w:r>
        <w:rPr>
          <w:rFonts w:ascii="Arial" w:cs="Arial" w:eastAsia="Arial" w:hAnsi="Arial"/>
          <w:sz w:val="17"/>
          <w:szCs w:val="17"/>
          <w:color w:val="auto"/>
        </w:rPr>
        <w:t>Given the inherent flexibility and ability to synthesize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myriad NPs, we intend to seek over the long-term to expand the scope of our propriety engineered NP technology to analyze other biomolecules such nucleic acids, metabolites and small molecules among others. As we continue to work closely with our initial and future customers, we will better understand their needs and requirements, which will inform our product development pathway and development of our library of NPs and our software capabilities to address other -omics applications. We believe our management’s knowledge and experience in both the proteomics and genomics markets will position us to take advantage of such new expansion opportunities as they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32"/>
          </w:cols>
          <w:pgMar w:left="328" w:top="121" w:right="339" w:bottom="1440" w:gutter="0" w:footer="0" w:header="0"/>
        </w:sectPr>
      </w:pPr>
    </w:p>
    <w:bookmarkStart w:id="107" w:name="page108"/>
    <w:bookmarkEnd w:id="10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Applications of our Proteograph Product Suite</w:t>
      </w:r>
    </w:p>
    <w:p>
      <w:pPr>
        <w:spacing w:after="0" w:line="17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believe the ability to generate unbiased, deep proteomic data at scale, with rich content at the protein variant level will have broad applications in proteomics, encompassing basic research and discovery, translational research, diagnostics and applied markets. We believe this data will be used in many of the same application areas as are used with genomics data, proteomics applications that are uniquely possible with unbiased proteomic data, and in new applications that the field will develop in the future.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We believe that researchers will use our Proteograph for a variety of basic research and discovery applications, including cataloging protein diversity, proteogenomics and exploring the interactome. While researchers are pursing these applications today, the studies are either limited in scale due to the complex workflows of current unbiased methods or the limited set of ASRs that are available for biased methods. Our Proteograph is designed to enable the use of unbiased proteomic data at scale, which we believe will greatly accelerate these areas of basic research and discovery.</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Cataloging protein diversity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Proteograph is designed to enable researchers to broadly explore the complexity and diversity of the proteome at the peptide and amino acid levels and discover many distinct protein variants. This is analogous to how NGS enabled genomic researchers to change their experimental focus from exploring genes to exploring exons and nucleotides, revealing approximately 695 million genetic variants to date. We expect that researchers will use our Proteograph to catalog these protein variants much like the cataloging of genetic variants that occurred over the past fifteen years, and this will uniquely provide functional context at a scale that is not accessible today with other proteomics methods. We believe the utility of these protein variants has the potential to impact a broad spectrum of the life sciences field.</w:t>
      </w:r>
    </w:p>
    <w:p>
      <w:pPr>
        <w:spacing w:after="0" w:line="138"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 xml:space="preserve">The figure below shows the type of protein cataloging possible with our Proteograph Product Suite. Interrogating the protein data from our previously published work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(Blume et al.), we illustrate below that our Proteograph can identify a range of peptides for the proteins in plasma samples from lung cancer patients and healthy controls, which is not feasible or practical using a biased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79375</wp:posOffset>
            </wp:positionV>
            <wp:extent cx="2571750" cy="2537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21" w:right="339" w:bottom="1440" w:gutter="0" w:footer="0" w:header="0"/>
        </w:sectPr>
      </w:pPr>
    </w:p>
    <w:bookmarkStart w:id="108" w:name="page109"/>
    <w:bookmarkEnd w:id="10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the following figure, we have analyzed the Bone Morphogenic Protein 1 (BMP1) gene, which is known to have seven variants at the RNA level from alternative splicing and four variants at the protein level. Of these four variants, two are the long form and two are the short form of the BMP1 protein. Among the peptides that our Proteograph detected in this study, six specific peptides came from various parts of BMP1. Interestingly, the short form of the BMP1 protein was expressed predominantly in cancer patients, whereas the long forms of the protein were seen more often among the healthy controls. According to Pubmed, this observation has not been previously reported in the literature and may merit further investigation for the potential role of different BMP1 protein variants in health and cancer. We believe that researchers will therefore use our Proteograph to pursue large-scale proteomics studies in order to generate data that may link disease biology to protein variants produced from alternative RNA splicing, alternative transcription and from PTMs.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96520</wp:posOffset>
            </wp:positionV>
            <wp:extent cx="4714875" cy="3437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1487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cataloging protein variants, researchers can also gain valuable insights with PTMs, such as phosphorylation. These PTMs are dynamic and the resulting protein variants can be seen with different states of health and disease. The figure below shows the differences in the ratio of phosphorylated to unphosphorylated states of a specific peptide within Heparin Co-factor 2 across 14 samples taken from each group of early and late stage lung cancer patients, healthy and comorbid controls. We show that the phosphorylation state of this peptide may vary as the disease state varies. Heparin Co-factor 2 has been previously shown to play a role in cancer and is associated with over-expression in lung cancer (Liao et al.). The phosphorylation observations below may merit further investigation for their roles in lung cancer. We believe that as researchers pursue large-scale proteomics studies, the literature that links disease biology to protein variants produced from alternative RNA splicing and from PTMs will exponentially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121" w:right="439" w:bottom="1440" w:gutter="0" w:footer="0" w:header="0"/>
        </w:sectPr>
      </w:pPr>
    </w:p>
    <w:bookmarkStart w:id="109" w:name="page110"/>
    <w:bookmarkEnd w:id="10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805815</wp:posOffset>
            </wp:positionV>
            <wp:extent cx="1714500" cy="2768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Proteogenomics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Proteogenomics is an emerging area of research, whereby personalized protein sequence databases are generated using genomic and transcriptomic information to help identify novel peptides. In turn, the proteomic data provides functional context to genomic information and refines gene expression models for transcriptomic information. Our Proteograph generates large-scale unbiased proteomic data, which will facilitate mapping protein variants to genomic variants, and therefore, the advancement of the emerging proteogenomics field. As an example, we performed individual exon-based sequencing on 29 patient samples from our previously published proteomics work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(Blume et al.) to enable proteogenomic analysis on these samples and evaluate additional protein variants that could be revealed with the addition of genomic information. As shown in the left panel of the figure below, the sequencing information from these 29 samples, coupled to matching unbiased and deep analyses of the samples’ proteomic data using our Proteograph, yielded an average of approximately 70 predicted and confirmed peptide variations per sample. The right panel of the figure shows a subject who is heterozygous at the KLKB1 gene, which codes for the prekallikrein protein. This subject has both the reference allele for KLKB1 and a minor allele with a frequency of 0.01% in the population, resulting in a glycine to arginine amino acid change in the prekallikrein. Interestingly, we identified both prekallikrein variants in the plasma sample of this subject. Given the current level of access to genomic and transcriptomic information, as researchers conduct the large-scale proteomics studies that our Proteograph enables, we expect proteogenomic content to rapidly increase, providing functional information to existing genomics and gene expression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320" w:top="121" w:right="379" w:bottom="1440" w:gutter="0" w:footer="0" w:header="0"/>
        </w:sectPr>
      </w:pPr>
    </w:p>
    <w:bookmarkStart w:id="110" w:name="page111"/>
    <w:bookmarkEnd w:id="11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6574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Interactome</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interactome refers to the broad set of interaction networks among molecules, such as those interactions among proteins, also referred to as protein-protein interactions, or PPIs. Protein interaction networks have been used to infer the function of proteins. Different types of interaction maps can be composed by the research community for different applications. These include physical interactions or the functional pathway implications of these interactions. PPI network maps can be constructed by pegging individual proteins as nodes and linking proteins that interact to them by a drawn line. These maps naturally cluster into hubs of proteins that fall into related pathways or have related functions.</w:t>
      </w:r>
    </w:p>
    <w:p>
      <w:pPr>
        <w:spacing w:after="0" w:line="12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We interrogated the plasma proteome of 276 subjects across early- and late-stage non-small-cell lung carcinoma (NSCLC), co-morbid and healthy controls. These subjects are a subset of those described in our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publication (Blume et al.). Using proteins detected in these samples, we analyzed potential PPI interactions using the STRING PPI database (Szklarczyk et al.). In the figure below, we show a map of healthy versus early- and late-stage NSCLC where each protein is represented as a node and colored by its relative abundance. Green represents high abundance of proteins and red represents low abundance relative to the average abundance of the proteins across the samples. Multiple nodes can group together forming hubs with related common pathways or functions. Correlated changes in the abundance of proteins in these hubs may represent functional changes between health and disease. We highlight three hubs in the figure below with turquoise circles, and show changes depending upon health and disease state. Examination of the hubs can suggest biological hypotheses for the change in quantities. For example, the proteins in the central cluster are associated with Golgi vesicle transport, which is potentially linked to NSCLC. Access to the deep unbiased proteomic information provided by our Proteograph may enable researchers to better understand biological implications of known PPIs. Furthermore, given our highly parallel sampling of the proteome across multiple NPs and many samples, we believe researchers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21" w:right="339" w:bottom="1440" w:gutter="0" w:footer="0" w:header="0"/>
        </w:sectPr>
      </w:pPr>
    </w:p>
    <w:bookmarkStart w:id="111" w:name="page112"/>
    <w:bookmarkEnd w:id="11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Proteograph may be able to leverage machine learning methods on the resulting large data sets to derive novel PPIs.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88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Applications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Researchers can use our Proteograph to address translational research applications, which aim to shorten the cycle time from early discovery research to clinical application. Our Proteograph allows clinical and translational researchers to conduct unbiased, deep and large-scale proteomics studies in therapeutic and diagnostic research and clinical trials, which can allow for significant advances in biomarker discovery, target identification and exploration, and clinical trial applications.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To date, most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biomarker discovery research is limited by the size of studies that can be done in an unbiased way, or limited to targeted studies that leverage existing knowledge. These approaches have yet to uncover the vast number of putative biomarkers that may be available as single markers or as combinations of markers for a range of clinical applications. We believe our Proteograph can greatly enable the discovery of biomarkers through large-scale, unbiased and deep proteomics studies.</w:t>
      </w:r>
    </w:p>
    <w:p>
      <w:pPr>
        <w:spacing w:after="0" w:line="13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The utility of our Proteograph for exploration of potential biomarkers is illustrated in a proof-of-principle study in lung-cancer, as published in </w:t>
      </w:r>
      <w:r>
        <w:rPr>
          <w:rFonts w:ascii="Arial" w:cs="Arial" w:eastAsia="Arial" w:hAnsi="Arial"/>
          <w:sz w:val="17"/>
          <w:szCs w:val="17"/>
          <w:i w:val="1"/>
          <w:iCs w:val="1"/>
          <w:color w:val="auto"/>
        </w:rPr>
        <w:t>Nature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Communications </w:t>
      </w:r>
      <w:r>
        <w:rPr>
          <w:rFonts w:ascii="Arial" w:cs="Arial" w:eastAsia="Arial" w:hAnsi="Arial"/>
          <w:sz w:val="17"/>
          <w:szCs w:val="17"/>
          <w:color w:val="auto"/>
        </w:rPr>
        <w:t>(Blume et al.). In this study, approximately 2,000 proteins were quantified across 141 subjects comprising early stage lung cancer (i.e.,</w:t>
      </w:r>
      <w:r>
        <w:rPr>
          <w:rFonts w:ascii="Arial" w:cs="Arial" w:eastAsia="Arial" w:hAnsi="Arial"/>
          <w:sz w:val="17"/>
          <w:szCs w:val="17"/>
          <w:i w:val="1"/>
          <w:iCs w:val="1"/>
          <w:color w:val="auto"/>
        </w:rPr>
        <w:t xml:space="preserve"> </w:t>
      </w:r>
      <w:r>
        <w:rPr>
          <w:rFonts w:ascii="Arial" w:cs="Arial" w:eastAsia="Arial" w:hAnsi="Arial"/>
          <w:sz w:val="17"/>
          <w:szCs w:val="17"/>
          <w:color w:val="auto"/>
        </w:rPr>
        <w:t>Stages 1, 2 or 3) and age- and gender-matched non-cancer controls. Machine-learning-based classifiers were developed. Plotting the sensitivity and specificity levels of our classifiers in a receiver operating characteristic (ROC) curve, we achieved a mean Area Under the Curve (AUC) of 0.91 on a scale from 1.0 (i.e., perfect) to 0.5 (i.e., random), as shown in the left panel of the figure below. In the right panel of the figure below, we show the most important classifiers in the study, with accompanying OpenTargets scores, where a score of one represents a validated target for a drug that is on-market, and a score of zero represents a target with no known target validation data in the literature. In our study, our Proteograph identified proteins with high OpenTargets scores such as tubulin 1-alpha and syndecin 1; the former is the molecular target for paclitaxel used in first-line therapy for NSCLC, and the latter is a molecular target for an antibody-drug conjugate, indatuximab ravtansine, currently in clinical trials for different cancer types. Our Proteograph identified proteins with low OpenTargets scores, and these could represent novel biomarker candidates for therapeutics and diagnostics development. A study of this size can be completed using our Proteograph in a fraction of the time of conventional methods, thus highlighting the efficiency of our Proteograph in biomarker discovery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121" w:right="439" w:bottom="1440" w:gutter="0" w:footer="0" w:header="0"/>
        </w:sectPr>
      </w:pPr>
    </w:p>
    <w:bookmarkStart w:id="112" w:name="page113"/>
    <w:bookmarkEnd w:id="11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805815</wp:posOffset>
            </wp:positionV>
            <wp:extent cx="5349240" cy="2314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 Identification and Exploration</w:t>
      </w:r>
    </w:p>
    <w:p>
      <w:pPr>
        <w:spacing w:after="0" w:line="17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Currently FDA-approved drugs are directed to 754 separate human proteins that are directly related to the mechanism of action for the drug, and there are 4,009 genes in the UniProt database that have experimental evidence for being involved in disease. We believe that large-scale access to protein variant information that map to different states of health and disease, as enabled by our Proteograph and concurrent advances in proteogenomics, has the potential to lead to the discovery of personalized drug targets that could reach the hundred thousand range. We believe that the translational application of our Proteograph for potential biomarker development, as exemplified above in our NSCLC study, may also be applied to the identification of novel targets for therapeutic development. Components of classifiers may directly be targets themselves for drug development, or they may highlight new knowledge with respect to disease mechanism which then could help in the exploration of additional targets and/or help to elucidate the function of potential targets, particularly if these targets are discovered with genomics approaches, and lack protein functional context.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Clinical Trial Applications</w:t>
      </w:r>
    </w:p>
    <w:p>
      <w:pPr>
        <w:spacing w:after="0" w:line="17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Clinical researchers can use our Proteograph for deep and broad proteomic profiling for subjects in therapeutic clinical trials, including to make observations on efficacy and adverse events. Applications could include the real-time monitoring of protein-related drug effects, distribution, and metabolism. Virtually all clinical trials in drug development include monitoring of this type, but currently use biased or targeted panels of proteins. It is currently impractical to do this type of monitoring with unbiased proteomic methods given the inability of these methods to scale to the hundreds or thousands of samples that are evaluated in clinical trials.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Proteograph may also be used to select and group patients in clinical studies based on their proteomics profiles. As our understanding of the complexity of biology increases with new data accrued from our Proteograph as well as in adjacent -omics spaces, our ability to refine patient selection at a higher resolution may improve the ability to confirm efficacy for novel therapies, particularly in complex diseases that involve many inter-related physiological systems. Genomic approaches are widely used to select patients in cancer and rare genetic disease clinical trials, but the use of genomics-based selection for clinical trials outside of these indications has not been as widely used, given the relative lack of genetic understanding of these diseases. We believe that our Proteograph has the potential to generate useful proteomic signatures that can complement genomic and other patient selection criteria to improve how clinical researchers select and segment patients for these trials, particularly for indications outside of cancer and rare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121" w:right="379" w:bottom="1440" w:gutter="0" w:footer="0" w:header="0"/>
        </w:sectPr>
      </w:pPr>
    </w:p>
    <w:bookmarkStart w:id="113" w:name="page114"/>
    <w:bookmarkEnd w:id="11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 Applications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see significant opportunities for researchers to use our Proteograph Product Suite for diagnostic development. Similar to the way in which NGS enabled the development of ecosystems that included genomics-based diagnostics in disease areas such as cancer and rare genetic diseases, we see the unbiased, deep and scalable proteomic information provided by our Proteograph potentially creating ecosystems, including proteomics and multi-omics based diagnostics in cancer and other complex disease areas. To help accelerate the future growth of this end-market, we recently spun-out a new company, PrognomIQ, that will leverage our Proteograph to develop multi-omics tests for health and disease. We expect that PrognomIQ will be our customer. We expect that our Proteograph will be used by other companies in the healthcare testing space, and we will support all of these customers as the ecosystem grows. We plan to enable our customers by providing our Proteograph for their basic research and translational research applications, as they develop their own diagnostic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Applied Applications in Agriculture, Environmental and Food Safety</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Outside of the areas related to human health, we believe there are opportunities for our Proteograph to be applied in other applied applications, including those applications where broad scale genomics is being widely applied today, and other applications where proteomics can uniquely enable the creation of end-markets. We believe that unbiased, deep and large-scale proteomic information as enabled by our Proteograph can complement and extend the value of genomics, transcriptomics, and metabolomics information in fields such as agriculture, environmental monitoring and food safety. This is exemplified in a recent plant proteomics study that identified PPIs and multi-protein complexes that likely play a role in important agronomic traits.</w:t>
      </w:r>
    </w:p>
    <w:p>
      <w:pPr>
        <w:spacing w:after="0" w:line="10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Pathogen monitoring is a core research area in environmental sciences. Genomics-based approaches have been applied for environmental monitoring, and we believe that unbiased proteomic data can be used to complement genomic information in monitoring environmental pathogens.</w:t>
      </w:r>
    </w:p>
    <w:p>
      <w:pPr>
        <w:spacing w:after="0" w:line="92"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food industry has complex supply chains where food can be subject to contamination and spoilage in the food product itself as one moves from raw material to processing to distribution, storage and consumption of the food product. We believe that unbiased proteomic data from our Proteograph could complement existing biochemical approaches for tracking signals of contamination and food spoilage.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In August 2020, we transferred certain assets related to disease testing to PrognomIQ, a wholly-owned subsidiary of the Company, in exchange for all of its outstanding equity interests. Following the transfer, we completed a pro-rata distribution to our stockholders of most of the shares of capital stock of PrognomIQ. Following the distribution and a subsequent $55.0 million financing of PrognomIQ, we hold approximately 19% of the outstanding equity in PrognomIQ.</w:t>
      </w:r>
    </w:p>
    <w:p>
      <w:pPr>
        <w:spacing w:after="0" w:line="13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to any customer in any geography, nor does it preclude our customers from using our Proteograph in any way. PrognomIQ has indicated that it plans to combine the protein data from our Proteograph with genomics and other -omics data, to create a multi-omics approach to health and disease testing, which we believe will help us drive the adoption of our Proteograph Product Suite in these applications.</w:t>
      </w:r>
    </w:p>
    <w:p>
      <w:pPr>
        <w:spacing w:after="0" w:line="11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Omid Farokhzad, Chief Executive Officer and Chair of our board of directors, serves as the Chair of PrognomIQ’s board of directors. Philip Ma, Ph.D. our former Chief Business Officer serves as the Chief Executive Officer of PrognomIQ. While Dr. Ma has fully transitioned to PrognomIQ, he will remain our consultant until April 2021. In addition, three of our other employees have also transitioned to PrognomIQ. We will be providing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320" w:top="121" w:right="379" w:bottom="1440" w:gutter="0" w:footer="0" w:header="0"/>
        </w:sectPr>
      </w:pPr>
    </w:p>
    <w:bookmarkStart w:id="114" w:name="page115"/>
    <w:bookmarkEnd w:id="11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transition services and support, including laboratory and office space to PrognomIQ during the transition period. We anticipate these services to continue through the first half of 2021.</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We granted PrognomIQ a non-exclusive license to certain patents and patent applications that we own and a non-exclusive sublicense to certain patent applications we exclusively licensed from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For further discussion of our license and sublicense arrangement with PrognomIQ, see the section titled “Business — Collaboration and License Agreements — </w:t>
      </w:r>
      <w:r>
        <w:rPr>
          <w:rFonts w:ascii="Arial" w:cs="Arial" w:eastAsia="Arial" w:hAnsi="Arial"/>
          <w:sz w:val="17"/>
          <w:szCs w:val="17"/>
          <w:i w:val="1"/>
          <w:iCs w:val="1"/>
          <w:color w:val="auto"/>
        </w:rPr>
        <w:t>PrognomIQ</w:t>
      </w:r>
      <w:r>
        <w:rPr>
          <w:rFonts w:ascii="Arial" w:cs="Arial" w:eastAsia="Arial" w:hAnsi="Arial"/>
          <w:sz w:val="17"/>
          <w:szCs w:val="17"/>
          <w:color w:val="auto"/>
        </w:rPr>
        <w:t>.” We do not view these amounts to be material to our financial condition and results of operations nor do we expect these amounts to ever be material to us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Proteograph Product Suite is an integrated solution comprising consumables, an automation instrument and software. We have developed our Proteograph to simplify and accelerate proteomics workflow, reduce labor and capital requirements, and deliver robust and reproducible performance. We will focus on growing the installed base of our Proteograph across a wide variety of customer types and driving applications, scale of experimentation and discoveries that lead to increasing utilization of our Proteograph by our customers.</w:t>
      </w:r>
    </w:p>
    <w:p>
      <w:pPr>
        <w:spacing w:after="0" w:line="13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initially target potential customers who value unbiased and deep proteomic information and are performing proteomic or genomic analysis at academic institutions, translational research groups and biopharmaceutical companies. Our direct sales and marketing efforts will be focused on the principal investigators, researchers, department heads, research laboratory directors and core facility directors who control the buying decision. We expect these customers to purchase our Proteograph automation instruments and associated consumables in line with typical purchases of other life science instrumentation and consumables. We intend to price our Proteograph Product Suite within the authorization range of most researchers who can directly make the buying decision, without the need for additional levels of approval, simplifying our sales process. For example, we intend to price our Proteograph automation instrument on a comparable basis to other similar automated fluid handling systems currently available. We anticipate pricing our Proteograph consumables, on a per sample basis, in a range similar to that of other life sciences consumables that provide deep and unbiased -omic information.</w:t>
      </w:r>
    </w:p>
    <w:p>
      <w:pPr>
        <w:spacing w:after="0" w:line="14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believe broad accessibility of MS instruments simplifies the adoption of our Proteograph Product Suite. We estimate that there are approximately 16,000 MS instruments with configurations typically used to perform proteomic analysis installed worldwide. We expect that many of our potential customers will have their own MS instrument, and for those who do not, will be able to outsource the MS portion of the Proteograph workflow to a third-party service provider.</w:t>
      </w:r>
    </w:p>
    <w:p>
      <w:pPr>
        <w:spacing w:after="0" w:line="133"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generation of publications and scientific presentations is a core pillar of our market awareness strategy and is important for establishing validity and utility of new products in the life sciences community. We plan to work closely with our customers, including key opinion leaders, to generate clear use-cases, as well as peer-reviewed publications that illustrate our product performance claims and value proposition. In addition, we plan to drive awareness by developing and deploying online and in-person training and educational tools that explain our Proteograph technology and key applications in easy-to-access, easy-to-understand, and scientifically rigorous and credible ways. We also expect to partner with select service facilities and core labs globally and certify them as Centers of Excellence for our Proteograph. We expect these sites will become our customers and potentially provide fee-for service capabilities that allow interested parties to evaluate our Proteograph using their own samples. We expect that these Centers of Excellence will actively promote our Proteograph and its capabilities and help us further raise awareness.</w:t>
      </w:r>
    </w:p>
    <w:p>
      <w:pPr>
        <w:spacing w:after="0" w:line="1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To service our potential Proteograph customers, we will provide multiple levels of technical service for our Proteograph automation instruments, depending upon customer need. We recognize that excellent customer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320" w:top="121" w:right="399" w:bottom="1440" w:gutter="0" w:footer="0" w:header="0"/>
        </w:sectPr>
      </w:pPr>
    </w:p>
    <w:bookmarkStart w:id="115" w:name="page116"/>
    <w:bookmarkEnd w:id="11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can be a critical part of a customer experience, and we will invest accordingly in our technical and application support to achieve the desired levels of service.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Proteograph Product Suite Commercial Launch Plan</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intend to follow a three phase launch plan to commercialize our Proteograph. This approach has been successfully used to introduce transformative technologies in numerous life science sectors over many years, including in genomics with the roll-out of NGS products. We believe that this phased approach allows us to introduce the product in a measured way, demonstrate clear customer use-cases, help to ensure we are scaling and expanding in a way that delivers a positive and differentiated customer experience, and builds a prospective customer pipeline to provide visibility to future demand.</w:t>
      </w:r>
    </w:p>
    <w:p>
      <w:pPr>
        <w:spacing w:after="0" w:line="103" w:lineRule="exact"/>
        <w:rPr>
          <w:sz w:val="20"/>
          <w:szCs w:val="20"/>
          <w:color w:val="auto"/>
        </w:rPr>
      </w:pPr>
    </w:p>
    <w:p>
      <w:pPr>
        <w:ind w:left="660" w:right="40" w:hanging="328"/>
        <w:spacing w:after="0" w:line="290"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Collaboration phase: We began collaborating with two sites in the third quarter of 2020 and we expect to collaborate with additional sites as we expand and continue this phase in 2021. Our first Proteograph was delivered to one of our first collaborators in October 2020, and we delivered a second Proteograph to a collaborator in December 2020. We plan to complement these two initial collaborators with one or two additional collaborators in the genomics or multi-omics fields. We are targeting key opinion leaders who are highly-skilled at evaluating novel technologies and whose feedback can help us solidify our commercialization plans and processes. We will work with these collaborators to establish early models of impactful research and discovery that will highlight the unique capabilities and value proposition of our Proteograph. During this phase, we plan to provide our Proteograph automation instrument for a minimal fee and also provide consumables at a reduced price. The sites will be given the option to purchase the automation instrument at a reduced price following the completion of the collaboration phase.</w:t>
      </w:r>
    </w:p>
    <w:p>
      <w:pPr>
        <w:spacing w:after="0" w:line="111" w:lineRule="exact"/>
        <w:rPr>
          <w:rFonts w:ascii="Arial" w:cs="Arial" w:eastAsia="Arial" w:hAnsi="Arial"/>
          <w:sz w:val="16"/>
          <w:szCs w:val="16"/>
          <w:color w:val="auto"/>
        </w:rPr>
      </w:pPr>
    </w:p>
    <w:p>
      <w:pPr>
        <w:ind w:left="660" w:right="40" w:hanging="328"/>
        <w:spacing w:after="0" w:line="290"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Early access limited release: We expect to start the second phase of our commercial roll-out in 2021 in parallel with winding down the collaboration phase. In this second phase, we will expand to six to ten additional potential customers across our target segments, including key opinion leaders in proteomics as well those in genomics. We will primarily target customers who can scale quickly and demonstrate the power and utility of our Proteograph across a number of applications, such as discovery research, oncology, complex diseases, and proteogenomics. We believe these customers will become important reference sites and key influencers whose adoption of the technologies gives others a clear blueprint to follow. During this phase, we expect to broaden our commercial footprint to access and support an increasing number of customers and to set the foundation for the final phase of our commercial roll out. We plan to offer our Proteograph Product Suite to customers in the early access limited release phase at our proposed list price, with certain volume discounts for consumables consistent with industry standards.</w:t>
      </w:r>
    </w:p>
    <w:p>
      <w:pPr>
        <w:spacing w:after="0" w:line="111" w:lineRule="exact"/>
        <w:rPr>
          <w:rFonts w:ascii="Arial" w:cs="Arial" w:eastAsia="Arial" w:hAnsi="Arial"/>
          <w:sz w:val="16"/>
          <w:szCs w:val="16"/>
          <w:color w:val="auto"/>
        </w:rPr>
      </w:pPr>
    </w:p>
    <w:p>
      <w:pPr>
        <w:ind w:left="660" w:right="280" w:hanging="328"/>
        <w:spacing w:after="0" w:line="277"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Broad commercial availability: We intend to build on the momentum we expect to have created through both the collaboration and early access limited release phases of our roll-out to provide for broad commercial availability in early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in the process of building out our commercial organization and we expect to have direct commercial staff in marketing, sales, customer success, and technical support functions. We will scale each function within our commercial organization in anticipation of demand and with the intent to deliver exceptional customer experience. We believe that coupling exceptional customer experience with a transformative product will allow us to deliver substantial value to our customers, build long-term customer loyalty, enhance our competitive differentiation, and, importantly, use our customer relationships to gain insights that inform our product development to grow our offerings in ways that will benefit our customers.</w:t>
      </w:r>
    </w:p>
    <w:p>
      <w:pPr>
        <w:spacing w:after="0" w:line="12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expect to initially target customers in North America, the European Union and United Kingdom through direct sales and customer support organizations. We expect to grow into other geographies over time, initially through distributors, starting with key countries in Asia Pacific. We expect a highly efficient sales model since our Proteograph does not have a large capital expenditure component, can leverage the existing installed base of MS instruments and complements large-scale genomics data ecosystems.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1" w:right="339" w:bottom="1440" w:gutter="0" w:footer="0" w:header="0"/>
        </w:sectPr>
      </w:pPr>
    </w:p>
    <w:bookmarkStart w:id="116" w:name="page117"/>
    <w:bookmarkEnd w:id="11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Our overall manufacturing strategy is to continuously develop and refine our processes to achieve our objectives of continuity of supply, quality of supply and margin enhancement. Over time, this may lead to in-sourcing or outsourcing certain functions, including manufacturing, in various geographic locations in order to achieve our objectives.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Consumables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We are currently manufacturing using our pilot line and building out our manufacturing capabilities as we ramp towards broad commercial availability. We obtain some of the reagents and components used in our Proteograph workflow from third-party suppliers. While some of these reagents and components are sourced from a single supplier, these products are readily available from numerous suppliers. While we currently plan to handle filling and packaging of our Proteograph assay and the related consumables, in the future, we may have our filling and packaging outsourced to a third-party. We conduct vendor and component qualification for components provided by third-party suppliers and quality control tests on our NPs.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Automation Instrument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designed our Proteograph automation instrument and have outsourced the manufacturing of our Proteograph automation instrument to Hamilton Company, a leading manufacturer of automated liquid handling workstations. We have entered into a non-exclusive agreement with Hamilton that covers the manufacturing of our Proteograph automation instrument and its continued supply on a purchase order basis. The agreement has an initial term that runs three years following our commercial launch. We have the option to extend the term of the agreement with Hamilton upon written notice at the end of the initial term; provided that prices are only fixed during the initial term of the agreement. Hamilton has represented to us that it maintains ISO 9001 and ISO 13485 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life sciences technology industry is characterized by rapidly advancing technologies, intense competition and a strong emphasis on intellectual property. Today the proteomics market is served by companies that offer a variety of analytical instruments, such as chromatography and MS instruments, and associated reagents. We believe that competitors in the proteomics market are differentiated by their proprietary technologies, rapid product development capabilities, applications and intellectual property. We believe that there are currently no commercially available products that offer the capability to conduct unbiased, deep proteomics studies at the same scale and throughput as our Proteograph Product Suite. Given the potential market opportunity and scientific promise of proteomics, we expect the intensity of the competition to increase and, as a result, one or more competing products emerging in the future. Competing products may emerge from various sources, including life sciences tools, diagnostics, pharmaceutical and biotechnology companies, third-party service providers, academic research institutions, governmental agencies and public and private research institutions.</w:t>
      </w:r>
    </w:p>
    <w:p>
      <w:pPr>
        <w:spacing w:after="0" w:line="11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Current companies that provide proteomics products include Agilent Technologies, Bio-Rad Laboratories, Danaher, Luminex, Merck (and its subsidiary MilliporeSigma) and Thermo Fisher Scientific. There are also a number of companies that provide proteomic analysis services. In addition, a number of emerging growth companies have developed, or are developing, proteomics products, services and solutions, such as Nautilus Biotechnology, Olink Proteomics, Quanterix and SomaLogic.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1" w:right="339" w:bottom="1440" w:gutter="0" w:footer="0" w:header="0"/>
        </w:sectPr>
      </w:pPr>
    </w:p>
    <w:bookmarkStart w:id="117" w:name="page118"/>
    <w:bookmarkEnd w:id="11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4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320" w:top="121" w:right="399" w:bottom="1440" w:gutter="0" w:footer="0" w:header="0"/>
        </w:sectPr>
      </w:pPr>
    </w:p>
    <w:bookmarkStart w:id="118" w:name="page119"/>
    <w:bookmarkEnd w:id="11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and special controls together, are sufficient to provide a reasonable assurance of the device’s safety and effectiveness. The de novo classification route is generally less burdensome than the PMA approval process.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21" w:right="359" w:bottom="1440" w:gutter="0" w:footer="0" w:header="0"/>
        </w:sectPr>
      </w:pPr>
    </w:p>
    <w:bookmarkStart w:id="119" w:name="page120"/>
    <w:bookmarkEnd w:id="11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03"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For further discussion of the risks we face relating to regulation, see the section titled “Risk factors—Risks related to our business and industry—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r>
        <w:rPr>
          <w:rFonts w:ascii="Arial" w:cs="Arial" w:eastAsia="Arial" w:hAnsi="Arial"/>
          <w:sz w:val="17"/>
          <w:szCs w:val="17"/>
          <w:color w:val="auto"/>
        </w:rPr>
        <w:t>.”</w:t>
      </w:r>
    </w:p>
    <w:p>
      <w:pPr>
        <w:spacing w:after="0" w:line="12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121" w:right="359" w:bottom="1440" w:gutter="0" w:footer="0" w:header="0"/>
        </w:sectPr>
      </w:pPr>
    </w:p>
    <w:bookmarkStart w:id="120" w:name="page121"/>
    <w:bookmarkEnd w:id="12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0"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EU agreed to a specified period during which the United Kingdom will be treated like an EU member state in relation to processing and transfers of personal data for four months from January 1, 2021. This period may be extended by two further months. Furthermore, following the expiration of the specified period, there will be increasing scope for divergence in application, interpretation and enforcement of the data protection law as between the United Kingdom and EEA.</w:t>
      </w:r>
    </w:p>
    <w:p>
      <w:pPr>
        <w:spacing w:after="0" w:line="342"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 xml:space="preserve">For further discussion of the risks we face relating to regulation, see the section titled “Risk factors—Risks related to our business and industry—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currently subject to, and may in the future become subject to additional, U.S., state and foreign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 compliance with such laws could also impair our efforts to maintain and expand our future customer base, and thereby decrease our revenue.</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We use a variety of intellectual property protection strategies, including patents, trademarks, trade secrets and other methods of protecting proprietary information.</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September 30, 2020, we own approximately two issued U.S. patents, eight U.S. pending patent applications and four pending Patent Cooperation Treaty (PCT) patent applications. Our owned patents and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21" w:right="359" w:bottom="1440" w:gutter="0" w:footer="0" w:header="0"/>
        </w:sectPr>
      </w:pPr>
    </w:p>
    <w:bookmarkStart w:id="121" w:name="page122"/>
    <w:bookmarkEnd w:id="12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applications, if issued, are expected to expire between 2023 and 2041, in each case without taking into account any possible patent term adjustments or extensions and assuming payment of all appropriate maintenance, renewal, annuity, or other governmental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such patent portfolio owned by us includes:</w:t>
      </w:r>
    </w:p>
    <w:p>
      <w:pPr>
        <w:spacing w:after="0" w:line="171" w:lineRule="exact"/>
        <w:rPr>
          <w:sz w:val="20"/>
          <w:szCs w:val="20"/>
          <w:color w:val="auto"/>
        </w:rPr>
      </w:pPr>
    </w:p>
    <w:p>
      <w:pPr>
        <w:ind w:left="660" w:right="8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pending U.S. and PCT patent applications that are directed to methods for sampling a proteome at specific levels of protein coverage, methods for sampling a proteome under particular assay conditions, and nanoparticle compositions for the same;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pending U.S. patent applications that are directed to methods for interrogating protein pathways and PPIs with the biosensors;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issued U.S. patent and a pending U.S. patent application directed to the classification of biological states; and</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issued U.S. patent and a pending PCT patent application directed to methods for biomarker discovery, including an algorithm-based method that uses data sampled by the biosensor platform.</w:t>
      </w:r>
    </w:p>
    <w:p>
      <w:pPr>
        <w:spacing w:after="0" w:line="11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We exclusively license from The Brigham and Women’s Hospital, Inc. (BWH), two issued U.S. patents, five U.S. pending patent applications, one issued ex-U.S. patent and eight ex-U.S. pending patent applications, as of September 30, 2020. These patents and patent applications are directed to methods for identifying a biological state, including classification and early detection of cancers and other diseases, using nanoparticle and biosensor compositions, as well as other nanoparticle compositions. Our in-licensed patents and patent applications, if issued, are expected to expire between 2027 and 2037, in each case without taking into account any possible patent term adjustments or extensions and assuming payment of all appropriate maintenance, renewal, annuity, or other governmental fees.</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addition to licensing patents and patent applications from BWH, we have also non-exclusively licensed certain of our patents and patent applications to PrognomIQ for use in the field of human diagnostics. Pursuant to our agreement with PrognomIQ, we also assigned a patent application related to lung cancer biomarkers to PrognomIQ. In connection with our agreement with PrognomIQ, we have granted PrognomIQ a non-exclusive sublicense to certain patents and patent applications that we license from BWH under our license agreement with BWH for use in the field of human diagnostics. For further information on the intellectual property transfer and license agreement with PrognomIQ and the license agreement with BWH, see the section titled </w:t>
      </w:r>
      <w:r>
        <w:rPr>
          <w:rFonts w:ascii="Arial" w:cs="Arial" w:eastAsia="Arial" w:hAnsi="Arial"/>
          <w:sz w:val="18"/>
          <w:szCs w:val="18"/>
          <w:i w:val="1"/>
          <w:iCs w:val="1"/>
          <w:color w:val="auto"/>
        </w:rPr>
        <w:t>“Business —Collaboration and License Agreements.”</w:t>
      </w:r>
    </w:p>
    <w:p>
      <w:pPr>
        <w:spacing w:after="0" w:line="13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cost-effective.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both our owned and in-licensed intellectual property, we cannot provide any assurance that any of our current or future patent applications will result in the issuance of patents in any particular jurisdiction, or that any of our current or future issued patents will effectively protect any of our products or technology from infringement or prevent others from commercializing infringing products or technology. Even if our pending patent applications are granted as issued patents, those patents may be challenged, circumvented or invalidated by third parties. Consequently, we may not obtain or maintain adequate patent protection for any of our products or technologies.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2" w:name="page123"/>
    <w:bookmarkEnd w:id="12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third parties may independently develop substantially equivalent proprietary information and techniques or otherwise gain access to our trade secrets or disclose our technology. As a result, we may not be able to meaningfully protect our trade secrets. For further discussion of the risks relating to intellectual property, see the section titled </w:t>
      </w:r>
      <w:r>
        <w:rPr>
          <w:rFonts w:ascii="Arial" w:cs="Arial" w:eastAsia="Arial" w:hAnsi="Arial"/>
          <w:sz w:val="18"/>
          <w:szCs w:val="18"/>
          <w:i w:val="1"/>
          <w:iCs w:val="1"/>
          <w:color w:val="auto"/>
        </w:rPr>
        <w:t>“Risk factors—Risks Related to our Intellectual Property.”</w:t>
      </w:r>
    </w:p>
    <w:p>
      <w:pPr>
        <w:spacing w:after="0" w:line="126" w:lineRule="exact"/>
        <w:rPr>
          <w:sz w:val="20"/>
          <w:szCs w:val="20"/>
          <w:color w:val="auto"/>
        </w:rPr>
      </w:pPr>
    </w:p>
    <w:p>
      <w:pPr>
        <w:jc w:val="right"/>
        <w:ind w:right="8240"/>
        <w:spacing w:after="0"/>
        <w:rPr>
          <w:sz w:val="20"/>
          <w:szCs w:val="20"/>
          <w:color w:val="auto"/>
        </w:rPr>
      </w:pPr>
      <w:r>
        <w:rPr>
          <w:rFonts w:ascii="Arial" w:cs="Arial" w:eastAsia="Arial" w:hAnsi="Arial"/>
          <w:sz w:val="16"/>
          <w:szCs w:val="16"/>
          <w:b w:val="1"/>
          <w:bCs w:val="1"/>
          <w:color w:val="auto"/>
        </w:rPr>
        <w:t>Collaboration and License Agreements</w:t>
      </w:r>
    </w:p>
    <w:p>
      <w:pPr>
        <w:spacing w:after="0" w:line="198" w:lineRule="exact"/>
        <w:rPr>
          <w:sz w:val="20"/>
          <w:szCs w:val="20"/>
          <w:color w:val="auto"/>
        </w:rPr>
      </w:pPr>
    </w:p>
    <w:p>
      <w:pPr>
        <w:jc w:val="right"/>
        <w:ind w:right="8200"/>
        <w:spacing w:after="0"/>
        <w:rPr>
          <w:sz w:val="20"/>
          <w:szCs w:val="20"/>
          <w:color w:val="auto"/>
        </w:rPr>
      </w:pPr>
      <w:r>
        <w:rPr>
          <w:rFonts w:ascii="Arial" w:cs="Arial" w:eastAsia="Arial" w:hAnsi="Arial"/>
          <w:sz w:val="17"/>
          <w:szCs w:val="17"/>
          <w:b w:val="1"/>
          <w:bCs w:val="1"/>
          <w:i w:val="1"/>
          <w:iCs w:val="1"/>
          <w:color w:val="auto"/>
        </w:rPr>
        <w:t>The Brigham and Women’s Hospital</w:t>
      </w:r>
    </w:p>
    <w:p>
      <w:pPr>
        <w:spacing w:after="0" w:line="183"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In December 2017, we entered into an exclusive patent license agreement with BWH, pursuant to which we obtained an exclusive, royalty-bearing, sublicensable (with approval from BWH) license to certain U.S. and foreign patents and patent applications in one patent family related to methods for identifying a biological state using nanoparticle and biosensor compositions and other nanoparticle compositions to develop, manufacture, use and commercialize products and processes in all fields, including but not limited to therapeutic, diagnostic, or other uses, on a worldwide basis. In addition, we were also granted an exclusive, royalty-bearing, sublicensable (with approval from BWH) license to certain U.S. pending patent applications in another patent family to develop, manufacture, use and commercialize products and processes in all fields, including but not limited to therapeutic, diagnostic, or other uses, other than for the treatment of cancer through antigen-specific immune stimulation or the treatment of disease through immune tolerance or immune switching of lymphocyte subclasses. We may sublicense the patent rights licensed under the agreement subject to certain conditions, including obtaining the review and approval by BWH of such sublicense and any such sublicense must be consistent with and subject to the terms of the agreement.</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consideration for the licenses granted under the agreement, we must pay BWH annual license fees prior to the first commercial sale of a licensed product that range in the low- to mid-five digit figures, and a low single digit royalty on net sales of licensed products beginning with the first commercial sale of a licensed product in any country during the term of the agreement. In the event we commercialize a product in the therapeutic space, we are also required to make certain drug-approval regulatory and commercialization milestone payments to BWH of up to a mid seven digit figure in the aggregate for licensed products. In the event we sublicense any of the licensed intellectual property, we must pay BWH a percentage of any sublicense income received by us, which on a going-forward basis will be in the high single digits.</w:t>
      </w:r>
    </w:p>
    <w:p>
      <w:pPr>
        <w:spacing w:after="0" w:line="13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Under the terms of the agreement, we are required to use commercially reasonable efforts to develop and commercialize the licensed products, including in accordance to certain developmental, funding, regulatory and commercialization milestones. BWH controls the prosecution, maintenance and enforcement of all licensed patents and patent applications under the agreement.</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Unless earlier terminated, the agreement continues until the expiration of the last to expire patent right licensed under the agreement. Subject to an applicable cure period, BWH may terminate the agreement if we fail to comply with applicable payments or diligence obligations or upon a breach of our obligation under the agreement, or for certain insolvency-related events.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w:t>
      </w:r>
    </w:p>
    <w:p>
      <w:pPr>
        <w:spacing w:after="0" w:line="17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August 2020, we entered into an intellectual property transfer and license agreement and, in October 2020, we entered into an intellectual property sublicense agreement, in each case with PrognomIQ in connection with the spin-out of PrognomIQ. Under the intellectual property transfer and license agreement, we granted PrognomIQ a non-exclusive, perpetual, irrevocable (subject to termination for breach) license to certain patents and patent applications that we own and, under the intellectual property sublicense agreement, we granted a non-exclusive sublicense to certain patent applications exclusively licensed from BWH, in each case, relating to our core technology to develop, manufacture and commercialize licensed products for the field of human diagnostics on a worldwide basis. In addition, we assigned a patent application relating to lung cancer biomarkers, and transferred certain clinical samples, contracts and other related assets to PrognomIQ. PrognomIQ may extend such licensed and sublicensed rights to customers of licensed products. PrognomIQ is not required to pay us any royalties or fees pursuant to the intellectual property transfer and license agreement. In consideration of the non-exclusive sublicense to certain patent applications licensed from BWH, PrognomIQ paid us a low-five digit figure, and would pay a low single digit royalty, in an amount equivalent to what we would have to pay under our license with BWH, on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23" w:name="page124"/>
    <w:bookmarkEnd w:id="12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sales of sublicensed products beginning with the first commercial sale of a sublicensed product during the term of the intellectual property sublicense agreement.</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event we elect to grant an exclusive license to a third party in the field of human diagnostics for any of the patents and patent applications licensed or sublicensed, as applicable, to PrognomIQ under the respective agreements, we are required to first negotiate with PrognomIQ for a period of sixty days for a license or sublicense, as applicable, to such rights on reasonable terms. Furthermore, for a period of two years after the effective date, we are required to negotiate in good faith with PrognomIQ for a license or sublicense, as applicable, to any improvements to the patents and patent applications assigned or licensed or sublicensed, as applicable, under the intellectual property transfer and license agreement and the intellectual property sublicense agreement.</w:t>
      </w:r>
    </w:p>
    <w:p>
      <w:pPr>
        <w:spacing w:after="0" w:line="13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Neither party may assign the intellectual property transfer and license agreement nor any rights or obligations under the agreement without the other party’s prior written consent, other than to an affiliate or pursuant to an acquisition. PrognomIQ may not assign the intellectual property sublicense agreement or any rights or obligations under the agreement without our prior written consent, other than to an affiliate or pursuant to an acquisition, and in any event only with BWH’s prior written consent. Our right to assign the intellectual property sublicense agreement and any rights or obligations under the agreement is subject to the terms and conditions of our license with BWH. Unless terminated earlier, the terms of the both agreements continue until the expiration of the last to expire intellectual property right granted under such agreement. Either party may terminate either agreement for an uncured breach of the other party, upon which all licenses granted under such agreement to the breaching party will terminate.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Collaborators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Oregon Health &amp; Science University (OHSU), an academic health center, and The Broad Institute of MIT and Harvard (Broad Institute), a biomedical and genomic research center, are our collaborators. Researchers at OHSU are using our product to facilitate various research efforts focused on proteomic profiling of various oncology versus control samples to determine protein signatures common between various cancer samples versus signatures found in control samples. Researchers at the Broad Institute intend to use our product to analyze protein signatures in diseased vs. non-diseased samples undergoing drug perturbations in various clinical applications including cardiovascular disease.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nanotechnology, proteomics, genomics, medicine, regulatory compliance and data science. Our scientific advisory board is composed of Robert Langer, Sc.D., Mostafa Ronaghi, Ph.D., Steve Carr, Ph.D., Vivek Farias, Ph.D., Philip Kantoff, M.D., Erwin Böttinger, M.D., Charles Cantor, Ph.D., Bradley Hyman, M.D., Mark McClellan, Ph.D., M.D., Wolfgang Parak, Ph.D., Ralph Weissleder, M.D. and Luiz Diaz, M.D.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As of December 31, 2020, we had 60 employees, all based in the United States, many of whom hold doctorate degrees. Of these employees, 48 were engaged in in research and development activities, and 22 were engaged in selling, general and administrative activities. None of our employees are represented by a labor union or covered under a collective bargaining agreement.</w:t>
      </w:r>
    </w:p>
    <w:p>
      <w:pPr>
        <w:spacing w:after="0" w:line="13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24" w:name="page125"/>
    <w:bookmarkEnd w:id="12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3800 Bridge Parkway, Redwood City, CA 94065. The facility is approximately 25,600 square feet and is compliant with all relevant state and federal requirements. Our lease on this facility runs through February 2032. We do not own any real property and believe that our current facilities are sufficient to meet our ongoing needs and that, if we require additional space, we will be able to obtain additional facilities on commercially reasonable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121" w:right="499" w:bottom="1440" w:gutter="0" w:footer="0" w:header="0"/>
        </w:sectPr>
      </w:pPr>
    </w:p>
    <w:bookmarkStart w:id="125" w:name="page126"/>
    <w:bookmarkEnd w:id="12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90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Omid Farokhzad, M.D.</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David R. Horn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Omead Ostadan</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President, Chief Operating Officer and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Elona Kogan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4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90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David Hallal</w:t>
            </w:r>
            <w:r>
              <w:rPr>
                <w:rFonts w:ascii="Arial" w:cs="Arial" w:eastAsia="Arial" w:hAnsi="Arial"/>
                <w:sz w:val="23"/>
                <w:szCs w:val="23"/>
                <w:color w:val="auto"/>
                <w:vertAlign w:val="superscript"/>
              </w:rPr>
              <w:t>(2)(3)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tcPr>
          <w:p>
            <w:pPr>
              <w:ind w:left="240"/>
              <w:spacing w:after="0"/>
              <w:rPr>
                <w:sz w:val="20"/>
                <w:szCs w:val="20"/>
                <w:color w:val="auto"/>
              </w:rPr>
            </w:pPr>
            <w:r>
              <w:rPr>
                <w:rFonts w:ascii="Arial" w:cs="Arial" w:eastAsia="Arial" w:hAnsi="Arial"/>
                <w:sz w:val="18"/>
                <w:szCs w:val="18"/>
                <w:color w:val="auto"/>
              </w:rPr>
              <w:t>Robert Langer, Sc.D.</w:t>
            </w:r>
            <w:r>
              <w:rPr>
                <w:rFonts w:ascii="Arial" w:cs="Arial" w:eastAsia="Arial" w:hAnsi="Arial"/>
                <w:sz w:val="23"/>
                <w:szCs w:val="23"/>
                <w:color w:val="auto"/>
                <w:vertAlign w:val="superscript"/>
              </w:rPr>
              <w:t>(3)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00" w:type="dxa"/>
            <w:vAlign w:val="bottom"/>
          </w:tcPr>
          <w:p>
            <w:pPr>
              <w:spacing w:after="0"/>
              <w:rPr>
                <w:sz w:val="23"/>
                <w:szCs w:val="23"/>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4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Terrance McGuire</w:t>
            </w:r>
            <w:r>
              <w:rPr>
                <w:rFonts w:ascii="Arial" w:cs="Arial" w:eastAsia="Arial" w:hAnsi="Arial"/>
                <w:sz w:val="23"/>
                <w:szCs w:val="23"/>
                <w:color w:val="auto"/>
                <w:vertAlign w:val="superscript"/>
              </w:rPr>
              <w:t>(1)(2)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shd w:val="clear" w:color="auto" w:fill="CCEEFF"/>
          </w:tcPr>
          <w:p>
            <w:pPr>
              <w:spacing w:after="0"/>
              <w:rPr>
                <w:sz w:val="23"/>
                <w:szCs w:val="23"/>
                <w:color w:val="auto"/>
              </w:rPr>
            </w:pPr>
          </w:p>
        </w:tc>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51"/>
        </w:trPr>
        <w:tc>
          <w:tcPr>
            <w:tcW w:w="4520" w:type="dxa"/>
            <w:vAlign w:val="bottom"/>
            <w:gridSpan w:val="2"/>
          </w:tcPr>
          <w:p>
            <w:pPr>
              <w:ind w:left="240"/>
              <w:spacing w:after="0" w:line="252" w:lineRule="exact"/>
              <w:rPr>
                <w:sz w:val="20"/>
                <w:szCs w:val="20"/>
                <w:color w:val="auto"/>
              </w:rPr>
            </w:pPr>
            <w:r>
              <w:rPr>
                <w:rFonts w:ascii="Arial" w:cs="Arial" w:eastAsia="Arial" w:hAnsi="Arial"/>
                <w:sz w:val="18"/>
                <w:szCs w:val="18"/>
                <w:color w:val="auto"/>
              </w:rPr>
              <w:t>David Singer</w:t>
            </w:r>
            <w:r>
              <w:rPr>
                <w:rFonts w:ascii="Arial" w:cs="Arial" w:eastAsia="Arial" w:hAnsi="Arial"/>
                <w:sz w:val="23"/>
                <w:szCs w:val="23"/>
                <w:color w:val="auto"/>
                <w:vertAlign w:val="superscript"/>
              </w:rPr>
              <w:t>(1)(2)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21"/>
                <w:szCs w:val="21"/>
                <w:color w:val="auto"/>
              </w:rPr>
            </w:pP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174"/>
        </w:trPr>
        <w:tc>
          <w:tcPr>
            <w:tcW w:w="44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900" w:type="dxa"/>
            <w:vAlign w:val="bottom"/>
          </w:tcPr>
          <w:p>
            <w:pPr>
              <w:spacing w:after="0"/>
              <w:rPr>
                <w:sz w:val="15"/>
                <w:szCs w:val="15"/>
                <w:color w:val="auto"/>
              </w:rPr>
            </w:pPr>
          </w:p>
        </w:tc>
      </w:tr>
    </w:tbl>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Member of the corporate governance and nominating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i w:val="1"/>
          <w:iCs w:val="1"/>
          <w:color w:val="auto"/>
        </w:rPr>
        <w:t xml:space="preserve">Omid Farokhzad, M.D. </w:t>
      </w:r>
      <w:r>
        <w:rPr>
          <w:rFonts w:ascii="Arial" w:cs="Arial" w:eastAsia="Arial" w:hAnsi="Arial"/>
          <w:sz w:val="17"/>
          <w:szCs w:val="17"/>
          <w:color w:val="auto"/>
        </w:rPr>
        <w:t>co-founded our Company and has served as our Chief Executive Officer since February 2018 and as a member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since March 2017, serving as the Chair since September 2020. From September 2004 to February 2018, he was a Professor at Harvard Medical School and directed the Center for Nanomedicine at Brigham and Women’s Hospital. He previously co-founded BIND Therapeutics, a biotechnology company acquired by Pfizer Inc., Selecta Biosciences, Inc., a clinical-stage biotechnology company, and Tarveda Therapeutics, Inc., a clinical stage biopharmaceutical company. He currently serves as a member of the board of directors of several privately-held companies and previously served as a director of Selecta Biosciences and BIND Therapeutics. Dr. Farokhzad holds an M.A. and M.D. from Boston University and an M.B.A. from Massachusetts Institute of Technology Sloan School of Management. We believe Dr. Farokhzad is qualified to serve on our board of directors because of the perspective and experience he brings as our Chief Executive Officer, his experience in leadership positions in the biotechnology and life science industry, his educational background and his strong scientific knowledge.</w:t>
      </w:r>
    </w:p>
    <w:p>
      <w:pPr>
        <w:spacing w:after="0" w:line="12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i w:val="1"/>
          <w:iCs w:val="1"/>
          <w:color w:val="auto"/>
        </w:rPr>
        <w:t xml:space="preserve">David R. Horn </w:t>
      </w:r>
      <w:r>
        <w:rPr>
          <w:rFonts w:ascii="Arial" w:cs="Arial" w:eastAsia="Arial" w:hAnsi="Arial"/>
          <w:sz w:val="18"/>
          <w:szCs w:val="18"/>
          <w:color w:val="auto"/>
        </w:rPr>
        <w:t>has served as our Chief Financial Officer since May 2020. Prior to joining us, Mr. Horn was with Morgan Stanley, an investment bank</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13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Omead Ostadan </w:t>
      </w:r>
      <w:r>
        <w:rPr>
          <w:rFonts w:ascii="Arial" w:cs="Arial" w:eastAsia="Arial" w:hAnsi="Arial"/>
          <w:sz w:val="18"/>
          <w:szCs w:val="18"/>
          <w:color w:val="auto"/>
        </w:rPr>
        <w:t>has served as our President and Chief Operating Officer since July 2020 and as a member of our board of directors since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Mr. Ostadan was with Illumina, Inc., a biotechnology company, from January 2007 to June 2020 where he served in various executive roles, most recently as Senior Vice President &amp; Chief Products and Marketing Officer from July 2019 to June 2020 and Senior Vice President, Products &amp; Marketing from April 2015 to June 2019. Mr. Ostadan holds a B.Sc in Biochemistry from the University of California, Davis and an M.B.A from the Wharton School of Business. We believe Mr. Ostadan is qualified to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21" w:right="339" w:bottom="1440" w:gutter="0" w:footer="0" w:header="0"/>
        </w:sectPr>
      </w:pPr>
    </w:p>
    <w:bookmarkStart w:id="126" w:name="page127"/>
    <w:bookmarkEnd w:id="12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our board of directors because of his extensive experience in product development at life science companies, his leadership skills, as well as his strong strategic planning and product knowledge.</w:t>
      </w:r>
    </w:p>
    <w:p>
      <w:pPr>
        <w:spacing w:after="0" w:line="11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Elona Kogan </w:t>
      </w:r>
      <w:r>
        <w:rPr>
          <w:rFonts w:ascii="Arial" w:cs="Arial" w:eastAsia="Arial" w:hAnsi="Arial"/>
          <w:sz w:val="17"/>
          <w:szCs w:val="17"/>
          <w:color w:val="auto"/>
        </w:rPr>
        <w:t>has served as our General Counsel and Secretary since November 2020. Prior to joining us, Ms. Kogan served as General Counsel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also a member of the board of Cardax, Inc. and serves as the Chairperson of the Compensation Committee and a member of the Audit Committee. Ms. Kogan is a graduate of the SCALE program at Southwestern University School of Law. Ms. Kogan graduated cum laude from Columbia University, Barnard College, with a B.A. in Economics.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David Hallal </w:t>
      </w:r>
      <w:r>
        <w:rPr>
          <w:rFonts w:ascii="Arial" w:cs="Arial" w:eastAsia="Arial" w:hAnsi="Arial"/>
          <w:sz w:val="18"/>
          <w:szCs w:val="18"/>
          <w:color w:val="auto"/>
        </w:rPr>
        <w:t>has served as a member of our board of directors since February 2018 and as Lead Independent Director since September 2020. Mr.</w:t>
      </w:r>
      <w:r>
        <w:rPr>
          <w:rFonts w:ascii="Arial" w:cs="Arial" w:eastAsia="Arial" w:hAnsi="Arial"/>
          <w:sz w:val="18"/>
          <w:szCs w:val="18"/>
          <w:i w:val="1"/>
          <w:iCs w:val="1"/>
          <w:color w:val="auto"/>
        </w:rPr>
        <w:t xml:space="preserve"> </w:t>
      </w:r>
      <w:r>
        <w:rPr>
          <w:rFonts w:ascii="Arial" w:cs="Arial" w:eastAsia="Arial" w:hAnsi="Arial"/>
          <w:sz w:val="18"/>
          <w:szCs w:val="18"/>
          <w:color w:val="auto"/>
        </w:rPr>
        <w:t>Hallal has served as Chief Executive Officer of AlloVir, Inc., a biotechnology company since September 2018 and as Chief Executive Officer of ElevateBio LLC, a biotechnology company he co-founded, since December 2017. From June 2006 to December 2016, he served in various executive roles at Alexion Pharmaceuticals, Inc., a pharmaceutical company, most recently as Chief Executive Officer from April 2015 until December 2016, and as Chief Operating Officer from September 2014 until April 2015. Mr. Hallal currently serves as Chairman of the board at AlloVir, ElevateBio, Scholar Rock Holding Corp. and iTeos Therapeutics S.A. He holds a B.A. in Psychology from the University of New Hampshire. We believe Mr. Hallal is qualified to serve on our board of directors because of his extensive business experience and knowledge of company operations, and his experience working with companies in the life sciences industry.</w:t>
      </w:r>
    </w:p>
    <w:p>
      <w:pPr>
        <w:spacing w:after="0" w:line="13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Catherine J. Friedman </w:t>
      </w:r>
      <w:r>
        <w:rPr>
          <w:rFonts w:ascii="Arial" w:cs="Arial" w:eastAsia="Arial" w:hAnsi="Arial"/>
          <w:sz w:val="17"/>
          <w:szCs w:val="17"/>
          <w:color w:val="auto"/>
        </w:rPr>
        <w:t>has served as a member of our board of directors since September 2020. Ms. Friedman has been an independent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serving public and private companies in the life sciences industry since 2006. Ms. Friedman served in various executive roles from 1982 to 2006 at Morgan Stanley, an investment bank and financial services company, including as Manager Director from 1997 to 2006 and Head of West Coast Healthcare and Co-Head of the Biotechnology Practice from 1993 to 2006. She currently serves as Chairperson of the board at GRAIL, Inc., a cancer testing company, and on the board of directors of Altaba Inc., a closed-end management investment company (formerly Yahoo! Inc.), and Radius Health, Inc., a biopharmaceutical company. Ms. Friedman previously served on the board of directors of EnteroMedics, Inc., GSV Capital Corp., Innoviva, Inc. (formerly Theravance, Inc.), and XenoPort, Inc. She holds an A.B. in Economics from Harvard University and an M.B.A. from the University of Virginia Darden School of Business, where she serves as a member of the Darden School Foundation Board of Trustees. We believe Ms. Friedman is qualified to serve on our board of directors because of her financial expertise, 23-year tenure as an investment banker and extensive experience serving as a member on other public company boards.</w:t>
      </w:r>
    </w:p>
    <w:p>
      <w:pPr>
        <w:spacing w:after="0" w:line="1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i w:val="1"/>
          <w:iCs w:val="1"/>
          <w:color w:val="auto"/>
        </w:rPr>
        <w:t xml:space="preserve">Robert Langer, Sc.D. </w:t>
      </w:r>
      <w:r>
        <w:rPr>
          <w:rFonts w:ascii="Arial" w:cs="Arial" w:eastAsia="Arial" w:hAnsi="Arial"/>
          <w:sz w:val="18"/>
          <w:szCs w:val="18"/>
          <w:color w:val="auto"/>
        </w:rPr>
        <w:t>has served as a member of our board of directors since December 2017. Dr. Langer has served as an Institute Professor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Massachusetts Institute of Technology since July 2005. He currently serves on the board of directors of Abpro Bio Co. Ltd., Frequency Therapeutics, Inc., Moderna, Inc. and Puretech Health plc, and previously served on the board of directors of Alkermes, Inc., Lyra Therapeutics, Inc., Kala Pharmaceuticals, Inc., Momenta Pharmaceuticals, Inc., Millipore Corp., Rubius Therapeutics and Wyeth. Dr. Langer holds a B.S. in Chemical Engineering from Cornell University and an Sc.D. in Chemical Engineering from Massachusetts Institute of Technology. We believe Dr. Langer is qualified to serve on our board of directors because of his pioneering academic work, extensive medical and scientific knowledge, and experience serving on public company boards of directors.</w:t>
      </w:r>
    </w:p>
    <w:p>
      <w:pPr>
        <w:spacing w:after="0" w:line="14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 xml:space="preserve">Terrance McGuire </w:t>
      </w:r>
      <w:r>
        <w:rPr>
          <w:rFonts w:ascii="Arial" w:cs="Arial" w:eastAsia="Arial" w:hAnsi="Arial"/>
          <w:sz w:val="18"/>
          <w:szCs w:val="18"/>
          <w:color w:val="auto"/>
        </w:rPr>
        <w:t>has served as a member of our board of directors since December 2017. Mr. McGuire serves as a General Partner of Polaris</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a venture capital firm he co-founded in 1996. He currently serves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121" w:right="379" w:bottom="1440" w:gutter="0" w:footer="0" w:header="0"/>
        </w:sectPr>
      </w:pPr>
    </w:p>
    <w:bookmarkStart w:id="127" w:name="page128"/>
    <w:bookmarkEnd w:id="12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board of directors of Alector, Inc. and Cyclerion, Inc., and previously served on the board of directors of Acceleron Pharma, Inc., Arsanis, Inc., Ironwood Pharmaceuticals, Inc. and Pulmatrix, Inc. Mr. McGuire also serves as a member of the board of The David H. Koch Institute for Integrative Cancer Research at the Massachusetts Institute of Technology, The Arthur Rock Center for Entrepreneurship at Harvard Business School and The Healthcare Initiative Advisory Board and on the Board of Advisors of the Thayer School of Engineering at Dartmouth College. Mr. McGuire holds a B.S. in Physics and Economics from Hobart College, an M.S. in Engineering from the Thayer School at Dartmouth College and an M.B.A. from Harvard Business School. We believe Mr. McGuire is qualified to serve on our board of directors because of his substantial corporate development and business strategy expertise gained in the venture capital industry.</w:t>
      </w:r>
    </w:p>
    <w:p>
      <w:pPr>
        <w:spacing w:after="0" w:line="14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David B. Singe</w:t>
      </w:r>
      <w:r>
        <w:rPr>
          <w:rFonts w:ascii="Arial" w:cs="Arial" w:eastAsia="Arial" w:hAnsi="Arial"/>
          <w:sz w:val="17"/>
          <w:szCs w:val="17"/>
          <w:color w:val="auto"/>
        </w:rPr>
        <w:t>r has served as a member of our board of directors since December 2017. Mr. Singer has held various positions at Maverick Ventures,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or its affiliates, since December 2004, including Managing Partner of Maverick Ventures since February 2015. Mr. Singer currently serves on the board of directors of 1Life Healthcare, Inc. (OneMedical), Castlight Health, Inc. and several privately-held companies. Previously, Mr. Singer served on the board of four other public companies, including Pacific BioSciences of California, Inc. and Affymetrix, Inc., where he was the founding CEO. He previously served as a health commissioner of San Francisco and a member of the San Francisco General Hospital Joint Conference Committee from July 2013 to January 2017. He holds a B.A. in History from Yale University and an M.B.A. from Stanford University. We believe Mr. Singer is qualified to serve on our board of directors because of his knowledge of the healthcare industry and his substantial corporate development and business strategy expertise gained in the venture capital industry.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7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board of directors currently consists of seven members.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1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with staggered three-year terms. Only one class of directors will be elected at each annual meeting of stockholders, with the other classes continuing for the remainder of their respective three-year terms. Our current directors are divided among the three classes as follows:</w:t>
      </w:r>
    </w:p>
    <w:p>
      <w:pPr>
        <w:spacing w:after="0" w:line="130" w:lineRule="exact"/>
        <w:rPr>
          <w:sz w:val="20"/>
          <w:szCs w:val="20"/>
          <w:color w:val="auto"/>
        </w:rPr>
      </w:pPr>
    </w:p>
    <w:p>
      <w:pPr>
        <w:ind w:left="660" w:right="22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 directors are Catherine Friedman and Omead Ostadan, and their terms will expire at the annual meeting of stockholders to be held in 2021;</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 directors are Robert Langer Sc.D. and David Singer, and their terms will expire at the annual meeting of stockholders to be held in 2022; and</w:t>
      </w:r>
    </w:p>
    <w:p>
      <w:pPr>
        <w:spacing w:after="0" w:line="116"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Class III directors are Omid Farokhzad, M.D., David Hallal and Terrance McGuire, and their terms will expire at the annual meeting of stockholders to be held in 2023.</w:t>
      </w:r>
    </w:p>
    <w:p>
      <w:pPr>
        <w:spacing w:after="0" w:line="116" w:lineRule="exact"/>
        <w:rPr>
          <w:sz w:val="20"/>
          <w:szCs w:val="20"/>
          <w:color w:val="auto"/>
        </w:rPr>
      </w:pPr>
    </w:p>
    <w:p>
      <w:pPr>
        <w:jc w:val="both"/>
        <w:ind w:right="80" w:firstLine="324"/>
        <w:spacing w:after="0" w:line="301"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03" w:lineRule="exact"/>
        <w:rPr>
          <w:sz w:val="20"/>
          <w:szCs w:val="20"/>
          <w:color w:val="auto"/>
        </w:rPr>
      </w:pPr>
    </w:p>
    <w:p>
      <w:pPr>
        <w:ind w:right="1860" w:firstLine="324"/>
        <w:spacing w:after="0" w:line="438" w:lineRule="auto"/>
        <w:rPr>
          <w:sz w:val="20"/>
          <w:szCs w:val="20"/>
          <w:color w:val="auto"/>
        </w:rPr>
      </w:pPr>
      <w:r>
        <w:rPr>
          <w:rFonts w:ascii="Arial" w:cs="Arial" w:eastAsia="Arial" w:hAnsi="Arial"/>
          <w:sz w:val="18"/>
          <w:szCs w:val="18"/>
          <w:color w:val="auto"/>
        </w:rPr>
        <w:t xml:space="preserve">This classification of our board of directors may have the effect of delaying or preventing changes in control of our company. </w:t>
      </w:r>
      <w:r>
        <w:rPr>
          <w:rFonts w:ascii="Arial" w:cs="Arial" w:eastAsia="Arial" w:hAnsi="Arial"/>
          <w:sz w:val="18"/>
          <w:szCs w:val="18"/>
          <w:b w:val="1"/>
          <w:bCs w:val="1"/>
          <w:color w:val="auto"/>
        </w:rPr>
        <w:t>Director Independence</w:t>
      </w:r>
    </w:p>
    <w:p>
      <w:pPr>
        <w:spacing w:after="0" w:line="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Under the rules of Nasdaq, independent directors must comprise a majority of a listed company’s board of directors within one year of our initial public offering. In addition, the rules of Nasdaq require that,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121" w:right="359" w:bottom="1440" w:gutter="0" w:footer="0" w:header="0"/>
        </w:sectPr>
      </w:pPr>
    </w:p>
    <w:bookmarkStart w:id="128" w:name="page129"/>
    <w:bookmarkEnd w:id="12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34"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3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Catherine Friedman, David Hallal, Terrance McGuire and David Singer, representing a majority of our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1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7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Our board of directors has appointed David Hallal to serve as our Lead Independent Director. As a general matter, our board of directors believes that appointing a Lead Independent Director, while our Chief Executive Officer serves as Chair, creates an environment that encourages objective oversight of management’s performance and enhances the effectiveness of our board of directors as a whole. As Lead Independent Director, David Hallal will preside over periodic meetings of our independent directors, serve as a liaison between our Chair and Chief Executive Officer and our independent directors and perform such additional duties as our board of directors may otherwise determine and delegate.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1" w:right="339" w:bottom="1440" w:gutter="0" w:footer="0" w:header="0"/>
        </w:sectPr>
      </w:pPr>
    </w:p>
    <w:bookmarkStart w:id="129" w:name="page130"/>
    <w:bookmarkEnd w:id="12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members of our audit committee are Catherine Friedman, Terrance McGuire and David Singer. Catherine Friedman is the chair of our audit committee and is an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1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71"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related-party transactions; and</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16" w:lineRule="exact"/>
        <w:rPr>
          <w:sz w:val="20"/>
          <w:szCs w:val="20"/>
          <w:color w:val="auto"/>
        </w:rPr>
      </w:pPr>
    </w:p>
    <w:p>
      <w:pPr>
        <w:ind w:left="340" w:right="960"/>
        <w:spacing w:after="0" w:line="438" w:lineRule="auto"/>
        <w:rPr>
          <w:sz w:val="20"/>
          <w:szCs w:val="20"/>
          <w:color w:val="auto"/>
        </w:rPr>
      </w:pPr>
      <w:r>
        <w:rPr>
          <w:rFonts w:ascii="Arial" w:cs="Arial" w:eastAsia="Arial" w:hAnsi="Arial"/>
          <w:sz w:val="18"/>
          <w:szCs w:val="18"/>
          <w:color w:val="auto"/>
        </w:rPr>
        <w:t xml:space="preserve">Our audit committee operates under a written charter, which satisfies the applicable rules of the SEC and the listing standards of Nasdaq. </w:t>
      </w:r>
      <w:r>
        <w:rPr>
          <w:rFonts w:ascii="Arial" w:cs="Arial" w:eastAsia="Arial" w:hAnsi="Arial"/>
          <w:sz w:val="18"/>
          <w:szCs w:val="18"/>
          <w:b w:val="1"/>
          <w:bCs w:val="1"/>
          <w:i w:val="1"/>
          <w:iCs w:val="1"/>
          <w:color w:val="auto"/>
        </w:rPr>
        <w:t>Compensation Committee</w:t>
      </w:r>
    </w:p>
    <w:p>
      <w:pPr>
        <w:spacing w:after="0" w:line="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members of our compensation committee are Terrance McGuire, David Hallal and David Singer. Terrance McGuire is the chair of our compensation committee. Our compensation committee oversees our compensation policies, plans and benefits programs. The compensation committee will also:</w:t>
      </w:r>
    </w:p>
    <w:p>
      <w:pPr>
        <w:spacing w:after="0" w:line="13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121" w:right="439" w:bottom="1440" w:gutter="0" w:footer="0" w:header="0"/>
        </w:sectPr>
      </w:pPr>
    </w:p>
    <w:bookmarkStart w:id="130" w:name="page131"/>
    <w:bookmarkEnd w:id="13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171" w:lineRule="exact"/>
        <w:rPr>
          <w:sz w:val="20"/>
          <w:szCs w:val="20"/>
          <w:color w:val="auto"/>
        </w:rPr>
      </w:pPr>
    </w:p>
    <w:p>
      <w:pPr>
        <w:ind w:left="340" w:right="420"/>
        <w:spacing w:after="0" w:line="438" w:lineRule="auto"/>
        <w:rPr>
          <w:sz w:val="20"/>
          <w:szCs w:val="20"/>
          <w:color w:val="auto"/>
        </w:rPr>
      </w:pPr>
      <w:r>
        <w:rPr>
          <w:rFonts w:ascii="Arial" w:cs="Arial" w:eastAsia="Arial" w:hAnsi="Arial"/>
          <w:sz w:val="18"/>
          <w:szCs w:val="18"/>
          <w:color w:val="auto"/>
        </w:rPr>
        <w:t xml:space="preserve">Our compensation committee operates under a written charter, which satisfies the applicable rules of the SEC and the listing standards of Nasdaq. </w:t>
      </w:r>
      <w:r>
        <w:rPr>
          <w:rFonts w:ascii="Arial" w:cs="Arial" w:eastAsia="Arial" w:hAnsi="Arial"/>
          <w:sz w:val="18"/>
          <w:szCs w:val="18"/>
          <w:b w:val="1"/>
          <w:bCs w:val="1"/>
          <w:i w:val="1"/>
          <w:iCs w:val="1"/>
          <w:color w:val="auto"/>
        </w:rPr>
        <w:t>Corporate Governance and Nominating Committee</w:t>
      </w:r>
    </w:p>
    <w:p>
      <w:pPr>
        <w:spacing w:after="0" w:line="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members of our corporate governance and nominating committee are David Hallal, Catherine Friedman and Robert Langer, Sc.D. David Hallal is the chair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95" w:lineRule="exact"/>
        <w:rPr>
          <w:sz w:val="20"/>
          <w:szCs w:val="20"/>
          <w:color w:val="auto"/>
        </w:rPr>
      </w:pPr>
    </w:p>
    <w:p>
      <w:pPr>
        <w:ind w:left="660" w:right="840" w:hanging="328"/>
        <w:spacing w:after="0" w:line="277"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corporate governance and nominating committee operates under a written charter, which satisfies the applicable rules of the SEC and the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 Compensation</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We also reimburse each member of our scientific advisory board for all reasonable and necessary expenses in connection with the performance of his or her services. In addition, we grant each new member an option to purchase shares of our Class A common stock. In the future, we may make additional grants to our scientific advisory board members for continued service on the scientific advisory board.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right="440" w:firstLine="324"/>
        <w:spacing w:after="0" w:line="342" w:lineRule="auto"/>
        <w:rPr>
          <w:sz w:val="20"/>
          <w:szCs w:val="20"/>
          <w:color w:val="auto"/>
        </w:rPr>
      </w:pPr>
      <w:r>
        <w:rPr>
          <w:rFonts w:ascii="Arial" w:cs="Arial" w:eastAsia="Arial" w:hAnsi="Arial"/>
          <w:sz w:val="16"/>
          <w:szCs w:val="16"/>
          <w:color w:val="auto"/>
        </w:rPr>
        <w:t>Our employee director, Dr. Farokhzad, did not receive any compensation for his service as a director for the year ended December 31, 2020. The compensation received by Dr. Farokhzad as an employee is set forth in the section titled “Executive Compensation—Summary Compensation Table.”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the compensation of our non-employee directors for service as directors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Fees Earned or Paid in</w:t>
            </w:r>
          </w:p>
        </w:tc>
        <w:tc>
          <w:tcPr>
            <w:tcW w:w="15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All Other</w:t>
            </w:r>
          </w:p>
        </w:tc>
        <w:tc>
          <w:tcPr>
            <w:tcW w:w="15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4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Cash($)</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738,398</w:t>
            </w: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743,465</w:t>
            </w:r>
          </w:p>
        </w:tc>
        <w:tc>
          <w:tcPr>
            <w:tcW w:w="0" w:type="dxa"/>
            <w:vAlign w:val="bottom"/>
          </w:tcPr>
          <w:p>
            <w:pPr>
              <w:spacing w:after="0"/>
              <w:rPr>
                <w:sz w:val="1"/>
                <w:szCs w:val="1"/>
                <w:color w:val="auto"/>
              </w:rPr>
            </w:pP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David Hallal</w:t>
            </w:r>
          </w:p>
        </w:tc>
        <w:tc>
          <w:tcPr>
            <w:tcW w:w="1560" w:type="dxa"/>
            <w:vAlign w:val="bottom"/>
          </w:tcPr>
          <w:p>
            <w:pPr>
              <w:jc w:val="right"/>
              <w:spacing w:after="0"/>
              <w:rPr>
                <w:sz w:val="20"/>
                <w:szCs w:val="20"/>
                <w:color w:val="auto"/>
              </w:rPr>
            </w:pPr>
            <w:r>
              <w:rPr>
                <w:rFonts w:ascii="Arial" w:cs="Arial" w:eastAsia="Arial" w:hAnsi="Arial"/>
                <w:sz w:val="18"/>
                <w:szCs w:val="18"/>
                <w:color w:val="auto"/>
              </w:rPr>
              <w:t>5,925</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617,782</w:t>
            </w:r>
          </w:p>
        </w:tc>
        <w:tc>
          <w:tcPr>
            <w:tcW w:w="100" w:type="dxa"/>
            <w:vAlign w:val="bottom"/>
          </w:tcPr>
          <w:p>
            <w:pPr>
              <w:spacing w:after="0"/>
              <w:rPr>
                <w:sz w:val="21"/>
                <w:szCs w:val="21"/>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623,707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983,707</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3"/>
              </w:rPr>
              <w:t>75,000</w:t>
            </w:r>
            <w:r>
              <w:rPr>
                <w:rFonts w:ascii="Arial" w:cs="Arial" w:eastAsia="Arial" w:hAnsi="Arial"/>
                <w:sz w:val="23"/>
                <w:szCs w:val="23"/>
                <w:color w:val="auto"/>
                <w:w w:val="83"/>
                <w:vertAlign w:val="superscript"/>
              </w:rPr>
              <w:t>(3)</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1,062,215</w:t>
            </w:r>
          </w:p>
        </w:tc>
        <w:tc>
          <w:tcPr>
            <w:tcW w:w="0" w:type="dxa"/>
            <w:vAlign w:val="bottom"/>
          </w:tcPr>
          <w:p>
            <w:pPr>
              <w:spacing w:after="0"/>
              <w:rPr>
                <w:sz w:val="1"/>
                <w:szCs w:val="1"/>
                <w:color w:val="auto"/>
              </w:rPr>
            </w:pPr>
          </w:p>
        </w:tc>
      </w:tr>
      <w:tr>
        <w:trPr>
          <w:trHeight w:val="27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(4)</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219,011</w:t>
            </w:r>
          </w:p>
        </w:tc>
        <w:tc>
          <w:tcPr>
            <w:tcW w:w="100" w:type="dxa"/>
            <w:vAlign w:val="bottom"/>
          </w:tcPr>
          <w:p>
            <w:pPr>
              <w:spacing w:after="0"/>
              <w:rPr>
                <w:sz w:val="23"/>
                <w:szCs w:val="23"/>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219,011</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485,633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490,466</w:t>
            </w:r>
          </w:p>
        </w:tc>
        <w:tc>
          <w:tcPr>
            <w:tcW w:w="0" w:type="dxa"/>
            <w:vAlign w:val="bottom"/>
          </w:tcPr>
          <w:p>
            <w:pPr>
              <w:spacing w:after="0"/>
              <w:rPr>
                <w:sz w:val="1"/>
                <w:szCs w:val="1"/>
                <w:color w:val="auto"/>
              </w:rPr>
            </w:pP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David Singer</w:t>
            </w:r>
          </w:p>
        </w:tc>
        <w:tc>
          <w:tcPr>
            <w:tcW w:w="1560" w:type="dxa"/>
            <w:vAlign w:val="bottom"/>
          </w:tcPr>
          <w:p>
            <w:pPr>
              <w:jc w:val="right"/>
              <w:spacing w:after="0"/>
              <w:rPr>
                <w:sz w:val="20"/>
                <w:szCs w:val="20"/>
                <w:color w:val="auto"/>
              </w:rPr>
            </w:pPr>
            <w:r>
              <w:rPr>
                <w:rFonts w:ascii="Arial" w:cs="Arial" w:eastAsia="Arial" w:hAnsi="Arial"/>
                <w:sz w:val="18"/>
                <w:szCs w:val="18"/>
                <w:color w:val="auto"/>
              </w:rPr>
              <w:t>4,366</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410,428</w:t>
            </w:r>
          </w:p>
        </w:tc>
        <w:tc>
          <w:tcPr>
            <w:tcW w:w="100" w:type="dxa"/>
            <w:vAlign w:val="bottom"/>
          </w:tcPr>
          <w:p>
            <w:pPr>
              <w:spacing w:after="0"/>
              <w:rPr>
                <w:sz w:val="21"/>
                <w:szCs w:val="21"/>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414,794</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200" w:hanging="332"/>
        <w:spacing w:after="0" w:line="241" w:lineRule="auto"/>
        <w:tabs>
          <w:tab w:leader="none" w:pos="332"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 in this column represents the aggregate grant-date fair value of the award as computed as of the grant date of each option awarded in fiscal 2020 in accordance with Financial Accounting Standard Board Accounting Standards Codification Topic 718, or ASC Topic 718. The assumptions used in calculating the grant-date fair value of the awards reported in this column are set forth in the notes to our financial statements included elsewhere in this prospectus.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1" w:right="339" w:bottom="1440" w:gutter="0" w:footer="0" w:header="0"/>
        </w:sectPr>
      </w:pPr>
    </w:p>
    <w:bookmarkStart w:id="131" w:name="page132"/>
    <w:bookmarkEnd w:id="13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Mr.Langer received consulting fees for his service on our Scientific Advisory Board.</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all outstanding equity awards held by our non-employee directors as of December 31, 2020:</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Number of Securities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Underlying Unvested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 Options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Option Exercise Price</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5"/>
              </w:rPr>
              <w:t>Option Expiration</w:t>
            </w:r>
          </w:p>
        </w:tc>
      </w:tr>
      <w:tr>
        <w:trPr>
          <w:trHeight w:val="186"/>
        </w:trPr>
        <w:tc>
          <w:tcPr>
            <w:tcW w:w="22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40" w:type="dxa"/>
            <w:vAlign w:val="bottom"/>
          </w:tcPr>
          <w:p>
            <w:pPr>
              <w:ind w:left="1900"/>
              <w:spacing w:after="0"/>
              <w:rPr>
                <w:sz w:val="20"/>
                <w:szCs w:val="20"/>
                <w:color w:val="auto"/>
              </w:rPr>
            </w:pPr>
            <w:r>
              <w:rPr>
                <w:rFonts w:ascii="Arial" w:cs="Arial" w:eastAsia="Arial" w:hAnsi="Arial"/>
                <w:sz w:val="14"/>
                <w:szCs w:val="14"/>
                <w:b w:val="1"/>
                <w:bCs w:val="1"/>
                <w:color w:val="auto"/>
              </w:rPr>
              <w:t>Grant Date</w:t>
            </w:r>
          </w:p>
        </w:tc>
        <w:tc>
          <w:tcPr>
            <w:tcW w:w="1640" w:type="dxa"/>
            <w:vAlign w:val="bottom"/>
          </w:tcPr>
          <w:p>
            <w:pPr>
              <w:jc w:val="center"/>
              <w:ind w:left="88"/>
              <w:spacing w:after="0"/>
              <w:rPr>
                <w:sz w:val="20"/>
                <w:szCs w:val="20"/>
                <w:color w:val="auto"/>
              </w:rPr>
            </w:pPr>
            <w:r>
              <w:rPr>
                <w:rFonts w:ascii="Arial" w:cs="Arial" w:eastAsia="Arial" w:hAnsi="Arial"/>
                <w:sz w:val="14"/>
                <w:szCs w:val="14"/>
                <w:b w:val="1"/>
                <w:bCs w:val="1"/>
                <w:color w:val="auto"/>
                <w:w w:val="90"/>
              </w:rPr>
              <w:t>Stock Awards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Per Share ($)</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Date</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700" w:type="dxa"/>
            <w:vAlign w:val="bottom"/>
            <w:tcBorders>
              <w:top w:val="single" w:sz="8" w:color="auto"/>
            </w:tcBorders>
            <w:shd w:val="clear" w:color="auto" w:fill="CCEEFF"/>
          </w:tcPr>
          <w:p>
            <w:pPr>
              <w:ind w:left="20"/>
              <w:spacing w:after="0" w:line="242" w:lineRule="exact"/>
              <w:rPr>
                <w:sz w:val="20"/>
                <w:szCs w:val="20"/>
                <w:color w:val="auto"/>
              </w:rPr>
            </w:pPr>
            <w:r>
              <w:rPr>
                <w:rFonts w:ascii="Arial" w:cs="Arial" w:eastAsia="Arial" w:hAnsi="Arial"/>
                <w:sz w:val="18"/>
                <w:szCs w:val="18"/>
                <w:color w:val="auto"/>
              </w:rPr>
              <w:t>Catherine J. Friedman</w:t>
            </w:r>
            <w:r>
              <w:rPr>
                <w:rFonts w:ascii="Arial" w:cs="Arial" w:eastAsia="Arial" w:hAnsi="Arial"/>
                <w:sz w:val="23"/>
                <w:szCs w:val="23"/>
                <w:color w:val="auto"/>
                <w:vertAlign w:val="superscript"/>
              </w:rPr>
              <w:t>(1)</w:t>
            </w:r>
          </w:p>
        </w:tc>
        <w:tc>
          <w:tcPr>
            <w:tcW w:w="8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21"/>
                <w:szCs w:val="21"/>
                <w:color w:val="auto"/>
              </w:rPr>
            </w:pPr>
          </w:p>
        </w:tc>
      </w:tr>
      <w:tr>
        <w:trPr>
          <w:trHeight w:val="230"/>
        </w:trPr>
        <w:tc>
          <w:tcPr>
            <w:tcW w:w="3700" w:type="dxa"/>
            <w:vAlign w:val="bottom"/>
            <w:shd w:val="clear" w:color="auto" w:fill="CCEEFF"/>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20"/>
                <w:szCs w:val="20"/>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David Hallal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tcPr>
          <w:p>
            <w:pPr>
              <w:spacing w:after="0"/>
              <w:rPr>
                <w:sz w:val="19"/>
                <w:szCs w:val="19"/>
                <w:color w:val="auto"/>
              </w:rPr>
            </w:pPr>
          </w:p>
        </w:tc>
      </w:tr>
      <w:tr>
        <w:trPr>
          <w:trHeight w:val="229"/>
        </w:trPr>
        <w:tc>
          <w:tcPr>
            <w:tcW w:w="37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9/11/2020</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20"/>
                <w:szCs w:val="20"/>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Langer, Sc.D.</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9/20/2017</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shd w:val="clear" w:color="auto" w:fill="CCEEFF"/>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shd w:val="clear" w:color="auto" w:fill="CCEEFF"/>
          </w:tcPr>
          <w:p>
            <w:pPr>
              <w:spacing w:after="0"/>
              <w:rPr>
                <w:sz w:val="20"/>
                <w:szCs w:val="20"/>
                <w:color w:val="auto"/>
              </w:rPr>
            </w:pPr>
          </w:p>
        </w:tc>
      </w:tr>
      <w:tr>
        <w:trPr>
          <w:trHeight w:val="229"/>
        </w:trPr>
        <w:tc>
          <w:tcPr>
            <w:tcW w:w="3700" w:type="dxa"/>
            <w:vAlign w:val="bottom"/>
          </w:tcPr>
          <w:p>
            <w:pPr>
              <w:ind w:left="20"/>
              <w:spacing w:after="0" w:line="229" w:lineRule="exact"/>
              <w:rPr>
                <w:sz w:val="20"/>
                <w:szCs w:val="20"/>
                <w:color w:val="auto"/>
              </w:rPr>
            </w:pPr>
            <w:r>
              <w:rPr>
                <w:rFonts w:ascii="Arial" w:cs="Arial" w:eastAsia="Arial" w:hAnsi="Arial"/>
                <w:sz w:val="18"/>
                <w:szCs w:val="18"/>
                <w:color w:val="auto"/>
              </w:rPr>
              <w:t>Mark McClellan, Ph.D.</w:t>
            </w:r>
            <w:r>
              <w:rPr>
                <w:rFonts w:ascii="Arial" w:cs="Arial" w:eastAsia="Arial" w:hAnsi="Arial"/>
                <w:sz w:val="23"/>
                <w:szCs w:val="23"/>
                <w:color w:val="auto"/>
                <w:vertAlign w:val="superscript"/>
              </w:rPr>
              <w:t>(12)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6/27/2019</w:t>
            </w:r>
          </w:p>
        </w:tc>
        <w:tc>
          <w:tcPr>
            <w:tcW w:w="10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tcPr>
          <w:p>
            <w:pPr>
              <w:spacing w:after="0"/>
              <w:rPr>
                <w:sz w:val="20"/>
                <w:szCs w:val="20"/>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11/15/2017</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2/19/2018</w:t>
            </w:r>
          </w:p>
        </w:tc>
        <w:tc>
          <w:tcPr>
            <w:tcW w:w="100" w:type="dxa"/>
            <w:vAlign w:val="bottom"/>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5/18/2018</w:t>
            </w:r>
          </w:p>
        </w:tc>
        <w:tc>
          <w:tcPr>
            <w:tcW w:w="100" w:type="dxa"/>
            <w:vAlign w:val="bottom"/>
          </w:tcPr>
          <w:p>
            <w:pPr>
              <w:spacing w:after="0"/>
              <w:rPr>
                <w:sz w:val="19"/>
                <w:szCs w:val="19"/>
                <w:color w:val="auto"/>
              </w:rPr>
            </w:pPr>
          </w:p>
        </w:tc>
      </w:tr>
      <w:tr>
        <w:trPr>
          <w:trHeight w:val="229"/>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7/28/2020</w:t>
            </w:r>
          </w:p>
        </w:tc>
        <w:tc>
          <w:tcPr>
            <w:tcW w:w="10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shd w:val="clear" w:color="auto" w:fill="CCEEFF"/>
          </w:tcPr>
          <w:p>
            <w:pPr>
              <w:spacing w:after="0"/>
              <w:rPr>
                <w:sz w:val="20"/>
                <w:szCs w:val="20"/>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David Singer</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131,425</w:t>
            </w: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vMerge w:val="restart"/>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49,852</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32,512</w:t>
            </w:r>
          </w:p>
        </w:tc>
        <w:tc>
          <w:tcPr>
            <w:tcW w:w="460" w:type="dxa"/>
            <w:vAlign w:val="bottom"/>
          </w:tcPr>
          <w:p>
            <w:pPr>
              <w:ind w:left="60"/>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101,886</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2.70</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51,753</w:t>
            </w:r>
          </w:p>
        </w:tc>
        <w:tc>
          <w:tcPr>
            <w:tcW w:w="460" w:type="dxa"/>
            <w:vAlign w:val="bottom"/>
          </w:tcPr>
          <w:p>
            <w:pPr>
              <w:ind w:left="4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38,422</w:t>
            </w:r>
          </w:p>
        </w:tc>
        <w:tc>
          <w:tcPr>
            <w:tcW w:w="460" w:type="dxa"/>
            <w:vAlign w:val="bottom"/>
          </w:tcPr>
          <w:p>
            <w:pPr>
              <w:ind w:left="40"/>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09/10/2030</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26,789</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11,589</w:t>
            </w:r>
          </w:p>
        </w:tc>
        <w:tc>
          <w:tcPr>
            <w:tcW w:w="460" w:type="dxa"/>
            <w:vAlign w:val="bottom"/>
          </w:tcPr>
          <w:p>
            <w:pPr>
              <w:ind w:left="60"/>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104,048</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101,886</w:t>
            </w:r>
          </w:p>
        </w:tc>
        <w:tc>
          <w:tcPr>
            <w:tcW w:w="460" w:type="dxa"/>
            <w:vAlign w:val="bottom"/>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121,562</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8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175"/>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152,768</w:t>
            </w:r>
          </w:p>
        </w:tc>
        <w:tc>
          <w:tcPr>
            <w:tcW w:w="460" w:type="dxa"/>
            <w:vAlign w:val="bottom"/>
          </w:tcPr>
          <w:p>
            <w:pPr>
              <w:ind w:left="40"/>
              <w:spacing w:after="0" w:line="94" w:lineRule="exact"/>
              <w:rPr>
                <w:sz w:val="20"/>
                <w:szCs w:val="20"/>
                <w:color w:val="auto"/>
              </w:rPr>
            </w:pPr>
            <w:r>
              <w:rPr>
                <w:rFonts w:ascii="Arial" w:cs="Arial" w:eastAsia="Arial" w:hAnsi="Arial"/>
                <w:sz w:val="9"/>
                <w:szCs w:val="9"/>
                <w:color w:val="auto"/>
              </w:rPr>
              <w:t>(13)</w:t>
            </w: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2.21</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06/26/2029</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9,349</w:t>
            </w:r>
          </w:p>
        </w:tc>
        <w:tc>
          <w:tcPr>
            <w:tcW w:w="460" w:type="dxa"/>
            <w:vAlign w:val="bottom"/>
          </w:tcPr>
          <w:p>
            <w:pPr>
              <w:ind w:left="40"/>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31,656</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180"/>
              <w:spacing w:after="0" w:line="17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jc w:val="right"/>
              <w:spacing w:after="0"/>
              <w:rPr>
                <w:sz w:val="20"/>
                <w:szCs w:val="20"/>
                <w:color w:val="auto"/>
              </w:rPr>
            </w:pPr>
            <w:r>
              <w:rPr>
                <w:rFonts w:ascii="Arial" w:cs="Arial" w:eastAsia="Arial" w:hAnsi="Arial"/>
                <w:sz w:val="18"/>
                <w:szCs w:val="18"/>
                <w:color w:val="auto"/>
              </w:rPr>
              <w:t>11,566</w:t>
            </w:r>
          </w:p>
        </w:tc>
        <w:tc>
          <w:tcPr>
            <w:tcW w:w="460" w:type="dxa"/>
            <w:vAlign w:val="bottom"/>
          </w:tcPr>
          <w:p>
            <w:pPr>
              <w:ind w:left="6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24"/>
                <w:szCs w:val="24"/>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104,048</w:t>
            </w: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05/17/2028</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101,886</w:t>
            </w:r>
          </w:p>
        </w:tc>
        <w:tc>
          <w:tcPr>
            <w:tcW w:w="460" w:type="dxa"/>
            <w:vAlign w:val="bottom"/>
          </w:tcPr>
          <w:p>
            <w:pPr>
              <w:ind w:left="4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01/27/2030</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58,415</w:t>
            </w:r>
          </w:p>
        </w:tc>
        <w:tc>
          <w:tcPr>
            <w:tcW w:w="460" w:type="dxa"/>
            <w:vAlign w:val="bottom"/>
            <w:vMerge w:val="restart"/>
          </w:tcPr>
          <w:p>
            <w:pPr>
              <w:ind w:left="40"/>
              <w:spacing w:after="0"/>
              <w:rPr>
                <w:sz w:val="20"/>
                <w:szCs w:val="20"/>
                <w:color w:val="auto"/>
              </w:rPr>
            </w:pPr>
            <w:r>
              <w:rPr>
                <w:rFonts w:ascii="Arial" w:cs="Arial" w:eastAsia="Arial" w:hAnsi="Arial"/>
                <w:sz w:val="12"/>
                <w:szCs w:val="12"/>
                <w:color w:val="auto"/>
              </w:rPr>
              <w:t>(7)</w:t>
            </w:r>
          </w:p>
        </w:tc>
        <w:tc>
          <w:tcPr>
            <w:tcW w:w="8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100" w:type="dxa"/>
            <w:vAlign w:val="bottom"/>
            <w:vMerge w:val="restart"/>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07/27/2030</w:t>
            </w: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18,691</w:t>
            </w:r>
          </w:p>
        </w:tc>
        <w:tc>
          <w:tcPr>
            <w:tcW w:w="460" w:type="dxa"/>
            <w:vAlign w:val="bottom"/>
          </w:tcPr>
          <w:p>
            <w:pPr>
              <w:ind w:left="40"/>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37,383</w:t>
            </w:r>
          </w:p>
        </w:tc>
        <w:tc>
          <w:tcPr>
            <w:tcW w:w="460" w:type="dxa"/>
            <w:vAlign w:val="bottom"/>
          </w:tcPr>
          <w:p>
            <w:pPr>
              <w:ind w:left="40"/>
              <w:spacing w:after="0" w:line="94"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-3355340</wp:posOffset>
            </wp:positionV>
            <wp:extent cx="7132320" cy="300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-2181225</wp:posOffset>
            </wp:positionV>
            <wp:extent cx="7132320" cy="874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743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-1015365</wp:posOffset>
            </wp:positionV>
            <wp:extent cx="7132320" cy="874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743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0"/>
            <w:col w:w="5920"/>
          </w:cols>
          <w:pgMar w:left="320" w:top="121"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Ms. Friedman joined our board of directors in September 2020.</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45 equal monthly installments beginning on January 15,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subject to the option vest in 36 equal monthly installments beginning on January 3, 2021,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15 equal monthly installments beginning on January 23,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shares were acquired pursuant to an early option exercise and vest in 15 equal monthly installments beginning on January 23,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February 28,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August 28,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Shares subject to the option vest in 48 equal monthly installments beginning on October 11, 2020, subject to continued service to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11 equal monthly installments beginning on January 31, 2021, subject to continued service to the Company.</w:t>
      </w:r>
    </w:p>
    <w:p>
      <w:pPr>
        <w:spacing w:after="0" w:line="12" w:lineRule="exact"/>
        <w:rPr>
          <w:rFonts w:ascii="Arial" w:cs="Arial" w:eastAsia="Arial" w:hAnsi="Arial"/>
          <w:sz w:val="13"/>
          <w:szCs w:val="13"/>
          <w:color w:val="auto"/>
        </w:rPr>
      </w:pPr>
    </w:p>
    <w:p>
      <w:pPr>
        <w:ind w:left="340" w:right="140" w:hanging="332"/>
        <w:spacing w:after="0" w:line="293" w:lineRule="auto"/>
        <w:tabs>
          <w:tab w:leader="none" w:pos="337"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13 equal monthly installments beginning on January 31, 2021, subject to continued service to the Company. One-fourth of the shares underlying the option vested on March 6, 2020, and 1/48th of the shares vest monthly thereafter, subject to continued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1" w:right="339" w:bottom="1440" w:gutter="0" w:footer="0" w:header="0"/>
          <w:type w:val="continuous"/>
        </w:sectPr>
      </w:pPr>
    </w:p>
    <w:bookmarkStart w:id="132" w:name="page133"/>
    <w:bookmarkEnd w:id="13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140" w:hanging="332"/>
        <w:spacing w:after="0" w:line="250" w:lineRule="auto"/>
        <w:tabs>
          <w:tab w:leader="none" w:pos="331"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1/48th of the shares vest monthly thereafter, subject to continued service to the Company.</w:t>
      </w:r>
    </w:p>
    <w:p>
      <w:pPr>
        <w:ind w:left="320" w:hanging="31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Mr. McClellan resigned from our board of directors in September 2020.</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37"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113,012 of the shares underlying the option vested on September 1, 2020, and 1/48th of the shares vest monthly thereafter, subject to continued service to the Company.</w:t>
      </w:r>
    </w:p>
    <w:p>
      <w:pPr>
        <w:ind w:left="320" w:hanging="312"/>
        <w:spacing w:after="0"/>
        <w:tabs>
          <w:tab w:leader="none" w:pos="3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underlying the option were fully vested as of September 1, 2020.</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37"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are held of record by Strong Bridge LLC (Strong Bridge) for which Mr. McGuire serves as an operating manager. The shares were acquired pursuant to a restricted stock award and vest in 13 equal monthly installments beginning on January 31, 2021, subject to Mr. McGuire’s continued service to the Company.</w:t>
      </w:r>
    </w:p>
    <w:p>
      <w:pPr>
        <w:ind w:left="340" w:right="80" w:hanging="332"/>
        <w:spacing w:after="0" w:line="241" w:lineRule="auto"/>
        <w:tabs>
          <w:tab w:leader="none" w:pos="337"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shares are held of record by Strong Bridge. The shares were acquired pursuant to an early exercise provision and vest in 13 equal monthly installments beginning on January 31, 2021, subject to Mr. McGuire’s continued service to the Company.</w:t>
      </w:r>
    </w:p>
    <w:p>
      <w:pPr>
        <w:ind w:left="340" w:right="520" w:hanging="332"/>
        <w:spacing w:after="0" w:line="293" w:lineRule="auto"/>
        <w:tabs>
          <w:tab w:leader="none" w:pos="337"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option is held of record by Strong Bridge. The shares underlying the option are subject to an early exercise provision and are immediately exercisable. One-fourth of the shares underlying the option vested on March 23, 2019, and 1/48th of the shares vest monthly thereafter, subject to Mr. McGuire’s continued service to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75"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non-employee directors for their service as directors. From time to time, we have granted equity awards to attract non-employee directors to join our board of directors and for their continued service on our board of directors. We also have reimbursed our directors for expenses associated with attending meetings of our board of directors and its committees.</w:t>
      </w:r>
    </w:p>
    <w:p>
      <w:pPr>
        <w:spacing w:after="0" w:line="133"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2020, our compensation committee retained Radford, a third-party compensation consultant, to provide our board of directors and its compensation committee with an analysis of publicly available market data regarding practices and compensation levels at comparable companies and assistance in determining compensation to be provided to our non-employee directors. Based on the discussions with and assistance from the compensation consultant, in connection with our initial public offering, our board of directors adopted, and our stockholders approved, an Outside Director Compensation Policy that provides for certain compensation to our non-employee directors. The below is a summary of the terms of the Outside Director Compensation Policy.</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7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$20,000 per year for service as lead independent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$12,000 per year for service as chair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$6,000 per year for service as a member of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$10,000 per year for service as chair of the corporate governance and nominating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$5,000 per year for service as a member of the corporate governance and nominating committee.</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Each non-employee director who serves as a committee chair will receive only the cash retainer fee as the chair of the committee but not the cash retainer fee as a member of that committee, provided that the non-employee director who serves as lead independent director will receive the annual retainer fees for such role as well as the annual retainer fee for service as a non-employee director. These fees to our non-employee directors will be paid quarterly in arrears on a prorated basis. The above-listed fees for service as lead independent director, a chair or member of any committee are payable in addition to the non-employee director retainer. Under our Outside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121" w:right="379" w:bottom="1440" w:gutter="0" w:footer="0" w:header="0"/>
        </w:sectPr>
      </w:pPr>
    </w:p>
    <w:bookmarkStart w:id="133" w:name="page134"/>
    <w:bookmarkEnd w:id="13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Compensation Policy, we also will reimburse our non-employee directors for reasonable travel expenses to attend meetings of our board of directors and its committees.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our Outside Director Compensation Policy, each person who first becomes a non-employee director after the 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policy will receive, on the first trading day on or after the date that the person first becomes a non-employee director, an initial award of stock options to purchase 37,383 shares of our common stock (the Initial Award).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1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Each non-employee director automatically will receive, on the first trading day immediately after the date of each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stockholders (an Annual Meeting) that occurs following the effective date of our Outside Director Compensation Policy, an annual award of stock options to purchase 18,691 shares of our common stock (the Annual Award), except if an individual began service as a non-employee director after the date of the Annual Meeting that occurred immediately prior to such Annual Meeting (or if there is no such prior Annual Meeting, then December 3, 2020), then the Annual Award granted to such non-employee director will be prorated based on the number of whole months that the individual served as a non-employee director prior to the Annual Award’s grant date during the 12 month period immediately preceding such Annual Meeting or such effective registration statement date, as applicable. Each Annual Award will be scheduled to vest as to all of the shares of our common stock subject to such award on the earlier of (i) the one year anniversary of the date the Annual Award is granted or (ii) the day immediately before the date of the next Annual Meeting that occurs after the grant date of the Annual Award, subject to continued services to us through the applicable vesting date.</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IPO Awards. </w:t>
      </w:r>
      <w:r>
        <w:rPr>
          <w:rFonts w:ascii="Arial" w:cs="Arial" w:eastAsia="Arial" w:hAnsi="Arial"/>
          <w:sz w:val="17"/>
          <w:szCs w:val="17"/>
          <w:color w:val="auto"/>
        </w:rPr>
        <w:t>Effective upon our initial public offering, each non-employee director who previously was granted any stock options covering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 prior to such date was granted an award of stock options to purchase 18,691 shares of our common stock (a Continuing Director IPO Award) and each non-employee director who, prior to such date, was not granted any stock options covering shares of our common stock was granted an award of stock options to purchase 37,383 shares of our common stock (a New Director IPO Award). Each New Director IPO Award is scheduled to vest in equal installments as to 1/36th of the shares of our common stock subject to the New Director IPO Award on a monthly basis following December 3, 2020, on the same day of the month as such date, subject to continued services to us through the applicable vesting dates. Each Continuing Director IPO Award will be scheduled to vest as to all of the shares of our common stock subject to such award on the earlier of (i) the one year anniversary of the date the Continuing Director IPO Award was granted or (ii) the day immediately before the date of the next Annual Meeting that occurs after December 3, 2020, subject to continued services to us through the applicable vesting date.</w:t>
      </w:r>
    </w:p>
    <w:p>
      <w:pPr>
        <w:spacing w:after="0" w:line="12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non-employee director’s then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covering shares of our common stock that were granted to him or her while a non-employee director will accelerate vesting in full, provided that he or she remains a non-employee director through the date of our change in control.</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Annual Award, Continuing Director IPO Award, and New Director IPO Award will be granted under our 2020</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(or its successor plan, as applicable) and form of award agreement under such plan. These awards will have a maximum term to expiration of ten years from their grant and a per share exercise price equal to 100% of the fair market value of a share of our common stock on the award’s grant date.</w:t>
      </w:r>
    </w:p>
    <w:p>
      <w:pPr>
        <w:spacing w:after="0" w:line="133"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i w:val="1"/>
          <w:iCs w:val="1"/>
          <w:color w:val="auto"/>
        </w:rPr>
        <w:t>Director Compensation Limits</w:t>
      </w:r>
      <w:r>
        <w:rPr>
          <w:rFonts w:ascii="Arial" w:cs="Arial" w:eastAsia="Arial" w:hAnsi="Arial"/>
          <w:sz w:val="16"/>
          <w:szCs w:val="16"/>
          <w:color w:val="auto"/>
        </w:rPr>
        <w:t>. Our Outside Director Compensation Policy provides that in any fiscal year, a non-employee director may be paid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granted equity awards with an aggregate value of no more than $750,000 (with the value of equity awards based on its grant date fair value determined in accordance with U.S. GAAP for purposes of this limit), with such limit increased to $1,000,000 in the fiscal year of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121" w:right="359" w:bottom="1440" w:gutter="0" w:footer="0" w:header="0"/>
        </w:sectPr>
      </w:pPr>
    </w:p>
    <w:bookmarkStart w:id="134" w:name="page135"/>
    <w:bookmarkEnd w:id="13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initial service as a non-employee director. Equity awards granted or other compensation provided to a non-employee director for services provided as an employee or consultant (other than a non-employee director), or provided before December 3, 2020, will not count toward this annual limit.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adopted a written code of business conduct and ethics that will apply to our directors, officers and employees, including our principal executive officer, principal financial officer, principal accounting officer or controller or, persons performing similar functions. The code of business conduct and ethics is available on our website at http://seer.bio.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public filings. Information contained on the website is not incorporated by reference into this prospectus and should not be considered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121" w:right="399" w:bottom="1440" w:gutter="0" w:footer="0" w:header="0"/>
        </w:sectPr>
      </w:pPr>
    </w:p>
    <w:bookmarkStart w:id="135" w:name="page136"/>
    <w:bookmarkEnd w:id="13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the year ended December 31, 2020 are:</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Omid Farokhzad, M.D., our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David R. Horn, our Executive Vice President and Chief Financial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Omead Ostadan, our President and Chief Operating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Summary Compensation Table</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years ended December 31, 2019 and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Non-Equity</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All Other</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Incentive Plan</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3"/>
                <w:szCs w:val="13"/>
                <w:b w:val="1"/>
                <w:bCs w:val="1"/>
                <w:color w:val="auto"/>
                <w:w w:val="84"/>
              </w:rPr>
              <w:t xml:space="preserve">Compensation </w:t>
            </w:r>
            <w:r>
              <w:rPr>
                <w:rFonts w:ascii="Arial" w:cs="Arial" w:eastAsia="Arial" w:hAnsi="Arial"/>
                <w:sz w:val="16"/>
                <w:szCs w:val="16"/>
                <w:b w:val="1"/>
                <w:bCs w:val="1"/>
                <w:color w:val="auto"/>
                <w:w w:val="84"/>
                <w:vertAlign w:val="superscript"/>
              </w:rPr>
              <w:t>(2)</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4"/>
                <w:szCs w:val="14"/>
                <w:color w:val="auto"/>
              </w:rPr>
            </w:pPr>
          </w:p>
        </w:tc>
        <w:tc>
          <w:tcPr>
            <w:tcW w:w="680" w:type="dxa"/>
            <w:vAlign w:val="bottom"/>
            <w:gridSpan w:val="2"/>
          </w:tcPr>
          <w:p>
            <w:pPr>
              <w:ind w:left="180"/>
              <w:spacing w:after="0"/>
              <w:rPr>
                <w:sz w:val="20"/>
                <w:szCs w:val="20"/>
                <w:color w:val="auto"/>
              </w:rPr>
            </w:pPr>
            <w:r>
              <w:rPr>
                <w:rFonts w:ascii="Arial" w:cs="Arial" w:eastAsia="Arial" w:hAnsi="Arial"/>
                <w:sz w:val="13"/>
                <w:szCs w:val="13"/>
                <w:b w:val="1"/>
                <w:bCs w:val="1"/>
                <w:color w:val="auto"/>
              </w:rPr>
              <w:t>Year</w:t>
            </w:r>
          </w:p>
        </w:tc>
        <w:tc>
          <w:tcPr>
            <w:tcW w:w="2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Salary</w:t>
            </w: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Bonus</w:t>
            </w: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Stock Awards</w:t>
            </w: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Option Awards</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Compensation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Omid Farokhzad, M.D.</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421,011</w:t>
            </w:r>
          </w:p>
        </w:tc>
        <w:tc>
          <w:tcPr>
            <w:tcW w:w="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214,240</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115,872</w:t>
            </w: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751,123</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Executive Officer</w:t>
            </w: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434,448</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424,092</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424,092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9,080,012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113,542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10,476,185</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2"/>
                <w:szCs w:val="12"/>
                <w:color w:val="auto"/>
              </w:rPr>
              <w:t xml:space="preserve">Philip Ma, Ph.D. </w:t>
            </w:r>
            <w:r>
              <w:rPr>
                <w:rFonts w:ascii="Arial" w:cs="Arial" w:eastAsia="Arial" w:hAnsi="Arial"/>
                <w:sz w:val="15"/>
                <w:szCs w:val="15"/>
                <w:color w:val="auto"/>
                <w:vertAlign w:val="superscript"/>
              </w:rPr>
              <w:t>(1)</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342,071</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15,014</w:t>
            </w:r>
          </w:p>
        </w:tc>
        <w:tc>
          <w:tcPr>
            <w:tcW w:w="8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487,085</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Chief Business Officer</w:t>
            </w: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David R. Horn</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227,269</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212,934</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534,436</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3,288,345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4,262,984</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7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Omead Ostadan</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215,577</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282,071</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1,092,068</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5,052,575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11"/>
              <w:spacing w:after="0"/>
              <w:rPr>
                <w:sz w:val="20"/>
                <w:szCs w:val="20"/>
                <w:color w:val="auto"/>
              </w:rPr>
            </w:pPr>
            <w:r>
              <w:rPr>
                <w:rFonts w:ascii="Arial" w:cs="Arial" w:eastAsia="Arial" w:hAnsi="Arial"/>
                <w:sz w:val="14"/>
                <w:szCs w:val="14"/>
                <w:color w:val="auto"/>
              </w:rPr>
              <w:t>32,511</w:t>
            </w:r>
          </w:p>
        </w:tc>
        <w:tc>
          <w:tcPr>
            <w:tcW w:w="80" w:type="dxa"/>
            <w:vAlign w:val="bottom"/>
          </w:tcPr>
          <w:p>
            <w:pPr>
              <w:spacing w:after="0"/>
              <w:rPr>
                <w:sz w:val="11"/>
                <w:szCs w:val="11"/>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6,674,801</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President and Chief Operating Officer</w:t>
            </w: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Dr. Ma transitioned to PrognomIQ to serve as its full-time chief executive officer as of October 15, 2020. He will remain a consultant of the Company until April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All other compensation consists of reimbursement of commuting costs and tax gross ups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21" w:right="339" w:bottom="1440" w:gutter="0" w:footer="0" w:header="0"/>
        </w:sectPr>
      </w:pPr>
    </w:p>
    <w:bookmarkStart w:id="136" w:name="page137"/>
    <w:bookmarkEnd w:id="13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regarding outstanding equity awards held by each of our named executive officers as of December 31, 2020:</w:t>
      </w:r>
    </w:p>
    <w:p>
      <w:pPr>
        <w:spacing w:after="0" w:line="244" w:lineRule="exact"/>
        <w:rPr>
          <w:sz w:val="20"/>
          <w:szCs w:val="20"/>
          <w:color w:val="auto"/>
        </w:rPr>
      </w:pPr>
    </w:p>
    <w:p>
      <w:pPr>
        <w:ind w:left="5320"/>
        <w:spacing w:after="0"/>
        <w:tabs>
          <w:tab w:leader="none" w:pos="938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27940</wp:posOffset>
            </wp:positionV>
            <wp:extent cx="5066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60" w:type="dxa"/>
            <w:vAlign w:val="bottom"/>
            <w:vMerge w:val="restart"/>
          </w:tcPr>
          <w:p>
            <w:pPr>
              <w:ind w:left="8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9"/>
                <w:szCs w:val="19"/>
                <w:color w:val="auto"/>
              </w:rPr>
            </w:pPr>
          </w:p>
        </w:tc>
        <w:tc>
          <w:tcPr>
            <w:tcW w:w="1100" w:type="dxa"/>
            <w:vAlign w:val="bottom"/>
          </w:tcPr>
          <w:p>
            <w:pPr>
              <w:jc w:val="right"/>
              <w:ind w:right="129"/>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Omid Farokhzad, M.D.</w:t>
            </w:r>
          </w:p>
        </w:tc>
        <w:tc>
          <w:tcPr>
            <w:tcW w:w="1200" w:type="dxa"/>
            <w:vAlign w:val="bottom"/>
            <w:gridSpan w:val="2"/>
          </w:tcPr>
          <w:p>
            <w:pPr>
              <w:jc w:val="right"/>
              <w:ind w:right="429"/>
              <w:spacing w:after="0"/>
              <w:rPr>
                <w:sz w:val="20"/>
                <w:szCs w:val="20"/>
                <w:color w:val="auto"/>
              </w:rPr>
            </w:pPr>
            <w:r>
              <w:rPr>
                <w:rFonts w:ascii="Arial" w:cs="Arial" w:eastAsia="Arial" w:hAnsi="Arial"/>
                <w:sz w:val="14"/>
                <w:szCs w:val="14"/>
                <w:color w:val="auto"/>
              </w:rPr>
              <w:t>9/20/2017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tcPr>
          <w:p>
            <w:pPr>
              <w:jc w:val="right"/>
              <w:ind w:right="429"/>
              <w:spacing w:after="0"/>
              <w:rPr>
                <w:sz w:val="20"/>
                <w:szCs w:val="20"/>
                <w:color w:val="auto"/>
              </w:rPr>
            </w:pPr>
            <w:r>
              <w:rPr>
                <w:rFonts w:ascii="Arial" w:cs="Arial" w:eastAsia="Arial" w:hAnsi="Arial"/>
                <w:sz w:val="14"/>
                <w:szCs w:val="14"/>
                <w:color w:val="auto"/>
                <w:w w:val="93"/>
              </w:rPr>
              <w:t>2/19/2018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5/18/2018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w w:val="93"/>
              </w:rPr>
              <w:t>1/28/2020</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8"/>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7/28/2020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12/3/2020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12/3/2020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Number of Securities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9"/>
              </w:rPr>
              <w:t>Market Value of Shares</w:t>
            </w:r>
          </w:p>
        </w:tc>
        <w:tc>
          <w:tcPr>
            <w:tcW w:w="0" w:type="dxa"/>
            <w:vAlign w:val="bottom"/>
          </w:tcPr>
          <w:p>
            <w:pPr>
              <w:spacing w:after="0"/>
              <w:rPr>
                <w:sz w:val="1"/>
                <w:szCs w:val="1"/>
                <w:color w:val="auto"/>
              </w:rPr>
            </w:pPr>
          </w:p>
        </w:tc>
      </w:tr>
      <w:tr>
        <w:trPr>
          <w:trHeight w:val="148"/>
        </w:trPr>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Number of Securities</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Underlying Unexercised</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7"/>
              </w:rPr>
              <w:t>Number of Shares or</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8"/>
              </w:rPr>
              <w:t>or Units of Stock That</w:t>
            </w:r>
          </w:p>
        </w:tc>
        <w:tc>
          <w:tcPr>
            <w:tcW w:w="0" w:type="dxa"/>
            <w:vAlign w:val="bottom"/>
          </w:tcPr>
          <w:p>
            <w:pPr>
              <w:spacing w:after="0"/>
              <w:rPr>
                <w:sz w:val="1"/>
                <w:szCs w:val="1"/>
                <w:color w:val="auto"/>
              </w:rPr>
            </w:pPr>
          </w:p>
        </w:tc>
      </w:tr>
      <w:tr>
        <w:trPr>
          <w:trHeight w:val="162"/>
        </w:trPr>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Underlying Unexercised</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Options (#)</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Exercise Price</w:t>
            </w: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Option Expiration</w:t>
            </w: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8"/>
              </w:rPr>
              <w:t>Units of Stock That Have</w:t>
            </w:r>
          </w:p>
        </w:tc>
        <w:tc>
          <w:tcPr>
            <w:tcW w:w="144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85"/>
              </w:rPr>
              <w:t>Have Not Vested ($)</w:t>
            </w:r>
            <w:r>
              <w:rPr>
                <w:rFonts w:ascii="Arial" w:cs="Arial" w:eastAsia="Arial" w:hAnsi="Arial"/>
                <w:sz w:val="16"/>
                <w:szCs w:val="16"/>
                <w:b w:val="1"/>
                <w:bCs w:val="1"/>
                <w:color w:val="auto"/>
                <w:w w:val="85"/>
                <w:vertAlign w:val="superscript"/>
              </w:rPr>
              <w:t>(2)</w:t>
            </w:r>
          </w:p>
        </w:tc>
        <w:tc>
          <w:tcPr>
            <w:tcW w:w="0" w:type="dxa"/>
            <w:vAlign w:val="bottom"/>
          </w:tcPr>
          <w:p>
            <w:pPr>
              <w:spacing w:after="0"/>
              <w:rPr>
                <w:sz w:val="1"/>
                <w:szCs w:val="1"/>
                <w:color w:val="auto"/>
              </w:rPr>
            </w:pPr>
          </w:p>
        </w:tc>
      </w:tr>
      <w:tr>
        <w:trPr>
          <w:trHeight w:val="164"/>
        </w:trPr>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Options (#) Exercisable</w:t>
            </w: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Unexercisable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Date</w:t>
            </w:r>
          </w:p>
        </w:tc>
        <w:tc>
          <w:tcPr>
            <w:tcW w:w="1500" w:type="dxa"/>
            <w:vAlign w:val="bottom"/>
          </w:tcPr>
          <w:p>
            <w:pPr>
              <w:jc w:val="center"/>
              <w:ind w:right="41"/>
              <w:spacing w:after="0"/>
              <w:rPr>
                <w:sz w:val="20"/>
                <w:szCs w:val="20"/>
                <w:color w:val="auto"/>
              </w:rPr>
            </w:pPr>
            <w:r>
              <w:rPr>
                <w:rFonts w:ascii="Arial" w:cs="Arial" w:eastAsia="Arial" w:hAnsi="Arial"/>
                <w:sz w:val="13"/>
                <w:szCs w:val="13"/>
                <w:b w:val="1"/>
                <w:bCs w:val="1"/>
                <w:color w:val="auto"/>
                <w:w w:val="86"/>
              </w:rPr>
              <w:t>Not Vested (#)</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restart"/>
          </w:tcPr>
          <w:p>
            <w:pPr>
              <w:jc w:val="right"/>
              <w:ind w:right="261"/>
              <w:spacing w:after="0"/>
              <w:rPr>
                <w:sz w:val="20"/>
                <w:szCs w:val="20"/>
                <w:color w:val="auto"/>
              </w:rPr>
            </w:pPr>
            <w:r>
              <w:rPr>
                <w:rFonts w:ascii="Arial" w:cs="Arial" w:eastAsia="Arial" w:hAnsi="Arial"/>
                <w:sz w:val="9"/>
                <w:szCs w:val="9"/>
                <w:color w:val="auto"/>
              </w:rPr>
              <w:t>(3)</w:t>
            </w: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-60325</wp:posOffset>
            </wp:positionV>
            <wp:extent cx="713232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292,056</w:t>
            </w:r>
          </w:p>
        </w:tc>
        <w:tc>
          <w:tcPr>
            <w:tcW w:w="1920" w:type="dxa"/>
            <w:vAlign w:val="bottom"/>
          </w:tcPr>
          <w:p>
            <w:pPr>
              <w:jc w:val="right"/>
              <w:spacing w:after="0"/>
              <w:rPr>
                <w:sz w:val="20"/>
                <w:szCs w:val="20"/>
                <w:color w:val="auto"/>
              </w:rPr>
            </w:pPr>
            <w:r>
              <w:rPr>
                <w:rFonts w:ascii="Arial" w:cs="Arial" w:eastAsia="Arial" w:hAnsi="Arial"/>
                <w:sz w:val="14"/>
                <w:szCs w:val="14"/>
                <w:color w:val="auto"/>
              </w:rPr>
              <w:t>16,396,024</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jc w:val="right"/>
              <w:ind w:right="1694"/>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115,657</w:t>
            </w:r>
          </w:p>
        </w:tc>
        <w:tc>
          <w:tcPr>
            <w:tcW w:w="1920" w:type="dxa"/>
            <w:vAlign w:val="bottom"/>
          </w:tcPr>
          <w:p>
            <w:pPr>
              <w:jc w:val="right"/>
              <w:spacing w:after="0"/>
              <w:rPr>
                <w:sz w:val="20"/>
                <w:szCs w:val="20"/>
                <w:color w:val="auto"/>
              </w:rPr>
            </w:pPr>
            <w:r>
              <w:rPr>
                <w:rFonts w:ascii="Arial" w:cs="Arial" w:eastAsia="Arial" w:hAnsi="Arial"/>
                <w:sz w:val="14"/>
                <w:szCs w:val="14"/>
                <w:color w:val="auto"/>
              </w:rPr>
              <w:t>6,492,984</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(5)</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520,248</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0.05</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5/17/2028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(6)</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right"/>
              <w:spacing w:after="0"/>
              <w:rPr>
                <w:sz w:val="20"/>
                <w:szCs w:val="20"/>
                <w:color w:val="auto"/>
              </w:rPr>
            </w:pPr>
            <w:r>
              <w:rPr>
                <w:rFonts w:ascii="Arial" w:cs="Arial" w:eastAsia="Arial" w:hAnsi="Arial"/>
                <w:sz w:val="14"/>
                <w:szCs w:val="14"/>
                <w:color w:val="auto"/>
              </w:rPr>
              <w:t>915,524</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980" w:type="dxa"/>
            <w:vAlign w:val="bottom"/>
          </w:tcPr>
          <w:p>
            <w:pPr>
              <w:spacing w:after="0"/>
              <w:rPr>
                <w:sz w:val="3"/>
                <w:szCs w:val="3"/>
                <w:color w:val="auto"/>
              </w:rPr>
            </w:pPr>
          </w:p>
        </w:tc>
        <w:tc>
          <w:tcPr>
            <w:tcW w:w="1600" w:type="dxa"/>
            <w:vAlign w:val="bottom"/>
            <w:vMerge w:val="restart"/>
          </w:tcPr>
          <w:p>
            <w:pPr>
              <w:ind w:left="60"/>
              <w:spacing w:after="0"/>
              <w:rPr>
                <w:sz w:val="20"/>
                <w:szCs w:val="20"/>
                <w:color w:val="auto"/>
              </w:rPr>
            </w:pPr>
            <w:r>
              <w:rPr>
                <w:rFonts w:ascii="Arial" w:cs="Arial" w:eastAsia="Arial" w:hAnsi="Arial"/>
                <w:sz w:val="9"/>
                <w:szCs w:val="9"/>
                <w:color w:val="auto"/>
              </w:rPr>
              <w:t>(7)</w:t>
            </w:r>
          </w:p>
        </w:tc>
        <w:tc>
          <w:tcPr>
            <w:tcW w:w="1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980" w:type="dxa"/>
            <w:vAlign w:val="bottom"/>
            <w:shd w:val="clear" w:color="auto" w:fill="CCEEFF"/>
          </w:tcPr>
          <w:p>
            <w:pPr>
              <w:spacing w:after="0"/>
              <w:rPr>
                <w:sz w:val="7"/>
                <w:szCs w:val="7"/>
                <w:color w:val="auto"/>
              </w:rPr>
            </w:pPr>
          </w:p>
        </w:tc>
        <w:tc>
          <w:tcPr>
            <w:tcW w:w="160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532,718</w:t>
            </w:r>
          </w:p>
        </w:tc>
        <w:tc>
          <w:tcPr>
            <w:tcW w:w="1600" w:type="dxa"/>
            <w:vAlign w:val="bottom"/>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3.47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980" w:type="dxa"/>
            <w:vAlign w:val="bottom"/>
            <w:shd w:val="clear" w:color="auto" w:fill="CCEEFF"/>
          </w:tcPr>
          <w:p>
            <w:pPr>
              <w:spacing w:after="0"/>
              <w:rPr>
                <w:sz w:val="3"/>
                <w:szCs w:val="3"/>
                <w:color w:val="auto"/>
              </w:rPr>
            </w:pPr>
          </w:p>
        </w:tc>
        <w:tc>
          <w:tcPr>
            <w:tcW w:w="1600" w:type="dxa"/>
            <w:vAlign w:val="bottom"/>
          </w:tcPr>
          <w:p>
            <w:pPr>
              <w:spacing w:after="0"/>
              <w:rPr>
                <w:sz w:val="3"/>
                <w:szCs w:val="3"/>
                <w:color w:val="auto"/>
              </w:rPr>
            </w:pPr>
          </w:p>
        </w:tc>
        <w:tc>
          <w:tcPr>
            <w:tcW w:w="1460" w:type="dxa"/>
            <w:vAlign w:val="bottom"/>
            <w:vMerge w:val="restart"/>
          </w:tcPr>
          <w:p>
            <w:pPr>
              <w:jc w:val="right"/>
              <w:ind w:right="1131"/>
              <w:spacing w:after="0"/>
              <w:rPr>
                <w:sz w:val="20"/>
                <w:szCs w:val="20"/>
                <w:color w:val="auto"/>
              </w:rPr>
            </w:pPr>
            <w:r>
              <w:rPr>
                <w:rFonts w:ascii="Arial" w:cs="Arial" w:eastAsia="Arial" w:hAnsi="Arial"/>
                <w:sz w:val="9"/>
                <w:szCs w:val="9"/>
                <w:color w:val="auto"/>
              </w:rPr>
              <w:t>(8)</w:t>
            </w: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980" w:type="dxa"/>
            <w:vAlign w:val="bottom"/>
            <w:shd w:val="clear" w:color="auto" w:fill="CCEEFF"/>
          </w:tcPr>
          <w:p>
            <w:pPr>
              <w:spacing w:after="0"/>
              <w:rPr>
                <w:sz w:val="7"/>
                <w:szCs w:val="7"/>
                <w:color w:val="auto"/>
              </w:rPr>
            </w:pPr>
          </w:p>
        </w:tc>
        <w:tc>
          <w:tcPr>
            <w:tcW w:w="1600" w:type="dxa"/>
            <w:vAlign w:val="bottom"/>
            <w:tcBorders>
              <w:left w:val="single" w:sz="8" w:color="CCEEFF"/>
            </w:tcBorders>
          </w:tcPr>
          <w:p>
            <w:pPr>
              <w:spacing w:after="0"/>
              <w:rPr>
                <w:sz w:val="7"/>
                <w:szCs w:val="7"/>
                <w:color w:val="auto"/>
              </w:rPr>
            </w:pPr>
          </w:p>
        </w:tc>
        <w:tc>
          <w:tcPr>
            <w:tcW w:w="1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left w:val="single" w:sz="8" w:color="CCEEFF"/>
            </w:tcBorders>
          </w:tcPr>
          <w:p>
            <w:pPr>
              <w:jc w:val="right"/>
              <w:ind w:right="97"/>
              <w:spacing w:after="0"/>
              <w:rPr>
                <w:sz w:val="20"/>
                <w:szCs w:val="20"/>
                <w:color w:val="auto"/>
              </w:rPr>
            </w:pPr>
            <w:r>
              <w:rPr>
                <w:rFonts w:ascii="Arial" w:cs="Arial" w:eastAsia="Arial" w:hAnsi="Arial"/>
                <w:sz w:val="14"/>
                <w:szCs w:val="14"/>
                <w:color w:val="auto"/>
              </w:rPr>
              <w:t>584,265</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19.00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12/3/2030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980" w:type="dxa"/>
            <w:vAlign w:val="bottom"/>
            <w:shd w:val="clear" w:color="auto" w:fill="CCEEFF"/>
          </w:tcPr>
          <w:p>
            <w:pPr>
              <w:spacing w:after="0"/>
              <w:rPr>
                <w:sz w:val="10"/>
                <w:szCs w:val="10"/>
                <w:color w:val="auto"/>
              </w:rPr>
            </w:pPr>
          </w:p>
        </w:tc>
        <w:tc>
          <w:tcPr>
            <w:tcW w:w="1600" w:type="dxa"/>
            <w:vAlign w:val="bottom"/>
            <w:tcBorders>
              <w:left w:val="single" w:sz="8" w:color="CCEEFF"/>
            </w:tcBorders>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jc w:val="right"/>
              <w:ind w:right="1694"/>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22"/>
        </w:trPr>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left w:val="single" w:sz="8" w:color="CCEEFF"/>
            </w:tcBorders>
          </w:tcPr>
          <w:p>
            <w:pPr>
              <w:jc w:val="right"/>
              <w:ind w:right="97"/>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22,320</w:t>
            </w:r>
          </w:p>
        </w:tc>
        <w:tc>
          <w:tcPr>
            <w:tcW w:w="1920" w:type="dxa"/>
            <w:vAlign w:val="bottom"/>
          </w:tcPr>
          <w:p>
            <w:pPr>
              <w:jc w:val="right"/>
              <w:spacing w:after="0"/>
              <w:rPr>
                <w:sz w:val="20"/>
                <w:szCs w:val="20"/>
                <w:color w:val="auto"/>
              </w:rPr>
            </w:pPr>
            <w:r>
              <w:rPr>
                <w:rFonts w:ascii="Arial" w:cs="Arial" w:eastAsia="Arial" w:hAnsi="Arial"/>
                <w:sz w:val="14"/>
                <w:szCs w:val="14"/>
                <w:color w:val="auto"/>
              </w:rPr>
              <w:t>1,253,045</w:t>
            </w:r>
          </w:p>
        </w:tc>
        <w:tc>
          <w:tcPr>
            <w:tcW w:w="0" w:type="dxa"/>
            <w:vAlign w:val="bottom"/>
          </w:tcPr>
          <w:p>
            <w:pPr>
              <w:spacing w:after="0"/>
              <w:rPr>
                <w:sz w:val="1"/>
                <w:szCs w:val="1"/>
                <w:color w:val="auto"/>
              </w:rPr>
            </w:pPr>
          </w:p>
        </w:tc>
      </w:tr>
      <w:tr>
        <w:trPr>
          <w:trHeight w:val="82"/>
        </w:trPr>
        <w:tc>
          <w:tcPr>
            <w:tcW w:w="980" w:type="dxa"/>
            <w:vAlign w:val="bottom"/>
          </w:tcPr>
          <w:p>
            <w:pPr>
              <w:spacing w:after="0"/>
              <w:rPr>
                <w:sz w:val="7"/>
                <w:szCs w:val="7"/>
                <w:color w:val="auto"/>
              </w:rPr>
            </w:pPr>
          </w:p>
        </w:tc>
        <w:tc>
          <w:tcPr>
            <w:tcW w:w="1600" w:type="dxa"/>
            <w:vAlign w:val="bottom"/>
          </w:tcPr>
          <w:p>
            <w:pPr>
              <w:ind w:left="60"/>
              <w:spacing w:after="0" w:line="82" w:lineRule="exact"/>
              <w:rPr>
                <w:sz w:val="20"/>
                <w:szCs w:val="20"/>
                <w:color w:val="auto"/>
              </w:rPr>
            </w:pPr>
            <w:r>
              <w:rPr>
                <w:rFonts w:ascii="Arial" w:cs="Arial" w:eastAsia="Arial" w:hAnsi="Arial"/>
                <w:sz w:val="9"/>
                <w:szCs w:val="9"/>
                <w:color w:val="auto"/>
              </w:rPr>
              <w:t>(10)</w:t>
            </w: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-1285875</wp:posOffset>
            </wp:positionV>
            <wp:extent cx="5888990" cy="1234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8990" cy="123444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3260" w:space="0"/>
            <w:col w:w="79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David R. 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Omead Ostadan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4/1/2020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4/1/2020</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7/28/2020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3/5/2020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3/5/2020</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7/28/2020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7/28/2020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12/3/2020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710,659</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3/31/2030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101,522</w:t>
            </w:r>
          </w:p>
        </w:tc>
        <w:tc>
          <w:tcPr>
            <w:tcW w:w="1920" w:type="dxa"/>
            <w:vAlign w:val="bottom"/>
          </w:tcPr>
          <w:p>
            <w:pPr>
              <w:jc w:val="right"/>
              <w:spacing w:after="0"/>
              <w:rPr>
                <w:sz w:val="20"/>
                <w:szCs w:val="20"/>
                <w:color w:val="auto"/>
              </w:rPr>
            </w:pPr>
            <w:r>
              <w:rPr>
                <w:rFonts w:ascii="Arial" w:cs="Arial" w:eastAsia="Arial" w:hAnsi="Arial"/>
                <w:sz w:val="14"/>
                <w:szCs w:val="14"/>
                <w:color w:val="auto"/>
              </w:rPr>
              <w:t>5,699,455</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(7)</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169,500</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3.47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jc w:val="right"/>
              <w:ind w:right="1132"/>
              <w:spacing w:after="0"/>
              <w:rPr>
                <w:sz w:val="20"/>
                <w:szCs w:val="20"/>
                <w:color w:val="auto"/>
              </w:rPr>
            </w:pPr>
            <w:r>
              <w:rPr>
                <w:rFonts w:ascii="Arial" w:cs="Arial" w:eastAsia="Arial" w:hAnsi="Arial"/>
                <w:sz w:val="9"/>
                <w:szCs w:val="9"/>
                <w:color w:val="auto"/>
              </w:rPr>
              <w:t>(8)</w:t>
            </w: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135,100</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19.00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12/3/2030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11,207</w:t>
            </w:r>
          </w:p>
        </w:tc>
        <w:tc>
          <w:tcPr>
            <w:tcW w:w="1920" w:type="dxa"/>
            <w:vAlign w:val="bottom"/>
          </w:tcPr>
          <w:p>
            <w:pPr>
              <w:jc w:val="right"/>
              <w:spacing w:after="0"/>
              <w:rPr>
                <w:sz w:val="20"/>
                <w:szCs w:val="20"/>
                <w:color w:val="auto"/>
              </w:rPr>
            </w:pPr>
            <w:r>
              <w:rPr>
                <w:rFonts w:ascii="Arial" w:cs="Arial" w:eastAsia="Arial" w:hAnsi="Arial"/>
                <w:sz w:val="14"/>
                <w:szCs w:val="14"/>
                <w:color w:val="auto"/>
              </w:rPr>
              <w:t>629,161</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(12)</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852,793</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3/4/2030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ind w:left="60"/>
              <w:spacing w:after="0"/>
              <w:rPr>
                <w:sz w:val="20"/>
                <w:szCs w:val="20"/>
                <w:color w:val="auto"/>
              </w:rPr>
            </w:pPr>
            <w:r>
              <w:rPr>
                <w:rFonts w:ascii="Arial" w:cs="Arial" w:eastAsia="Arial" w:hAnsi="Arial"/>
                <w:sz w:val="9"/>
                <w:szCs w:val="9"/>
                <w:color w:val="auto"/>
              </w:rPr>
              <w:t>(13)</w:t>
            </w: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080" w:type="dxa"/>
            <w:vAlign w:val="bottom"/>
            <w:gridSpan w:val="2"/>
          </w:tcPr>
          <w:p>
            <w:pPr>
              <w:jc w:val="right"/>
              <w:spacing w:after="0"/>
              <w:rPr>
                <w:sz w:val="20"/>
                <w:szCs w:val="20"/>
                <w:color w:val="auto"/>
              </w:rPr>
            </w:pPr>
            <w:r>
              <w:rPr>
                <w:rFonts w:ascii="Arial" w:cs="Arial" w:eastAsia="Arial" w:hAnsi="Arial"/>
                <w:sz w:val="14"/>
                <w:szCs w:val="14"/>
                <w:color w:val="auto"/>
              </w:rPr>
              <w:t>365,481</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2.70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3/4/2030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233,672</w:t>
            </w:r>
          </w:p>
        </w:tc>
        <w:tc>
          <w:tcPr>
            <w:tcW w:w="1920" w:type="dxa"/>
            <w:vAlign w:val="bottom"/>
          </w:tcPr>
          <w:p>
            <w:pPr>
              <w:jc w:val="right"/>
              <w:spacing w:after="0"/>
              <w:rPr>
                <w:sz w:val="20"/>
                <w:szCs w:val="20"/>
                <w:color w:val="auto"/>
              </w:rPr>
            </w:pPr>
            <w:r>
              <w:rPr>
                <w:rFonts w:ascii="Arial" w:cs="Arial" w:eastAsia="Arial" w:hAnsi="Arial"/>
                <w:sz w:val="14"/>
                <w:szCs w:val="14"/>
                <w:color w:val="auto"/>
              </w:rPr>
              <w:t>13,118,346</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0" w:type="dxa"/>
            <w:vAlign w:val="bottom"/>
            <w:vMerge w:val="restart"/>
          </w:tcPr>
          <w:p>
            <w:pPr>
              <w:ind w:left="60"/>
              <w:spacing w:after="0"/>
              <w:rPr>
                <w:sz w:val="20"/>
                <w:szCs w:val="20"/>
                <w:color w:val="auto"/>
              </w:rPr>
            </w:pPr>
            <w:r>
              <w:rPr>
                <w:rFonts w:ascii="Arial" w:cs="Arial" w:eastAsia="Arial" w:hAnsi="Arial"/>
                <w:sz w:val="9"/>
                <w:szCs w:val="9"/>
                <w:color w:val="auto"/>
              </w:rPr>
              <w:t>(7)</w:t>
            </w:r>
          </w:p>
        </w:tc>
        <w:tc>
          <w:tcPr>
            <w:tcW w:w="1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shd w:val="clear" w:color="auto" w:fill="CCEEFF"/>
          </w:tcPr>
          <w:p>
            <w:pPr>
              <w:spacing w:after="0"/>
              <w:rPr>
                <w:sz w:val="7"/>
                <w:szCs w:val="7"/>
                <w:color w:val="auto"/>
              </w:rPr>
            </w:pPr>
          </w:p>
        </w:tc>
        <w:tc>
          <w:tcPr>
            <w:tcW w:w="98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290,572</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3.47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7/27/2030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
        </w:trPr>
        <w:tc>
          <w:tcPr>
            <w:tcW w:w="100" w:type="dxa"/>
            <w:vAlign w:val="bottom"/>
            <w:shd w:val="clear" w:color="auto" w:fill="CCEEFF"/>
          </w:tcPr>
          <w:p>
            <w:pPr>
              <w:spacing w:after="0"/>
              <w:rPr>
                <w:sz w:val="3"/>
                <w:szCs w:val="3"/>
                <w:color w:val="auto"/>
              </w:rPr>
            </w:pPr>
          </w:p>
        </w:tc>
        <w:tc>
          <w:tcPr>
            <w:tcW w:w="9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460" w:type="dxa"/>
            <w:vAlign w:val="bottom"/>
            <w:vMerge w:val="restart"/>
          </w:tcPr>
          <w:p>
            <w:pPr>
              <w:jc w:val="right"/>
              <w:ind w:right="1132"/>
              <w:spacing w:after="0"/>
              <w:rPr>
                <w:sz w:val="20"/>
                <w:szCs w:val="20"/>
                <w:color w:val="auto"/>
              </w:rPr>
            </w:pPr>
            <w:r>
              <w:rPr>
                <w:rFonts w:ascii="Arial" w:cs="Arial" w:eastAsia="Arial" w:hAnsi="Arial"/>
                <w:sz w:val="9"/>
                <w:szCs w:val="9"/>
                <w:color w:val="auto"/>
              </w:rPr>
              <w:t>(8)</w:t>
            </w:r>
          </w:p>
        </w:tc>
        <w:tc>
          <w:tcPr>
            <w:tcW w:w="1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10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6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201,909</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19.00</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12/3/2030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9"/>
        </w:trPr>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17"/>
        </w:trPr>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14,845</w:t>
            </w:r>
          </w:p>
        </w:tc>
        <w:tc>
          <w:tcPr>
            <w:tcW w:w="1920" w:type="dxa"/>
            <w:vAlign w:val="bottom"/>
          </w:tcPr>
          <w:p>
            <w:pPr>
              <w:jc w:val="right"/>
              <w:spacing w:after="0"/>
              <w:rPr>
                <w:sz w:val="20"/>
                <w:szCs w:val="20"/>
                <w:color w:val="auto"/>
              </w:rPr>
            </w:pPr>
            <w:r>
              <w:rPr>
                <w:rFonts w:ascii="Arial" w:cs="Arial" w:eastAsia="Arial" w:hAnsi="Arial"/>
                <w:sz w:val="14"/>
                <w:szCs w:val="14"/>
                <w:color w:val="auto"/>
              </w:rPr>
              <w:t>833,398</w:t>
            </w:r>
          </w:p>
        </w:tc>
        <w:tc>
          <w:tcPr>
            <w:tcW w:w="0" w:type="dxa"/>
            <w:vAlign w:val="bottom"/>
          </w:tcPr>
          <w:p>
            <w:pPr>
              <w:spacing w:after="0"/>
              <w:rPr>
                <w:sz w:val="1"/>
                <w:szCs w:val="1"/>
                <w:color w:val="auto"/>
              </w:rPr>
            </w:pPr>
          </w:p>
        </w:tc>
      </w:tr>
      <w:tr>
        <w:trPr>
          <w:trHeight w:val="25"/>
        </w:trPr>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-1233805</wp:posOffset>
            </wp:positionV>
            <wp:extent cx="7132320" cy="1234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3">
            <w:col w:w="1360" w:space="720"/>
            <w:col w:w="580" w:space="500"/>
            <w:col w:w="8080"/>
          </w:cols>
          <w:pgMar w:left="320" w:top="121" w:right="339" w:bottom="1440" w:gutter="0" w:footer="0" w:header="0"/>
          <w:type w:val="continuous"/>
        </w:sect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2017 Plan or 2020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amounts in this column are based upon the last reported price of our Class A common stock on the Nasdaq Global Select Market on December 31, 2020, which was $56.14.</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12 equal monthly installments beginning on January 20, 2021, subject to continued service to the Company.</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shares were acquired pursuant to a restricted stock award and vest in 14 equal monthly installments beginning on January 31, 2021, subject to continued service to the Company.</w:t>
      </w:r>
    </w:p>
    <w:p>
      <w:pPr>
        <w:spacing w:after="0" w:line="12" w:lineRule="exact"/>
        <w:rPr>
          <w:rFonts w:ascii="Arial" w:cs="Arial" w:eastAsia="Arial" w:hAnsi="Arial"/>
          <w:sz w:val="13"/>
          <w:szCs w:val="13"/>
          <w:color w:val="auto"/>
        </w:rPr>
      </w:pPr>
    </w:p>
    <w:p>
      <w:pPr>
        <w:ind w:left="340" w:right="180" w:hanging="332"/>
        <w:spacing w:after="0" w:line="241"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vested on March 23, 2019, and the remaining shares vest in 36 equal monthly installments thereafter, subject to continued service to the Company.</w:t>
      </w:r>
    </w:p>
    <w:p>
      <w:pPr>
        <w:ind w:left="340" w:right="40" w:hanging="332"/>
        <w:spacing w:after="0" w:line="241"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January 28, 2021, and the remaining shares vest in 36 equal monthly installments thereafter, subject to continued service to the Company.</w:t>
      </w:r>
    </w:p>
    <w:p>
      <w:pPr>
        <w:ind w:left="340" w:right="240" w:hanging="332"/>
        <w:spacing w:after="0" w:line="241"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July 28, 2021, and the remaining shares vest in 36 equal monthly installments thereafter, subject to continued service to the Company.</w:t>
      </w:r>
    </w:p>
    <w:p>
      <w:pPr>
        <w:ind w:left="340" w:right="380" w:hanging="332"/>
        <w:spacing w:after="0" w:line="241"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One-fourth of the shares underlying the option vest on December 3, 2021, and the remaining shares vest in 36 equal monthly installments thereafter, subject to continued service to the Company.</w:t>
      </w:r>
    </w:p>
    <w:p>
      <w:pPr>
        <w:ind w:left="340" w:right="600" w:hanging="332"/>
        <w:spacing w:after="0" w:line="241" w:lineRule="auto"/>
        <w:tabs>
          <w:tab w:leader="none" w:pos="332" w:val="left"/>
        </w:tabs>
        <w:numPr>
          <w:ilvl w:val="0"/>
          <w:numId w:val="83"/>
        </w:numPr>
        <w:rPr>
          <w:rFonts w:ascii="Arial" w:cs="Arial" w:eastAsia="Arial" w:hAnsi="Arial"/>
          <w:sz w:val="14"/>
          <w:szCs w:val="14"/>
          <w:color w:val="auto"/>
        </w:rPr>
      </w:pPr>
      <w:r>
        <w:rPr>
          <w:rFonts w:ascii="Arial" w:cs="Arial" w:eastAsia="Arial" w:hAnsi="Arial"/>
          <w:sz w:val="14"/>
          <w:szCs w:val="14"/>
          <w:color w:val="auto"/>
        </w:rPr>
        <w:t>50% of the shares underlying the RSU award vest on January 1, 2022 and 50% of the shares underlying the RSU award vest on January 1, 2023, subject to continued service to the Company.</w:t>
      </w:r>
    </w:p>
    <w:p>
      <w:pPr>
        <w:ind w:left="340" w:right="240" w:hanging="332"/>
        <w:spacing w:after="0" w:line="241" w:lineRule="auto"/>
        <w:tabs>
          <w:tab w:leader="none" w:pos="33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April 1, 2021, and the remaining shares vest in 36 equal monthly installments thereafter, subject to continued service to the Company.</w:t>
      </w:r>
    </w:p>
    <w:p>
      <w:pPr>
        <w:ind w:left="340" w:right="320" w:hanging="332"/>
        <w:spacing w:after="0" w:line="241" w:lineRule="auto"/>
        <w:tabs>
          <w:tab w:leader="none" w:pos="331" w:val="left"/>
        </w:tabs>
        <w:numPr>
          <w:ilvl w:val="0"/>
          <w:numId w:val="83"/>
        </w:numPr>
        <w:rPr>
          <w:rFonts w:ascii="Arial" w:cs="Arial" w:eastAsia="Arial" w:hAnsi="Arial"/>
          <w:sz w:val="14"/>
          <w:szCs w:val="14"/>
          <w:color w:val="auto"/>
        </w:rPr>
      </w:pPr>
      <w:r>
        <w:rPr>
          <w:rFonts w:ascii="Arial" w:cs="Arial" w:eastAsia="Arial" w:hAnsi="Arial"/>
          <w:sz w:val="14"/>
          <w:szCs w:val="14"/>
          <w:color w:val="auto"/>
        </w:rPr>
        <w:t>50% of the shares underlying the RSU award vest on December 3, 2021 and 50% of the shares underlying the RSU award vest on December 3, 2022, subject to continued service to the Company.</w:t>
      </w:r>
    </w:p>
    <w:p>
      <w:pPr>
        <w:ind w:left="340" w:right="220" w:hanging="332"/>
        <w:spacing w:after="0" w:line="241" w:lineRule="auto"/>
        <w:tabs>
          <w:tab w:leader="none" w:pos="33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One-fourth of the shares underlying the option vest on June 15, 2021, and the remaining shares vest in 36 equal monthly installments thereafter, subject to continued service to the Company.</w:t>
      </w:r>
    </w:p>
    <w:p>
      <w:pPr>
        <w:ind w:left="340" w:right="220" w:hanging="332"/>
        <w:spacing w:after="0" w:line="255" w:lineRule="auto"/>
        <w:tabs>
          <w:tab w:leader="none" w:pos="337"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the option are subject to an early exercise provision and are immediately exercisable. The shares vest in 48 equal monthly installments beginning on April 6, 2020, subject to continued service to the Company.</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240"/>
          </w:cols>
          <w:pgMar w:left="320" w:top="121" w:right="339" w:bottom="1440" w:gutter="0" w:footer="0" w:header="0"/>
          <w:type w:val="continuous"/>
        </w:sectPr>
      </w:pPr>
    </w:p>
    <w:bookmarkStart w:id="137" w:name="page138"/>
    <w:bookmarkEnd w:id="13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our named executive officers has executed our standard form of confidential information, invention assignment and arbitration agreement.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Omid Farokhzad</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have entered into a confirmatory employment letter with Dr. Farokhzad, our chief executive officer. The confirmatory employment letter has no specific term and provides that Dr. Farokhzad is an at-will employee. Dr. Farokhzad’s annual base salary was increased to $510,000 as of the day prior to our initial public offering in December 2020 and his annual target cash incentive bonus for both 2020 and 2021 was increased to 65% of his annual base salary. The employment letter provides for our reimbursement of Dr. Farokhzad’s reasonable travel and lodging expenses incurred by him for his travel between his primary residence and our offices in Redwood City, California, as well as for additional payments sufficient to make such reimbursements tax neutral to Dr. Farokhzad.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David Horn</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entered into a confirmatory employment letter with Mr. Horn, our executive vice president and chief financial officer. The confirmatory employment letter has no specific term and provides that Mr. Horn is an at-will employee. Mr. Horn’s annual base salary was increased to $395,000 as of the day prior to our initial public offering and his annual target cash incentive bonus for both 2020 and 2021 was increased to 40% of his annual base salary.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Omead Ostadan</w:t>
      </w:r>
    </w:p>
    <w:p>
      <w:pPr>
        <w:spacing w:after="0" w:line="171"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We have entered into a confirmatory employment letter with Mr. Ostadan, our president and chief operating officer. The confirmatory employment letter has no specific term and provides that Mr. Ostadan is an at-will employee. Mr. Ostadan’s annual base salary was increased to $435,000 as of the day prior to our initial public offering and his annual target cash incentive bonus for both 2020 and 2021 was increased to 45% of his annual base salary. The employment letter provides for our reimbursement of Mr. Ostadan’s reasonable travel and lodging expenses incurred by him for his work-related travel between his primary residence and our offices in Redwood City, California, until the earlier of the date on which we open an office in San Diego, California, or the date on which Mr. Ostadan relocates his primary residence to Redwood City or surrounding Bay Area in California. Such travel-related reimbursements may not exceed $50,000 annually and are subject to Mr. Ostadan’s employment with us through the date such reimbursements are paid. Additionally, the employment letter provides for additional payments sufficient to make such reimbursements tax neutral to Mr. Ostadan, subject to Mr. Ostadan’s continued employment with us through the date such reimbursements are paid.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Control and Severance Agreement</w:t>
      </w:r>
    </w:p>
    <w:p>
      <w:pPr>
        <w:spacing w:after="0" w:line="175"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We have entered into a change in control and severance agreement (the Severance Agreement) with Dr. Farokhzad which provides for certain severance and change in control benefits as described below.</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If Dr. Farokhzad’s employment is terminated outside the period beginning on the date that is three months prior to the date of a change in control and ending on the one-year anniversary date of such change in control (the Change in Control Period) either (1) by the Company without “cause” and not by reason of death or disability or (2) by Dr. Farokhzad as a “good reason termination” (as such terms are defined in the Severance Agreement), Dr. Farokhzad will receive the following benefits if he timely signs and does not revoke a separation agreement and release of claims in our favor:</w:t>
      </w:r>
    </w:p>
    <w:p>
      <w:pPr>
        <w:spacing w:after="0" w:line="117" w:lineRule="exact"/>
        <w:rPr>
          <w:sz w:val="20"/>
          <w:szCs w:val="20"/>
          <w:color w:val="auto"/>
        </w:rPr>
      </w:pPr>
    </w:p>
    <w:p>
      <w:pPr>
        <w:ind w:left="660" w:right="40" w:hanging="328"/>
        <w:spacing w:after="0" w:line="342" w:lineRule="auto"/>
        <w:tabs>
          <w:tab w:leader="none" w:pos="65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continuing payments of Dr. Farokhzad’s base salary for a period of twelve months following the date of such termination (or if such termination is a good reason termination by Dr. Farokhzad based on a material reduction in base salary, then as in effect immediately prior to the reduction);</w:t>
      </w:r>
    </w:p>
    <w:p>
      <w:pPr>
        <w:spacing w:after="0" w:line="69" w:lineRule="exact"/>
        <w:rPr>
          <w:rFonts w:ascii="Arial" w:cs="Arial" w:eastAsia="Arial" w:hAnsi="Arial"/>
          <w:sz w:val="16"/>
          <w:szCs w:val="16"/>
          <w:color w:val="auto"/>
        </w:rPr>
      </w:pPr>
    </w:p>
    <w:p>
      <w:pPr>
        <w:ind w:left="660" w:right="380" w:hanging="328"/>
        <w:spacing w:after="0" w:line="263"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lump sum cash payment equal to Dr. Farokhzad’s annual target cash incentive bonus prorated for the number of days during which Dr. Farokhzad was employed by the Company (or the parent or subsidiary of the Company employing him) in the calendar year such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21" w:right="359" w:bottom="1440" w:gutter="0" w:footer="0" w:header="0"/>
        </w:sectPr>
      </w:pPr>
    </w:p>
    <w:bookmarkStart w:id="138" w:name="page139"/>
    <w:bookmarkEnd w:id="13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160" w:hanging="328"/>
        <w:spacing w:after="0" w:line="263"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Dr. Farokhzad and his eligible dependents have qualifying health care at the time of such termination, then either reimbursements for or direct payments of premiums for coverage under the Consolidated Omnibus Budget Reconciliation Act of 1985, as amended (COBRA), for Dr. Farokhzad and his eligible dependents, if any, for up to 12 months; and</w:t>
      </w:r>
    </w:p>
    <w:p>
      <w:pPr>
        <w:spacing w:after="0" w:line="129"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vesting acceleration of 50% of the shares subject to Dr. Farokhzad’s outstanding Company equity awards that are scheduled to vest based solely on Dr. Farokhzad’s continued service to the Company or any parent or subsidiary of the Company (time-based equity awards), or, with respect to the shares of company restricted stock received by Dr. Farokhzad under restricted stock purchase agreements entered into with the Company on September 20, 2017, as amended December 20, 2017 and on February 19, 2018, if greater, 100% acceleration of the number of shares that are otherwise scheduled to vest if Dr. Farokhzad remained employed by the Company (or any parent or subsidiary of the Company) through the one year anniversary of his termination.</w:t>
      </w:r>
    </w:p>
    <w:p>
      <w:pPr>
        <w:spacing w:after="0" w:line="138"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If, during the Change in Control Period, Dr. Farokhzad’s employment with the Company is terminated either (1) by the Company without cause and not by reason of death or disability or (2) by Dr. Farokhzad as a good reason termination, Dr. Farokhzad will receive the following benefits if he timely signs and does not revoke a separation agreement and release of claims in our favor:</w:t>
      </w:r>
    </w:p>
    <w:p>
      <w:pPr>
        <w:spacing w:after="0" w:line="130" w:lineRule="exact"/>
        <w:rPr>
          <w:sz w:val="20"/>
          <w:szCs w:val="20"/>
          <w:color w:val="auto"/>
        </w:rPr>
      </w:pPr>
    </w:p>
    <w:p>
      <w:pPr>
        <w:ind w:left="660" w:right="180" w:hanging="328"/>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continuing payments of Dr. Farokhzad’s base salary for a period of 18 months following the date of such termination (or if such termination is a good reason termination by Dr. Farokhzad based on a material reduction in base salary, then if greater, as in effect immediately prior to the reduction) (or, if greater, as in effect immediately before the change in control);</w:t>
      </w:r>
    </w:p>
    <w:p>
      <w:pPr>
        <w:spacing w:after="0" w:line="129"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lump sum cash payment equal to 150% of Dr. Farokhzad’s annualized target bonus as in effect for the performance period in which such termination occurs, or, if greater, as in effect for the performance period in which the change in control occurs;</w:t>
      </w:r>
    </w:p>
    <w:p>
      <w:pPr>
        <w:spacing w:after="0" w:line="116"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Dr. Farokhzad and his eligible dependents have qualifying health care at the time of such termination, then either reimbursements for or direct payments of payment of premiums for coverage under COBRA, for Dr. Farokhzad and his eligible dependents, if any, for up to 18 months;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Dr. Farokhzad’s outstanding time-based equity awards.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signing and not revoking a separation agreement and release of claims in our favor, Dr. Farokhzad’s receipt and retention of any severance benefits under the Severance Agreement is subject to his compliance with the terms of any confidentiality, information and inventions agreement or other written agreement us under which he has a material duty or obligation to us.</w:t>
      </w:r>
    </w:p>
    <w:p>
      <w:pPr>
        <w:spacing w:after="0" w:line="130"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If Dr. Farokhzad begins employment or enters into a consultant relationship with a new employer during the period he is receiving severance benefits from us under the Severance Agreement, then any cash compensation paid to him by the new employer will reduce our cash severance benefit obligations under the Severance Agreement, and we will have no obligation to provide COBRA benefits for medical, vision and dental coverage if the new employer provides such benefits to Dr. Farokhzad.</w:t>
      </w:r>
    </w:p>
    <w:p>
      <w:pPr>
        <w:spacing w:after="0" w:line="1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addition, if Dr. Farokhzad remains employed by the Company (or any parent or subsidiary of the Company) through the two year anniversary of the change in control (the Retention Date) and if he timely signs and does not revoke a release of claims in our favor, Dr. Farokhzad will receive 100% accelerated vesting of all of his then-unvested and outstanding Company equity awards that were granted prior to our initial public offering.</w:t>
      </w:r>
    </w:p>
    <w:p>
      <w:pPr>
        <w:spacing w:after="0" w:line="111"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If any of the amounts provided for under the Severance Agreement otherwise payable to Dr. Farokhzad would constitute “parachute payments” within the meaning of Section 280G of the Internal Revenue Code and could be subject to the related excise tax, Dr. Farokhzad would be entitled to receive either full payment of benefits or such lesser amount which would result in no portion of the benefits being subject to the excise tax, whichever results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320" w:top="121" w:right="379" w:bottom="1440" w:gutter="0" w:footer="0" w:header="0"/>
        </w:sectPr>
      </w:pPr>
    </w:p>
    <w:bookmarkStart w:id="139" w:name="page140"/>
    <w:bookmarkEnd w:id="13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greater amount of after-tax benefits to the named executive officer. The Severance Agreement does not provide for any Section 280G-related tax gross-up payments from us.</w:t>
      </w:r>
    </w:p>
    <w:p>
      <w:pPr>
        <w:spacing w:after="0" w:line="11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Under the Severance Agreement, “cause” generally means Dr. Farokhzad’s: indictment or conviction of any felony or any crime involving dishonesty; participation in any fraud against us; any intentional damage to any material property of the Company; willful misconduct which materially and adversely reflects upon the business, operations, or reputation of the Company, which has not been cured or cannot be cured within ten days after receiving written notice regarding such misconduct; breach of any material provision of any agreement with the company and failure to cure such breach within ten days after receiving written notice of such breach.</w:t>
      </w:r>
    </w:p>
    <w:p>
      <w:pPr>
        <w:spacing w:after="0" w:line="13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Under the Severance Agreement, “good reason termination” generally means that Dr. Farokhzad resigns from the Company within 30 days following the end of our cure period discussed below as a result of any of the following that occurs without his written consent: a material reduction in his base salary as compared to his base salary in effect immediately prior to such reduction; a material and adverse change in his authorities, duties or responsibilities relative to his authorities, duties or responsibilities in effect immediately prior to such reduction (provided that if he ceases to serve as the Chief Executive Officer but continues to serve as executive chair of the Company with a base salary and target bonus opportunity each materially the same as in effect immediately prior to such transition, such transition will not by itself be deemed to constitute a material and adverse change to his authorities, duties or responsibilities, and provided, further that any change that results in Dr. Farokhzad not serving as the Chief Executive Officer of (or reporting directly to the board of directors of) the parent corporation in a group of controlled corporations including the Company or all or a substantial portion of the Company’s assets following a change in control, will be deemed to constitute a material and adverse change to his authorities, duties or responsibilities); and a material change in the geographic location of his principal work office or facility, provided that a change that increases his commute by 50 miles or less will not constitute a material change. For a resignation to qualify as a “good reason termination,” Dr. Farokhzad also must provide written notice within 90 days following the initial existence of the good reason condition, and we must have failed to materially remedy such event within 30 days after receipt of such notice.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Executive Change in Control and Severance Plan</w:t>
      </w:r>
    </w:p>
    <w:p>
      <w:pPr>
        <w:spacing w:after="0" w:line="17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adopted a Key Executive Change in Control and Severance Plan (the Severance Plan) in December 2020, in order to provide specified severance and change in control pay and benefits, to key executives selected by us. We have entered into participation agreements with each of Mr. Horn and Mr. Ostadan (each, a Participation Agreement) under our Severance Plan.</w:t>
      </w:r>
    </w:p>
    <w:p>
      <w:pPr>
        <w:spacing w:after="0" w:line="130" w:lineRule="exact"/>
        <w:rPr>
          <w:sz w:val="20"/>
          <w:szCs w:val="20"/>
          <w:color w:val="auto"/>
        </w:rPr>
      </w:pPr>
    </w:p>
    <w:p>
      <w:pPr>
        <w:jc w:val="center"/>
        <w:ind w:right="220"/>
        <w:spacing w:after="0" w:line="291" w:lineRule="auto"/>
        <w:rPr>
          <w:sz w:val="20"/>
          <w:szCs w:val="20"/>
          <w:color w:val="auto"/>
        </w:rPr>
      </w:pPr>
      <w:r>
        <w:rPr>
          <w:rFonts w:ascii="Arial" w:cs="Arial" w:eastAsia="Arial" w:hAnsi="Arial"/>
          <w:sz w:val="16"/>
          <w:szCs w:val="16"/>
          <w:color w:val="auto"/>
        </w:rPr>
        <w:t>The Severance Plan and related Participation Agreements provide that if Mr. Horn or Mr. Ostadan employment is terminated outside the period beginning on the date of a change in control and ending on the one-year anniversary date of such change in control (the Change in Control Period) either</w:t>
      </w:r>
    </w:p>
    <w:p>
      <w:pPr>
        <w:ind w:right="80" w:firstLine="8"/>
        <w:spacing w:after="0" w:line="255"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the Company without “cause” and not by reason of death or disability or (2) by the named executive officer as a “good reason termination” (as such terms are defined in his or her Participation Agreement), the named executive officer will receive the following benefits if he timely signs and does not revoke a separation agreement and release of claims in our favor:</w:t>
      </w:r>
    </w:p>
    <w:p>
      <w:pPr>
        <w:spacing w:after="0" w:line="135" w:lineRule="exact"/>
        <w:rPr>
          <w:rFonts w:ascii="Arial" w:cs="Arial" w:eastAsia="Arial" w:hAnsi="Arial"/>
          <w:sz w:val="18"/>
          <w:szCs w:val="18"/>
          <w:color w:val="auto"/>
        </w:rPr>
      </w:pPr>
    </w:p>
    <w:p>
      <w:pPr>
        <w:ind w:left="660" w:right="40" w:hanging="328"/>
        <w:spacing w:after="0" w:line="263" w:lineRule="auto"/>
        <w:tabs>
          <w:tab w:leader="none" w:pos="6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continuing payments of the named executive officer’s base salary for a period of nine months following the date of such termination (or if such termination is a good reason termination by the named executive officer based on a material reduction in base salary, then as in effect immediately prior to the reduction); and</w:t>
      </w:r>
    </w:p>
    <w:p>
      <w:pPr>
        <w:spacing w:after="0" w:line="129" w:lineRule="exact"/>
        <w:rPr>
          <w:rFonts w:ascii="Arial" w:cs="Arial" w:eastAsia="Arial" w:hAnsi="Arial"/>
          <w:sz w:val="18"/>
          <w:szCs w:val="18"/>
          <w:color w:val="auto"/>
        </w:rPr>
      </w:pPr>
    </w:p>
    <w:p>
      <w:pPr>
        <w:ind w:left="660" w:hanging="328"/>
        <w:spacing w:after="0" w:line="263" w:lineRule="auto"/>
        <w:tabs>
          <w:tab w:leader="none" w:pos="6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premiums for coverage under COBRA, for the named executive officer and his eligible dependents, if any, for up to nine months.</w:t>
      </w:r>
    </w:p>
    <w:p>
      <w:pPr>
        <w:spacing w:after="0" w:line="13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during the Change in Control Period, Mr. Horn or Mr. Ostadan’s employment with the Company is terminated either (1) by the Company without cause and not by reason of death or disability or (2) by the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121" w:right="359" w:bottom="1440" w:gutter="0" w:footer="0" w:header="0"/>
        </w:sectPr>
      </w:pPr>
    </w:p>
    <w:bookmarkStart w:id="140" w:name="page141"/>
    <w:bookmarkEnd w:id="14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executive officer as a good reason termination, the named executive officer will receive the following benefits if he timely signs and does not revoke a separation agreement and release of claims in our favor:</w:t>
      </w:r>
    </w:p>
    <w:p>
      <w:pPr>
        <w:spacing w:after="0" w:line="116" w:lineRule="exact"/>
        <w:rPr>
          <w:sz w:val="20"/>
          <w:szCs w:val="20"/>
          <w:color w:val="auto"/>
        </w:rPr>
      </w:pPr>
    </w:p>
    <w:p>
      <w:pPr>
        <w:ind w:left="660" w:right="100" w:hanging="328"/>
        <w:spacing w:after="0" w:line="286" w:lineRule="auto"/>
        <w:tabs>
          <w:tab w:leader="none" w:pos="655"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continuing payments of the named executive officer’s base salary for a period of twelve months following the date of such termination (or if such termination is a good reason termination by the named executive officer based on a material reduction in base salary, then, if greater, as in effect immediately prior to the reduction) (or, if greater, as in effect immediately before the change in control);</w:t>
      </w:r>
    </w:p>
    <w:p>
      <w:pPr>
        <w:spacing w:after="0" w:line="111"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lump sum cash payment equal to 100% of the named executive officer’s annualized target bonus as in effect for the performance period in which such termination occurs, or, if greater, as in effect for the performance period in which the change in control occurs;</w:t>
      </w:r>
    </w:p>
    <w:p>
      <w:pPr>
        <w:spacing w:after="0" w:line="116"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 named executive officer and his eligible dependents have qualifying health care at the time of such termination, then either reimbursements for or direct payments of payment of premiums for coverage under COBRA, for a named executive officer and his eligible dependents, if any, for up to twelve months;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vesting acceleration of 100% of the shares subject to a named executive officer’s outstanding time-based equity awards.</w:t>
      </w:r>
    </w:p>
    <w:p>
      <w:pPr>
        <w:spacing w:after="0" w:line="171"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addition to signing and not revoking a separation agreement and release of claims in our favor, Mr. Horn or Mr. Ostadan’s receipt and retention of any severance benefits under his Participation Agreement is subject to his compliance with the terms of any confidentiality, information and inventions agreement or other written agreement with us under which he has a material duty or obligation to us.</w:t>
      </w:r>
    </w:p>
    <w:p>
      <w:pPr>
        <w:spacing w:after="0" w:line="11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If Mr. Horn or Mr. Ostadan begins employment or enters into a consultant relationship with a new employer during the period he is receiving severance benefits from us under the Severance Plan and a related Participation Agreement, then any cash compensation paid the named executive officer by the new employer will reduce our cash severance benefit obligations under the Severance Plan , and we will have no obligation to provide for (or provide any payments in lieu of) medical, vision and dental coverage if the new employer provides such benefits to such named executive officer.</w:t>
      </w:r>
    </w:p>
    <w:p>
      <w:pPr>
        <w:spacing w:after="0" w:line="103"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addition, if, (a) during the time period beginning upon the consummation of a change in control and ending on the date immediately prior to the two year anniversary of the change in control (such two-year anniversary, the Retention Date), the employment of Mr. Horn or Mr. Ostadan with the Company (or any parent or subsidiary of the Company) is terminated either (1) by the Company without cause and not by reason of death or disability, or (2) by the named executive officer as a good reason termination, or (b) such named executive officer remains employed by the Company (or any parent or subsidiary of the Company) through the Retention Date, and if he timely signs and does not revoke a release of claims in our favor, the named executive officer will receive 100% accelerated vesting of all of his then-unvested and outstanding Company equity awards that were granted prior to our initial public offering.</w:t>
      </w:r>
    </w:p>
    <w:p>
      <w:pPr>
        <w:spacing w:after="0" w:line="11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any of the amounts provided for under the Severance Plan or otherwise payable to a named executive officer would constitute “parachute payments” within the meaning of Section 280G of the Internal Revenue Code and could be subject to the related excise tax, the amounts the named executive officer would be entitled to receive under the Plan or otherwise will be reduced to a lesser amount which would result in no portion of the benefits being subject to the excise tax. No Participation Agreement provides for any Section 280G-related tax gross-up payments from us.</w:t>
      </w:r>
    </w:p>
    <w:p>
      <w:pPr>
        <w:spacing w:after="0" w:line="11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each of Mr. Horn and Mr. Ostadan’s Participation Agreements, “cause” generally means a named executive officer’s: failure to significantly perform his assigned duties or responsibilities as an employee (other than a failure resulting from his disability) and failure to cure such failure within thirty days after receiving written notice from the Company; engaging in any act of dishonesty, fraud or misrepresentation with respect to the Company; violation of any federal or state law or regulation applicable to the business of the Company or its affiliates; breach of any confidentiality agreement or invention assignment agreement with the Company or its affiliates; material breach of any other agreement with the Company and failure to cure such breach within ten days after receiving written notice of such breach; conviction of, or entering a plea of guilty or nolo contendere to, any felony or crime of moral turpitude; or willful misconduct which significantly and adversely reflects upon the business, operations,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21" w:right="359" w:bottom="1440" w:gutter="0" w:footer="0" w:header="0"/>
        </w:sectPr>
      </w:pPr>
    </w:p>
    <w:bookmarkStart w:id="141" w:name="page142"/>
    <w:bookmarkEnd w:id="14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reputation of the Company, and failure to cure such misconduct within ten days after receiving written notice from the Company.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Under each of Mr. Horn and Mr. Ostadan’s Participation Agreements, “good reason termination” generally means that such named executive officer resigns from the Company within 60 days following the end of our cure period discussed below as a result of any of the following that occurs without his written consent: a material reduction in his base salary as compared to his base salary in effect immediately prior to such reduction; a material change in the geographic location of his primary work facility or location, provided, that a relocation that increases his commute by 50 miles or less or to his home as the executive’s primary work location will not be considered a material change in geographic location; or a material reduction of his authority, duties or responsibilities, unless he is provided with a comparable position. For a resignation to qualify as a “good reason termination,” a named executive officer also must provide written notice within 60 days following the initial existence of the good reason condition, and such action must not have been reversed, remedied or cured within 30 days following our receipt of such written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Incentive Compensation Plan</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board of directors has adopted our Executive Incentive Compensation Plan. Our Executive Incentive Compensation Plan is administered by our compensation committee. Our Executive Incentive Compensation Plan allows us to grant incentive awards, generally payable in cash, to employees selected by the administrator, including our named executive officers, based upon any performance goals that may be established by the administrator. The below is a summary of the terms of the Executive Incentive Compensation Plan.</w:t>
      </w:r>
    </w:p>
    <w:p>
      <w:pPr>
        <w:spacing w:after="0" w:line="133"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Under our Executive Incentive Compensation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2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34"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121" w:right="359" w:bottom="1440" w:gutter="0" w:footer="0" w:header="0"/>
        </w:sectPr>
      </w:pPr>
    </w:p>
    <w:bookmarkStart w:id="142" w:name="page143"/>
    <w:bookmarkEnd w:id="14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3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Awards under our Executive Incentive Compensation Plan are subject to any clawback policy we are required to adopt from time to time to comply with the listing standards of any national securities exchange or association on which our securities are listed or as is otherwise required by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12"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administrator of our Executive Incentive Compensation Plan will have the authority to amend, alter, suspend or terminate our Executive Incentive Compensation Plan, provided such action does not materially alter or materially impair the existing rights or obligations of any participant with respect to any earned awards. Our Executive Incentive Compensation Plan will remain in effect until terminated in accordance with its terms.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board of directors adopted, and our stockholders approved, our 2020 Equity Incentive Plan (2020 Plan). Our 2020 Plan became effective as of the business day immediately prior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 The below is a summary of the terms of the 2020 Plan.</w:t>
      </w:r>
    </w:p>
    <w:p>
      <w:pPr>
        <w:spacing w:after="0" w:line="13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 total of 4,819,859 shares of our Class A common stock was initially reserved for issuance pursuant to our 2020 Plan. In addition, the shares reserved for issuance under our 2020 Plan will include (i) a number of shares of our Class A common stock equal to the number of shares of all classes of our common stock subject to awards granted under our 2020 RSU Equity Incentive Plan or 2017 Stock Incentive Plan (each, a Prior Plan) that, on or after the date the applicable Prior Plan was terminated, are terminated, canceled, expire or otherwise terminate without having been exercised in full, are tendered to or withheld by us for payment of an exercise price or for tax withholding obligations, or are forfeited to or repurchased by us due to failure to vest, and (ii) a number of shares of our Class A common stock equal to the number of shares of all classes of our common stock that, as of immediately prior to the termination of each Prior Plan, were reserved but not issued pursuant to awards granted under each Prior Plan and are not subject to any awards under each Prior Plan (provided that the maximum number of shares that may be added to the 2020 Plan pursuant to this sentence is 14,687,016 shares). The number of shares available for issuance under our 2020 Plan also will include an annual increase, or the evergreen feature, on the first day of each of our fiscal years, beginning with our fiscal year 2021, equal to the least of:</w:t>
      </w:r>
    </w:p>
    <w:p>
      <w:pPr>
        <w:spacing w:after="0" w:line="131"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9,037,149 shares;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number of shares equal to 5% of the outstanding shares of all classes of our common stock as of the last day of the immediately preceding fiscal year; or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16"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Shares issuable under our 2020 Plan will be authorized, but unissued, or reacquired shares of our Class A common stock. If an award expires or becomes unexercisable without having been exercised in full, is surrendered pursuant to an exchange program (as described below), or, with respect to restricted stock, restricted stock units,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21" w:right="359" w:bottom="1440" w:gutter="0" w:footer="0" w:header="0"/>
        </w:sectPr>
      </w:pPr>
    </w:p>
    <w:bookmarkStart w:id="143" w:name="page144"/>
    <w:bookmarkEnd w:id="14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actually have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2020 Plan)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Our board of directors or one or more committees appointed by our board of directors has authority to administer our 2020 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w:t>
      </w:r>
    </w:p>
    <w:p>
      <w:pPr>
        <w:spacing w:after="0" w:line="2" w:lineRule="exact"/>
        <w:rPr>
          <w:sz w:val="20"/>
          <w:szCs w:val="20"/>
          <w:color w:val="auto"/>
        </w:rPr>
      </w:pPr>
    </w:p>
    <w:p>
      <w:pPr>
        <w:ind w:right="20" w:firstLine="8"/>
        <w:spacing w:after="0" w:line="285" w:lineRule="auto"/>
        <w:tabs>
          <w:tab w:leader="none" w:pos="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Subject to the provisions of our 2020 Plan, the administrator has the power to administer our 2020 Plan and make all determinations deemed necessary or advisable for administering the 2020 Plan, including but not limited to, the power to determine the fair market value of our Class A common stock, select the service providers to whom awards may be granted, determine the number of shares or dollar amounts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Stock options may be granted under our 2020 Plan. The exercise price of options granted under our 2020 Plan generally must be equal to at least 100% of the fair market value of a share of our Class A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Class A common stock on the grant date. The administrator determines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(provided that an option agreement may specify that in the event a participant’s service is terminated by the Company for Cause (as defined in our 2020 Plan), the option will terminate immediately).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21" w:right="339" w:bottom="1440" w:gutter="0" w:footer="0" w:header="0"/>
        </w:sectPr>
      </w:pPr>
    </w:p>
    <w:bookmarkStart w:id="144" w:name="page145"/>
    <w:bookmarkEnd w:id="14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option, however, may not be exercised later than the expiration of its term. Subject to the provisions of our 2020 Plan, the administrator determines the terms of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Stock appreciation rights may be granted under our 2020 Plan. Stock appreciation rights allow the recipient to receive the appreciation in the fair market value of our Class A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Class A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Restricted stock may be granted under our 2020 Plan. Restricted stock awards (RSAs) are grants of shares of our Class A common stock that may have vesting requirements under any such terms and conditions established by the administrator. The administrator determines the number of shares of restricted stock granted to any employee, director or consultant and, subject to the provisions of our 2020 Plan, determines the terms and conditions of such awards.</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RSAs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our right of repurchase or forfeiture.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Restricted stock units (RSUs) may be granted under our 2020 Plan. Restricted stock units are bookkeeping entries representing an amount equal to the fair market value of one share of our Class A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Awards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121" w:right="359" w:bottom="1440" w:gutter="0" w:footer="0" w:header="0"/>
        </w:sectPr>
      </w:pPr>
    </w:p>
    <w:bookmarkStart w:id="145" w:name="page146"/>
    <w:bookmarkEnd w:id="14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Notwithstanding the foregoing, the administrator, in its sole discretion, may accelerate the time at which any restrictions will lapse or be removed.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Directors</w:t>
      </w:r>
    </w:p>
    <w:p>
      <w:pPr>
        <w:spacing w:after="0" w:line="17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Our board of directors has adopted and our stockholders have approved a formal Outside Director Compensation Policy pursuant to which our outside directors are eligible to receive certain equity awards under our 2020 Plan. Our 2020 Plan provides that in any given fiscal year, no outside director may be granted awards (the value of which will be based on their grant date fair value) under our 2020 Plan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our 2020 Plan will be determined according to U.S. GAAP. Any awards or other compensation provided to an individual for his or her services as an employee or a consultant (other than an outside director), or before our initial public offering, will not count toward this limit. This maximum limit provision does not reflect the intended size of any potential grants or a commitment to make grants to our outside directors under our 2020 Plan in the future.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21" w:right="359" w:bottom="1440" w:gutter="0" w:footer="0" w:header="0"/>
        </w:sectPr>
      </w:pPr>
    </w:p>
    <w:bookmarkStart w:id="146" w:name="page147"/>
    <w:bookmarkEnd w:id="14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0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awards granted to an outside director while such individual was an outside director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outside director.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Awards are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all or a portion of the award and any amounts paid under the award in order to comply with any clawback policy of ours as described in the first sentence of this paragraph or with applicable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administrator has the authority to amend, alter, suspend or terminate our 2020 Plan, provided such action does not materially impair the rights of any participant unless mutually agreed otherwise. Our 2020 Plan will remain in effect for a term of ten years from the date of adoption of the 2020 Plan by our board of directors unless terminated earlier pursuant to the terms of our 2020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RSU Equity Incentive Plan</w:t>
      </w:r>
    </w:p>
    <w:p>
      <w:pPr>
        <w:spacing w:after="0" w:line="171"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Our 2020 RSU Equity Incentive Plan (RSU Plan) was adopted by our board of directors in April 2020 and was most recently amended and restated in November 2020. Our stockholders last approved our 2020 Plan in November 2020. Our RSU Plan was terminated at the time of our initial public offering, and we will not grant any additional awards under our RSU Plan. However, our RSU Plan continues to govern the terms and conditions of the outstanding awards previously granted under our RSU Plan. The below is a summary of the terms of the RSU Plan.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RSU Plan allowed us to grant restricted stock units to employees, directors, officers and consultants of ours and any parent or subsidiary of ours.</w:t>
      </w:r>
    </w:p>
    <w:p>
      <w:pPr>
        <w:spacing w:after="0" w:line="19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December 31, 2020, an aggregate of 381,922 shares of our Class A common stock were reserved for issuance under our RSU Plan. As of December 31, 2020, restricted stock unit awards covering an aggregate of 381,922 shares of our Class A common stock were outstanding under our RSU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board of directors or one or more committees appointed by our board of directors have the authority to administer our RSU Plan. Subject to the provisions of our RSU Plan, the administrator has the power to administer our RSU Plan and make all determinations deemed necessary or advisable for administering the RSU Plan, including but not limited to, the power to determine the fair market value of our Class A common stock, select the service providers to whom awards could be granted, determine the number of shares covered by each award, approve forms of award agreements for use under the RSU Plan, determine the terms and conditions of awards, construe and interpret the terms of our RSU Plan and awards granted under it, prescribe, amend and rescind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121" w:right="379" w:bottom="1440" w:gutter="0" w:footer="0" w:header="0"/>
        </w:sectPr>
      </w:pPr>
    </w:p>
    <w:bookmarkStart w:id="147" w:name="page148"/>
    <w:bookmarkEnd w:id="14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relating to our RSU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RSU Plan to a financial institution or other person or entity selected by the administrator, and to institute an exchange program by which outstanding awards granted under the RSU Plan may be surrendered or cancelled in exchange for awards of the same type, which may have a higher or lower exercise price and/or different terms, awards of a different type and/or cash, or by which the exercise price of an outstanding award granted under the RSU Plan is increased or reduced. The administrator’s decisions, interpretations and other actions are final and binding on all participants and will be given the maximum deference permitted by applicable law.</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Restricted stock units could be granted under our RSU Plan. Restricted stock units are bookkeeping entries representing an amount equal to the fair market value of one share of our Class A common stock. Subject to the provisions of our RSU Plan, the administrator determines the terms and conditions of restricted stock units, including any vesting criteria and the form and timing of payment. The administrator could set vesting criteria based upon the achievement of company-wide, business unit, or individual goals (including, but not limited to, continued employment or service), or any other basis determined by the administrator in its discretion. The administrator, in its sole discretion, may pay earned restricted stock units in the form of cash, shares, or a combination of both. Notwithstanding the foregoing, the administrator, in its sole discretion, may at any time reduce or waive any vesting criteria that must be met.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our RSU Plan generally does not allow for the transfer of awards other than by will or the laws of descent and distribution. If the administrator makes an award transferable, such award may be transferred only by will, by the laws of descent and distribution, or as permitted by Rule 701 of the Securities Act of 1933.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 the event of certain changes in our capitalization, such as a dividend (other than an ordinary dividend) or other distribution, recapitalization, stock split, reverse stock split, reorganization, merger, consolidation, split-up, spin-off, combination, repurchase or exchange of our shares or other securities or other change in our corporate structure affecting our shares, to prevent diminution or enlargement of the benefits or potential benefits available under our RSU Plan, the administrator will adjust the number and class of shares that may be delivered under our RSU Plan and/or the number, class and price of shares covered by each outstanding award. Further, the administrator will make such adjustments to awards as required by Section 25102(o) of the California Corporations Code to the extent the Company is relying upon the exemption afforded thereby with respect to such awards.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Dissolution or Liquidation</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before the consummation of such proposed transaction.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RSU Plan provides that in the event of our merger or change in control, as defined in our RSU Plan, each outstanding award will be treated as the administrator determines, without a participant’s consent, including, without limitation, that the administrator may provide that awards granted under the RSU Plan will be assumed or substituted by substantially equivalent awards, be terminated upon or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21" w:right="339" w:bottom="1440" w:gutter="0" w:footer="0" w:header="0"/>
        </w:sectPr>
      </w:pPr>
    </w:p>
    <w:bookmarkStart w:id="148" w:name="page149"/>
    <w:bookmarkEnd w:id="14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a successor corporation does not assume or substitute an equivalent award for any outstanding award (or a portion of such award), then all restrictions on such award (or its applicable portion) will lapse and all performance goals or other vesting criteria applicable to such award (or its applicable portion) will be deemed achieved at 100% of target levels and all other terms and conditions will be considered fulfilled, unless specifically provided otherwise under the applicable award agreement or other written agreement authorized by the administrator of the RSU Plan with the participant.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Awards are subject to any clawback policy of ours which we are required to adopt pursuant to comply with applicable rules or laws. The administrator also may impose such other clawback, recovery or recoupment provisions in an award agreement as the administrator determines necessary or appropriate, including but not limited to a reacquisition right regarding previously acquired Shares or other cash or property. Additionally, the administrator may specify in an award agreement that the participant’s rights, payments and benefits with respect to an award will be subject to reduction, cancellation, forfeiture or recoupment upon the occurrence of certain specified events.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Our board of directors had the authority to amend, suspend or terminate our RSU Plan, provided such action does not materially impair the rights of any participant unless mutually agreed otherwise. As noted above, our RSU Plan has been terminated and we will not grant any additional awards under our RSU Plan.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2017 Stock Incentive Plan (the 2017 Plan) originally was adopted by our board of directors in September 2017 and was most recently amended and restated in November 2020. Our stockholders last approved our 2017 Plan in May 2020. Our 2017 Plan was terminated at the time of our initial public offering, and we will not grant any additional awards under our 2017 Plan. However, our 2017 Plan continues to govern the terms and conditions of the outstanding awards previously granted under our 2017 Plan. The below is a summary of the terms of the 2017 Plan.</w:t>
      </w:r>
    </w:p>
    <w:p>
      <w:pPr>
        <w:spacing w:after="0" w:line="11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Our 2017 Plan allowed us to provide incentive stock options, within the meaning of Section 422 of the Code, non-statutory stock options, and RSAs (each, an “award” and the recipient of such award, a “participant”) to employees, directors, officers and consultants or advisors of ours and any parent or subsidiary of ours.</w:t>
      </w:r>
    </w:p>
    <w:p>
      <w:pPr>
        <w:spacing w:after="0" w:line="13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December 31, 2020, awards outstanding under our 2017 Plan consisted of stock options to purchase an aggregate of 8,192,910 shares of our Class A common stock and no RSAs .</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2017 Plan is administered by our board of directors or a committee appointed by our board of directors, or the administrator. The administrator has the authority to make all determinations necessary or advisable to our 2017 Plan, including the authority to issue restricted stock grants and stock options, authorize the issuance of shares upon exercise of stock options under the 2017 Plan, construe award agreements and the 2017 Plan, to prescribe, amend and rescind rules and regulations relating to the 2017 Plan, to determine the terms and provisions of awards, and to correct any defect or supply any omission or reconcile any inconsistency in the 2017 Plan or any award agreement. The administrator may accelerate the date or dates on which all or any particular stock option may be exercised or extend the period or periods of time during which all, or any particular, stock option or stock options may be exercised. Subject to the consent of any adversely affected participant, the administrator also has the authority to allow participants the opportunity under an exchange program to transfer outstanding awards granted under the 2017 Plan to a financial institution or other person or entity selected by the administrator, and to institute an exchange program by which outstanding awards granted under the 2017 Plan may be surrendered or cancelled in exchange for awards of the same type, which may have a higher or lower exercise price and/or different terms, awards of a different type and/or cash, or by which the exercise price of an outstanding award granted under the 2017 Plan is increased or reduced. The administrator’s construction and interpretation of the terms and provisions of our 2017 Plan is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121" w:right="359" w:bottom="1440" w:gutter="0" w:footer="0" w:header="0"/>
        </w:sectPr>
      </w:pPr>
    </w:p>
    <w:bookmarkStart w:id="149" w:name="page150"/>
    <w:bookmarkEnd w:id="14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Employees, officers, directors and consultants or advisors of ours or our parent or subsidiary companies were eligible to receive awards. Only our employees or employees of our parent or subsidiary companies are eligible to receive incentive stock options.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Stock options have been granted under our 2017 Plan. The administrator determines the exercise price of stock options granted under our 2017 Plan, which may not be less than the fair market value of our Class A common stock on the date of grant. The term of a stock option is stated in the applicable award agreement, but may not exceed ten years from the grant date. With respect to any employee who owns more than 10% of the total combined voting power of all classes of outstanding stock of ours or any of our parent or subsidiary companies, the exercise price of an incentive stock option must equal at least 110% of the fair market value on the grant date and the term of an incentive stock option granted to such employee may not exceed five years. The administrator determines the methods of payment of the exercise price of a stock option, which may include cash or check; delivery of shares of our Class A common stock; delivery of a personal recourse note with an interest rate not less than the lowest applicable federal rate; if the Class A common stock is registered under the Securities Exchange Act of 1934, by irrevocable instructions to a broker to deliver payment by cash or check; by reducing the number of shares otherwise issuable by a number of shares having fair market value equal to the aggregate exercise price of the option, or by any combination of the foregoing methods. The administrator determines the time after a participant’s termination of employment or provision of services during which a participant may exercise his or her option, which except as otherwise expressly provided in the applicable award agreement, generally will be 90 days (or 180 days in the case of a participant’s termination of employment or service due to death or disability). In the event a participant’s employment or provision of services to the Company is terminated by the Company for Cause (as defined in our 2017 Plan), the option will terminate immediately. A stock option may not be exercised later than the expiration of its term. The administrator, in its sole discretion, may include in stock option agreements additional provisions not inconsistent with the terms or conditions of the 2017 Plan, providing for, among other items, restrictions on transfer, rights of the Company to repurchase shares acquired upon exercise of the stock option or such other provisions determined by the administrator.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Restricted stock awards have been granted under our 2017 Plan. Such restricted stock are shares of our Class A common stock entitling the recipient to acquire, for a purchase price (if any) and subject to such restrictions and conditions as the administrator may determine at the time of grant, including continued employment and/or achievement of pre-established performance goals and objectives. The administrator determines any purchase price of restricted stock awards at the time of authorizing the issuance of such awards. The administrator, in its sole discretion, may include in restricted stock award agreements additional provisions not inconsistent with the terms or conditions of the 2017 Plan, providing for, among other items, restrictions on transfer and the right of the Company to repurchase shares of restricted stock or such other provisions determined by the administrator.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Stock Options</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Under our 2017 Plan, stock options are not assignable or transferable by the person to whom they are granted, either voluntarily or by operation of law, except by will or the laws of descent and distribution. During the life of an optionee, an option may be exercised only by the optionee.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through or as a result of any merger, consolidation, sale of all or substantially all of our assets, reorganization, recapitalization, reclassification, stock dividend, stock split, reverse stock split or other similar transaction, outstanding shares of our Class A common stock are increased, decreased or exchanged for a different number or kind of securities or other non-cash assets are distributed with respect to our stock or other securities, an appropriate and proportionate adjustment will be made in the number and kind of shares or other securities subject to any then outstanding stock options, and the price of shares covered by each outstanding stock option.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21" w:right="339" w:bottom="1440" w:gutter="0" w:footer="0" w:header="0"/>
        </w:sectPr>
      </w:pPr>
    </w:p>
    <w:bookmarkStart w:id="150" w:name="page151"/>
    <w:bookmarkEnd w:id="15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expressly provided in the 2017 Plan, any issuance by us of shares of stock of any class, or securities convertible into shares of stock of any class, for cash or property or for labor or services, either upon direct sale or exercise of rights or warrants, or upon conversion of shares or obligations of ours convertible into such shares or securities, will not affect or cause an adjustment to the number or price of shares subject to outstanding options under the 2017 Plan. The administrator’s determination regarding such adjustments will be final, binding and conclusive.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Transactions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Our 2017 Plan provides that, unless provided otherwise in an option agreement or restricted stock agreement, in the event of a Change in Control Transaction (as defined in our 2017 Plan), the administrator, or the board of directors of any corporation assuming the obligations of the Company, may, in its discretion, take any one or more of the following actions, as to some or all outstanding awards: (i) provide that stock options will be assumed or substituted for with equivalent awards, (ii) upon written notice, provide that all unexercised stock options will terminate unless exercised, to the extent exercisable, (iii) upon written notice, provide that all unvested shares of restricted stock will be repurchased at cost, (iv) make or provide for a cash payment to optionees equal to the difference between (A) the fair market value of the per share consideration the holder of a share of Class A common stock will receive upon consummation of the Change in Control Transaction (the “Per Share Transaction Price”),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Class A common stock subject to outstanding vested stock options,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the aggregate exercise price of such outstanding vested stock options, or (v) provide that all or any outstanding stock options will become exercisable and all or any outstanding restricted stock awards will vest in part or in full immediately prior to such event. If any stock options are exercisable at a price equal to or in excess of the Per Share Transaction Price, the administrator may provide that those stock options will terminate immediately upon the consummation of the Change in Control Transaction without payment. In the event of a business combination or other transaction including a Change in Control Transaction, any securities, cash or other property received in exchange for shares of restricted stock will continue to be governed by the provisions of any restricted stock agreement pursuant to which they were granted, including any provisions regarding vesting, and such securities, cash or other property may be held in escrow on such terms as the administrator may direct. The administrator need not take the same action with respect to all awards.</w:t>
      </w:r>
    </w:p>
    <w:p>
      <w:pPr>
        <w:spacing w:after="0" w:line="1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a successor corporation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portion of such option) is not assumed or substituted, the administrator will notify the participant that such option will be exercisable for a period of time determined by the administrator in its sole discretion and the option will terminate upon the expiration of such period.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7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could amend or terminate our 2017 Plan at any time. As previously noted, our 2017 Plan has been terminated and we will not grant any additional awards under our 2017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board of directors adopted, and our stockholders approved, our 2020 Employee Stock Purchase Plan (the ESPP). Our ESPP became effective as of the business day immediately prior to our initial public offering. The below is a summary of the terms of the ESPP.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total of 602,570 shares of our Class A common stock were initially available for issuance under our ESPP. In addition, our ESPP provides for annual increases in the number of shares of our Class A common stock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1" w:right="339" w:bottom="1440" w:gutter="0" w:footer="0" w:header="0"/>
        </w:sectPr>
      </w:pPr>
    </w:p>
    <w:bookmarkStart w:id="151" w:name="page152"/>
    <w:bookmarkEnd w:id="15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issuance under our ESPP on the first day of each of our fiscal years beginning with our fiscal year 2021, in an amount equal to the least of:</w:t>
      </w:r>
    </w:p>
    <w:p>
      <w:pPr>
        <w:spacing w:after="0" w:line="17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1,807,476 shares;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number of shares equal to 1% of the outstanding shares of all classes of our common stock on the last day of our immediately preceding fiscal year; and</w:t>
      </w:r>
    </w:p>
    <w:p>
      <w:pPr>
        <w:spacing w:after="0" w:line="116" w:lineRule="exact"/>
        <w:rPr>
          <w:rFonts w:ascii="Arial" w:cs="Arial" w:eastAsia="Arial" w:hAnsi="Arial"/>
          <w:sz w:val="18"/>
          <w:szCs w:val="18"/>
          <w:color w:val="auto"/>
        </w:rPr>
      </w:pPr>
    </w:p>
    <w:p>
      <w:pPr>
        <w:ind w:left="340" w:right="420" w:hanging="8"/>
        <w:spacing w:after="0" w:line="464" w:lineRule="auto"/>
        <w:tabs>
          <w:tab w:leader="none" w:pos="659" w:val="left"/>
        </w:tabs>
        <w:numPr>
          <w:ilvl w:val="0"/>
          <w:numId w:val="91"/>
        </w:numPr>
        <w:rPr>
          <w:rFonts w:ascii="Arial" w:cs="Arial" w:eastAsia="Arial" w:hAnsi="Arial"/>
          <w:sz w:val="17"/>
          <w:szCs w:val="17"/>
          <w:color w:val="auto"/>
        </w:rPr>
      </w:pPr>
      <w:r>
        <w:rPr>
          <w:rFonts w:ascii="Arial" w:cs="Arial" w:eastAsia="Arial" w:hAnsi="Arial"/>
          <w:sz w:val="17"/>
          <w:szCs w:val="17"/>
          <w:color w:val="auto"/>
        </w:rPr>
        <w:t>such other number of shares as our board of directors may determine as of no later than the last day of our immediately preceding fiscal year. Shares issuable under the ESPP will be authorized, but unissued, or reacquired shares of our Class A common stock.</w:t>
      </w:r>
    </w:p>
    <w:p>
      <w:pPr>
        <w:ind w:left="340"/>
        <w:spacing w:after="0"/>
        <w:rPr>
          <w:sz w:val="20"/>
          <w:szCs w:val="20"/>
          <w:color w:val="auto"/>
        </w:rPr>
      </w:pPr>
      <w:r>
        <w:rPr>
          <w:rFonts w:ascii="Arial" w:cs="Arial" w:eastAsia="Arial" w:hAnsi="Arial"/>
          <w:sz w:val="18"/>
          <w:szCs w:val="18"/>
          <w:i w:val="1"/>
          <w:iCs w:val="1"/>
          <w:color w:val="auto"/>
        </w:rPr>
        <w:t>Plan Administration</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Our board of directors has appointed our compensation committee to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Eligibility</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is an officer or subject to disclosure requirements under Section 16(a) of the Exchange Act, is or is not eligible to participate in an offering. However, an employee may not be granted an option to purchase stock under our ESPP if the employee (i) immediately after the grant, would own stock and/or hold outstanding options to purchase such stock possessing 5% or more of the total combined voting power or value of all classes of our (or any of our parent’s or subsidiary’s) capital stock; or (ii) holds rights to purchase stock under all of our employee stock purchase plans that accrue at a rate that exceeds $25,000 worth of stock for each calendar year.</w:t>
      </w:r>
    </w:p>
    <w:p>
      <w:pPr>
        <w:spacing w:after="0" w:line="11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71" w:lineRule="exact"/>
        <w:rPr>
          <w:sz w:val="20"/>
          <w:szCs w:val="20"/>
          <w:color w:val="auto"/>
        </w:rPr>
      </w:pPr>
    </w:p>
    <w:p>
      <w:pPr>
        <w:ind w:right="40" w:firstLine="324"/>
        <w:spacing w:after="0" w:line="219" w:lineRule="exact"/>
        <w:rPr>
          <w:sz w:val="20"/>
          <w:szCs w:val="20"/>
          <w:color w:val="auto"/>
        </w:rPr>
      </w:pPr>
      <w:r>
        <w:rPr>
          <w:rFonts w:ascii="Arial" w:cs="Arial" w:eastAsia="Arial" w:hAnsi="Arial"/>
          <w:sz w:val="18"/>
          <w:szCs w:val="18"/>
          <w:color w:val="auto"/>
        </w:rPr>
        <w:t>Our ESPP includes a component that is intended to qualify as an “employee stock purchase plan” under Code Section 423 (the 423 Component), and a component that does not comply with Code Section 423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Upon the administrator’s determination that offering periods will commence under our ESPP (the Offer Commencement Approval), our ESPP will provide for six-month offering periods, unless the administrator determines otherwise. Each offering period will have one purchase period with the same duration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21" w:right="359" w:bottom="1440" w:gutter="0" w:footer="0" w:header="0"/>
        </w:sectPr>
      </w:pPr>
    </w:p>
    <w:bookmarkStart w:id="152" w:name="page153"/>
    <w:bookmarkEnd w:id="15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offering period. The offering periods will be scheduled to begin on the first trading day on or after (a) February 15 and August 15 of each year following the date of the Offer Commencement Approval, or, (b) on May 15 and November 15 of each year following the Offer Commencement Approval if either of May 15 or November 15 occurs earlier than February 15 or August 15 in the year of the Offer Commencement Approval.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Contributions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Exercise of Purchase Right</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offering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1,168 shares during each offering period.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w:t>
      </w:r>
    </w:p>
    <w:p>
      <w:pPr>
        <w:spacing w:after="0" w:line="171"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Adjustments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ESPP provides that if any dividend or other distribution (whether in the form of cash, our common stock, other securities, or other property), recapitalization, stock split, reverse stock split, reorganization, merger, consolidation, split up, spin 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Merger or Change in Control</w:t>
      </w:r>
    </w:p>
    <w:p>
      <w:pPr>
        <w:spacing w:after="0" w:line="171"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before such date the participant has withdrawn from the offering period or a participant’s participation has terminated due to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21" w:right="339" w:bottom="1440" w:gutter="0" w:footer="0" w:header="0"/>
        </w:sectPr>
      </w:pPr>
    </w:p>
    <w:bookmarkStart w:id="153" w:name="page154"/>
    <w:bookmarkEnd w:id="15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Termination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before the effective date of our registration statement for our initial public offering, unless we terminate it earlier.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Rule 10b5-1 Plan Sales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the sale of any shares under such plan would be subject to the lock-up agreement that the director or executive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80"/>
          </w:cols>
          <w:pgMar w:left="320" w:top="121" w:right="399" w:bottom="1440" w:gutter="0" w:footer="0" w:header="0"/>
        </w:sectPr>
      </w:pPr>
    </w:p>
    <w:bookmarkStart w:id="154" w:name="page155"/>
    <w:bookmarkEnd w:id="15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2018 and each currently proposed transaction in which:</w:t>
      </w:r>
    </w:p>
    <w:p>
      <w:pPr>
        <w:spacing w:after="0" w:line="130"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2020 Private Placement</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On December 9, 2020, each of Fidelity Management &amp; Research Company LLC, accounts advised by T. Rowe Price Associates, Inc. and aMoon Fund purchased from us in a private placement shares of our Class A common stock at a price per share equal to the initial public offering price of $19.00 per share. Each of Fidelity Management &amp; Research Company LLC and certain funds and accounts advised by T. Rowe Price Associates, Inc. each purchased 2,105,263 shares of our Class A common stock and aMoon Fund purchased 789,473 shares of our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PrognomIQ Transaction</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As described in the section “Business—PrognomIQ,” on August 21, 2020, we consummated a transaction whereby we spun off our subsidiary PrognomIQ, Inc. through a distribution of shares of Class A common stock, Class B common stock and preferred stock of PrognomIQ to our stockholders. As a result of this transaction, those individuals who were our stockholders as of 5:00 p.m. Eastern Time on August 20, 2020, including certain of our directors and executive officers and venture capital funds that beneficially own more than 5% of our outstanding capital stock and/or are represented on our board of directors, received a distribution of shares of the relevant class of stock of PrognomIQ.</w:t>
      </w:r>
    </w:p>
    <w:p>
      <w:pPr>
        <w:spacing w:after="0" w:line="122"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have non-exclusively licensed our patents and patent applications and have non-exclusively sublicensed certain patent applications we exclusively licensed from BWH, in each case, to PrognomIQ for use in the field of human diagnostics. Pursuant to our agreement with PrognomIQ, we also assigned a patent application related to lung cancer biomarkers to PrognomIQ. For further discussion of our license and sublicense arrangement with PrognomIQ, see the section titled “Business—Collaboration and License Agreements—</w:t>
      </w:r>
      <w:r>
        <w:rPr>
          <w:rFonts w:ascii="Arial" w:cs="Arial" w:eastAsia="Arial" w:hAnsi="Arial"/>
          <w:sz w:val="16"/>
          <w:szCs w:val="16"/>
          <w:i w:val="1"/>
          <w:iCs w:val="1"/>
          <w:color w:val="auto"/>
        </w:rPr>
        <w:t>PrognomIQ</w:t>
      </w:r>
      <w:r>
        <w:rPr>
          <w:rFonts w:ascii="Arial" w:cs="Arial" w:eastAsia="Arial" w:hAnsi="Arial"/>
          <w:sz w:val="16"/>
          <w:szCs w:val="16"/>
          <w:color w:val="auto"/>
        </w:rPr>
        <w:t>.” We will also be providing general transition services and support, including laboratory and office space to PrognomIQ pursuant to a transition services agreement during the transition period.</w:t>
      </w:r>
    </w:p>
    <w:p>
      <w:pPr>
        <w:spacing w:after="0" w:line="10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Philip Ma, Ph.D., our co-Founder and former Chief Business Officer, serves as the Chief Executive Officer of PrognomIQ. While Dr. Ma has transitioned to a full-time employee of PrognomIQ, he will remain a consultant of the Company until April 2021. Our Chief Executive Officer and Chair of our board of directors, Omid Farokhzad, M.D., is the Chair of PrognomIQ’s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21" w:right="339" w:bottom="1440" w:gutter="0" w:footer="0" w:header="0"/>
        </w:sectPr>
      </w:pPr>
    </w:p>
    <w:bookmarkStart w:id="155" w:name="page156"/>
    <w:bookmarkEnd w:id="15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the number of PrognomIQ shares distributed and equity awards granted in connection with the PrognomIQ transaction to our directors, executive officers and 5% stockholders.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2780" w:type="dxa"/>
            <w:vAlign w:val="bottom"/>
            <w:gridSpan w:val="2"/>
          </w:tcPr>
          <w:p>
            <w:pPr>
              <w:ind w:left="1140"/>
              <w:spacing w:after="0"/>
              <w:rPr>
                <w:sz w:val="20"/>
                <w:szCs w:val="20"/>
                <w:color w:val="auto"/>
              </w:rPr>
            </w:pPr>
            <w:r>
              <w:rPr>
                <w:rFonts w:ascii="Arial" w:cs="Arial" w:eastAsia="Arial" w:hAnsi="Arial"/>
                <w:sz w:val="14"/>
                <w:szCs w:val="14"/>
                <w:b w:val="1"/>
                <w:bCs w:val="1"/>
                <w:color w:val="auto"/>
                <w:w w:val="97"/>
              </w:rPr>
              <w:t>Class A Common Shares</w:t>
            </w: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Class B Common Shares</w:t>
            </w:r>
          </w:p>
        </w:tc>
        <w:tc>
          <w:tcPr>
            <w:tcW w:w="1560" w:type="dxa"/>
            <w:vAlign w:val="bottom"/>
          </w:tcPr>
          <w:p>
            <w:pPr>
              <w:jc w:val="right"/>
              <w:ind w:right="172"/>
              <w:spacing w:after="0"/>
              <w:rPr>
                <w:sz w:val="20"/>
                <w:szCs w:val="20"/>
                <w:color w:val="auto"/>
              </w:rPr>
            </w:pPr>
            <w:r>
              <w:rPr>
                <w:rFonts w:ascii="Arial" w:cs="Arial" w:eastAsia="Arial" w:hAnsi="Arial"/>
                <w:sz w:val="14"/>
                <w:szCs w:val="14"/>
                <w:b w:val="1"/>
                <w:bCs w:val="1"/>
                <w:color w:val="auto"/>
              </w:rPr>
              <w:t>Preferred Shares</w:t>
            </w:r>
          </w:p>
        </w:tc>
      </w:tr>
      <w:tr>
        <w:trPr>
          <w:trHeight w:val="26"/>
        </w:trPr>
        <w:tc>
          <w:tcPr>
            <w:tcW w:w="5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David Hallal</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892,776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Emerson Collective Investments, LLC</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5,326,807</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aMoon Fund</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10,772,174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Fidelity</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6,666,666</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349,999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11,396,607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p>
        </w:tc>
        <w:tc>
          <w:tcPr>
            <w:tcW w:w="2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5,169,230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2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10,808,953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Omid Farokhzad, M.D. and affiliated entities</w:t>
            </w:r>
          </w:p>
        </w:tc>
        <w:tc>
          <w:tcPr>
            <w:tcW w:w="2700" w:type="dxa"/>
            <w:vAlign w:val="bottom"/>
          </w:tcPr>
          <w:p>
            <w:pPr>
              <w:jc w:val="right"/>
              <w:spacing w:after="0"/>
              <w:rPr>
                <w:sz w:val="20"/>
                <w:szCs w:val="20"/>
                <w:color w:val="auto"/>
              </w:rPr>
            </w:pPr>
            <w:r>
              <w:rPr>
                <w:rFonts w:ascii="Arial" w:cs="Arial" w:eastAsia="Arial" w:hAnsi="Arial"/>
                <w:sz w:val="18"/>
                <w:szCs w:val="18"/>
                <w:color w:val="auto"/>
              </w:rPr>
              <w:t>5,918,990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17,545,007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220,240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Philip Ma, Ph.D. and affiliated entity</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2,152,360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220,240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Robert Langer, Sc.D.</w:t>
            </w:r>
          </w:p>
        </w:tc>
        <w:tc>
          <w:tcPr>
            <w:tcW w:w="2700" w:type="dxa"/>
            <w:vAlign w:val="bottom"/>
          </w:tcPr>
          <w:p>
            <w:pPr>
              <w:jc w:val="right"/>
              <w:spacing w:after="0"/>
              <w:rPr>
                <w:sz w:val="20"/>
                <w:szCs w:val="20"/>
                <w:color w:val="auto"/>
              </w:rPr>
            </w:pPr>
            <w:r>
              <w:rPr>
                <w:rFonts w:ascii="Arial" w:cs="Arial" w:eastAsia="Arial" w:hAnsi="Arial"/>
                <w:sz w:val="18"/>
                <w:szCs w:val="18"/>
                <w:color w:val="auto"/>
              </w:rPr>
              <w:t>1,042,150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440,480</w:t>
            </w:r>
          </w:p>
        </w:tc>
      </w:tr>
      <w:tr>
        <w:trPr>
          <w:trHeight w:val="27"/>
        </w:trPr>
        <w:tc>
          <w:tcPr>
            <w:tcW w:w="52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Terrance McGuire and affiliated entity</w:t>
            </w: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907,031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110,120</w:t>
            </w:r>
          </w:p>
        </w:tc>
      </w:tr>
      <w:tr>
        <w:trPr>
          <w:trHeight w:val="27"/>
        </w:trPr>
        <w:tc>
          <w:tcPr>
            <w:tcW w:w="52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D-1 Convertible Preferred Stock Transaction</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May 2020, we issued and sold an aggregate of 6,853,571 shares of our Series D-1 convertible preferred stock at a purchase price of $8.03 per share for an aggregate purchase price of approximately $55.0 million. Purchasers of our Series D-1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3"/>
              </w:rPr>
              <w:t>Series D-1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40" w:type="dxa"/>
            <w:vAlign w:val="bottom"/>
            <w:gridSpan w:val="2"/>
          </w:tcPr>
          <w:p>
            <w:pPr>
              <w:jc w:val="center"/>
              <w:ind w:left="169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5"/>
        </w:trPr>
        <w:tc>
          <w:tcPr>
            <w:tcW w:w="61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1,399,999</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40" w:type="dxa"/>
            <w:vAlign w:val="bottom"/>
          </w:tcPr>
          <w:p>
            <w:pPr>
              <w:jc w:val="right"/>
              <w:spacing w:after="0"/>
              <w:rPr>
                <w:sz w:val="20"/>
                <w:szCs w:val="20"/>
                <w:color w:val="auto"/>
              </w:rPr>
            </w:pPr>
            <w:r>
              <w:rPr>
                <w:rFonts w:ascii="Arial" w:cs="Arial" w:eastAsia="Arial" w:hAnsi="Arial"/>
                <w:sz w:val="18"/>
                <w:szCs w:val="18"/>
                <w:color w:val="auto"/>
              </w:rPr>
              <w:t>1,370,715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10,999,999</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23"/>
                <w:szCs w:val="23"/>
                <w:color w:val="auto"/>
                <w:vertAlign w:val="superscript"/>
              </w:rPr>
              <w:t>(2)</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3,115,262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24,999,998</w:t>
            </w:r>
          </w:p>
        </w:tc>
      </w:tr>
      <w:tr>
        <w:trPr>
          <w:trHeight w:val="270"/>
        </w:trPr>
        <w:tc>
          <w:tcPr>
            <w:tcW w:w="614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(3)</w:t>
            </w:r>
          </w:p>
        </w:tc>
        <w:tc>
          <w:tcPr>
            <w:tcW w:w="3440" w:type="dxa"/>
            <w:vAlign w:val="bottom"/>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7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(4)</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1,121,494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Invus Public Equities, L.P.</w:t>
            </w:r>
          </w:p>
        </w:tc>
        <w:tc>
          <w:tcPr>
            <w:tcW w:w="3440" w:type="dxa"/>
            <w:vAlign w:val="bottom"/>
          </w:tcPr>
          <w:p>
            <w:pPr>
              <w:jc w:val="right"/>
              <w:spacing w:after="0"/>
              <w:rPr>
                <w:sz w:val="20"/>
                <w:szCs w:val="20"/>
                <w:color w:val="auto"/>
              </w:rPr>
            </w:pPr>
            <w:r>
              <w:rPr>
                <w:rFonts w:ascii="Arial" w:cs="Arial" w:eastAsia="Arial" w:hAnsi="Arial"/>
                <w:sz w:val="18"/>
                <w:szCs w:val="18"/>
                <w:color w:val="auto"/>
              </w:rPr>
              <w:t>249,221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1,999,999</w:t>
            </w:r>
          </w:p>
        </w:tc>
      </w:tr>
      <w:tr>
        <w:trPr>
          <w:trHeight w:val="182"/>
        </w:trPr>
        <w:tc>
          <w:tcPr>
            <w:tcW w:w="6140" w:type="dxa"/>
            <w:vAlign w:val="bottom"/>
          </w:tcPr>
          <w:p>
            <w:pPr>
              <w:spacing w:after="0"/>
              <w:rPr>
                <w:sz w:val="20"/>
                <w:szCs w:val="20"/>
                <w:color w:val="auto"/>
              </w:rPr>
            </w:pPr>
            <w:r>
              <w:rPr>
                <w:rFonts w:ascii="Arial" w:cs="Arial" w:eastAsia="Arial" w:hAnsi="Arial"/>
                <w:sz w:val="14"/>
                <w:szCs w:val="14"/>
                <w:color w:val="auto"/>
              </w:rPr>
              <w:t>________________</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ind w:left="34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2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Fidelity whose shares are aggregated for the purposes of reporting ownership information include Fidelity Growth Company Commingled Pool, Fidelity Mt. Vernon Street Trust: Fidelity Growth Company Fund, Fidelity Mt. Vernon Street Trust: Fidelity Growth Company K6 Fund, Fidelity Mt. Vernon Street Trust: Fidelity Series Growth Company Fund and Fidelity Select Portfolios Select Medical Technology and Devices Portfolio.</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D Convertible Preferred Stock Transaction</w:t>
      </w:r>
    </w:p>
    <w:p>
      <w:pPr>
        <w:spacing w:after="0" w:line="17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In November 2019 and December 2019, we issued and sold an aggregate of 7,907,968 shares of our Series D convertible preferred stock shares at a purchase price of $6.96 per share for an aggregate purchase price of approximately $55.0 million. Purchasers of our Series D convertible preferred stock included venture capital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21" w:right="339" w:bottom="1440" w:gutter="0" w:footer="0" w:header="0"/>
        </w:sectPr>
      </w:pPr>
    </w:p>
    <w:bookmarkStart w:id="156" w:name="page157"/>
    <w:bookmarkEnd w:id="15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that beneficially owned more than 5% of our outstanding share capital and/or are represented on our board of directors. The following table presents the number of shares and the total purchase price paid by these persons.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3"/>
              </w:rPr>
              <w:t>Series D Convertible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Investor</w:t>
            </w:r>
          </w:p>
        </w:tc>
        <w:tc>
          <w:tcPr>
            <w:tcW w:w="3520" w:type="dxa"/>
            <w:vAlign w:val="bottom"/>
            <w:gridSpan w:val="2"/>
          </w:tcPr>
          <w:p>
            <w:pPr>
              <w:jc w:val="center"/>
              <w:ind w:left="1675"/>
              <w:spacing w:after="0"/>
              <w:rPr>
                <w:sz w:val="20"/>
                <w:szCs w:val="20"/>
                <w:color w:val="auto"/>
              </w:rPr>
            </w:pPr>
            <w:r>
              <w:rPr>
                <w:rFonts w:ascii="Arial" w:cs="Arial" w:eastAsia="Arial" w:hAnsi="Arial"/>
                <w:sz w:val="14"/>
                <w:szCs w:val="14"/>
                <w:b w:val="1"/>
                <w:bCs w:val="1"/>
                <w:color w:val="auto"/>
                <w:w w:val="92"/>
              </w:rPr>
              <w:t>Preferred Shares</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Total Purchase Price</w:t>
            </w:r>
          </w:p>
        </w:tc>
      </w:tr>
      <w:tr>
        <w:trPr>
          <w:trHeight w:val="26"/>
        </w:trPr>
        <w:tc>
          <w:tcPr>
            <w:tcW w:w="61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529,784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3,684,652</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aMoon Fund</w:t>
            </w:r>
            <w:r>
              <w:rPr>
                <w:rFonts w:ascii="Arial" w:cs="Arial" w:eastAsia="Arial" w:hAnsi="Arial"/>
                <w:sz w:val="23"/>
                <w:szCs w:val="23"/>
                <w:color w:val="auto"/>
                <w:vertAlign w:val="superscript"/>
              </w:rPr>
              <w:t>(1)</w:t>
            </w:r>
          </w:p>
        </w:tc>
        <w:tc>
          <w:tcPr>
            <w:tcW w:w="3420" w:type="dxa"/>
            <w:vAlign w:val="bottom"/>
          </w:tcPr>
          <w:p>
            <w:pPr>
              <w:jc w:val="right"/>
              <w:spacing w:after="0"/>
              <w:rPr>
                <w:sz w:val="20"/>
                <w:szCs w:val="20"/>
                <w:color w:val="auto"/>
              </w:rPr>
            </w:pPr>
            <w:r>
              <w:rPr>
                <w:rFonts w:ascii="Arial" w:cs="Arial" w:eastAsia="Arial" w:hAnsi="Arial"/>
                <w:sz w:val="18"/>
                <w:szCs w:val="18"/>
                <w:color w:val="auto"/>
              </w:rPr>
              <w:t>3,663,008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25,476,233</w:t>
            </w:r>
          </w:p>
        </w:tc>
      </w:tr>
      <w:tr>
        <w:trPr>
          <w:trHeight w:val="27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(2)</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3,515,486</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Entities affiliated with T. Rowe Price</w:t>
            </w:r>
            <w:r>
              <w:rPr>
                <w:rFonts w:ascii="Arial" w:cs="Arial" w:eastAsia="Arial" w:hAnsi="Arial"/>
                <w:sz w:val="23"/>
                <w:szCs w:val="23"/>
                <w:color w:val="auto"/>
                <w:vertAlign w:val="superscript"/>
              </w:rPr>
              <w:t>(3)</w:t>
            </w:r>
          </w:p>
        </w:tc>
        <w:tc>
          <w:tcPr>
            <w:tcW w:w="3420" w:type="dxa"/>
            <w:vAlign w:val="bottom"/>
          </w:tcPr>
          <w:p>
            <w:pPr>
              <w:jc w:val="right"/>
              <w:spacing w:after="0"/>
              <w:rPr>
                <w:sz w:val="20"/>
                <w:szCs w:val="20"/>
                <w:color w:val="auto"/>
              </w:rPr>
            </w:pPr>
            <w:r>
              <w:rPr>
                <w:rFonts w:ascii="Arial" w:cs="Arial" w:eastAsia="Arial" w:hAnsi="Arial"/>
                <w:sz w:val="18"/>
                <w:szCs w:val="18"/>
                <w:color w:val="auto"/>
              </w:rPr>
              <w:t>1,294,030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8,999,998</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3,299,998</w:t>
            </w:r>
          </w:p>
        </w:tc>
      </w:tr>
      <w:tr>
        <w:trPr>
          <w:trHeight w:val="155"/>
        </w:trPr>
        <w:tc>
          <w:tcPr>
            <w:tcW w:w="616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ind w:left="340" w:hanging="332"/>
        <w:spacing w:after="0" w:line="241"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aMoon Fund whose shares are aggregated for the purposes of reporting ownership information include aMoon 2 Fund, Limited Partnership and aMoon Co-Investment SPV I, L.P.</w:t>
      </w:r>
    </w:p>
    <w:p>
      <w:pPr>
        <w:ind w:left="340" w:right="540" w:hanging="332"/>
        <w:spacing w:after="0" w:line="241"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ind w:left="340" w:right="320" w:hanging="332"/>
        <w:spacing w:after="0" w:line="255" w:lineRule="auto"/>
        <w:tabs>
          <w:tab w:leader="none" w:pos="332"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T. Rowe Price include T. Rowe Price Health Sciences Portfolio, TD Mutual Funds - TD Health Sciences Fund, VALIC Company I - Health Sciences Fund and T. Rowe Price Health Sciences Fund, Inc.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C Convertible Preferred Stock Transaction</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March and April 2019, we issued and sold an aggregate of 3,271,023 shares of our Series C convertible preferred stock at a purchase price of $5.35 per share for an aggregate purchase price of approximately $17.5 million. Purchasers of our Series C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C Convertible</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80" w:space="38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242,990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w:t>
            </w:r>
          </w:p>
        </w:tc>
      </w:tr>
      <w:tr>
        <w:trPr>
          <w:trHeight w:val="230"/>
        </w:trPr>
        <w:tc>
          <w:tcPr>
            <w:tcW w:w="6540" w:type="dxa"/>
            <w:vAlign w:val="bottom"/>
          </w:tcPr>
          <w:p>
            <w:pPr>
              <w:ind w:left="20"/>
              <w:spacing w:after="0" w:line="230" w:lineRule="exact"/>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040" w:type="dxa"/>
            <w:vAlign w:val="bottom"/>
          </w:tcPr>
          <w:p>
            <w:pPr>
              <w:jc w:val="right"/>
              <w:spacing w:after="0"/>
              <w:rPr>
                <w:sz w:val="20"/>
                <w:szCs w:val="20"/>
                <w:color w:val="auto"/>
              </w:rPr>
            </w:pPr>
            <w:r>
              <w:rPr>
                <w:rFonts w:ascii="Arial" w:cs="Arial" w:eastAsia="Arial" w:hAnsi="Arial"/>
                <w:sz w:val="18"/>
                <w:szCs w:val="18"/>
                <w:color w:val="auto"/>
              </w:rPr>
              <w:t>411,214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2,200,000</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155"/>
        </w:trPr>
        <w:tc>
          <w:tcPr>
            <w:tcW w:w="654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 Transaction</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2018, we issued and sold an aggregate of 7,906,757 shares of Series B convertible preferred stock at a purchase price of $3.80 per share for an aggregate purchase price of approximately $30.0 million. Purchasers of our Series B convertible preferred stock included venture capital funds that beneficially owned more than 5% of our outstanding share capital and/or are represented on our board of directors. The following table presents the number of shares and the total purchase price paid by these persons.</w:t>
      </w:r>
    </w:p>
    <w:p>
      <w:pPr>
        <w:sectPr>
          <w:pgSz w:w="11900" w:h="16838" w:orient="portrait"/>
          <w:cols w:equalWidth="0" w:num="1">
            <w:col w:w="11240"/>
          </w:cols>
          <w:pgMar w:left="320" w:top="121" w:right="339" w:bottom="1440" w:gutter="0" w:footer="0" w:header="0"/>
          <w:type w:val="continuous"/>
        </w:sect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Series B Convertible</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Shares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Purchase Price</w:t>
      </w:r>
    </w:p>
    <w:p>
      <w:pPr>
        <w:spacing w:after="0" w:line="54" w:lineRule="exact"/>
        <w:rPr>
          <w:sz w:val="20"/>
          <w:szCs w:val="20"/>
          <w:color w:val="auto"/>
        </w:rPr>
      </w:pPr>
    </w:p>
    <w:p>
      <w:pPr>
        <w:sectPr>
          <w:pgSz w:w="11900" w:h="16838" w:orient="portrait"/>
          <w:cols w:equalWidth="0" w:num="3">
            <w:col w:w="7440" w:space="720"/>
            <w:col w:w="1260" w:space="40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8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Emerson Collective Investments, LLC</w:t>
            </w:r>
          </w:p>
        </w:tc>
        <w:tc>
          <w:tcPr>
            <w:tcW w:w="3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1,541,932</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5,850,430</w:t>
            </w:r>
          </w:p>
        </w:tc>
      </w:tr>
      <w:tr>
        <w:trPr>
          <w:trHeight w:val="270"/>
        </w:trPr>
        <w:tc>
          <w:tcPr>
            <w:tcW w:w="6480" w:type="dxa"/>
            <w:vAlign w:val="bottom"/>
          </w:tcPr>
          <w:p>
            <w:pPr>
              <w:ind w:left="20"/>
              <w:spacing w:after="0"/>
              <w:rPr>
                <w:sz w:val="20"/>
                <w:szCs w:val="20"/>
                <w:color w:val="auto"/>
              </w:rPr>
            </w:pPr>
            <w:r>
              <w:rPr>
                <w:rFonts w:ascii="Arial" w:cs="Arial" w:eastAsia="Arial" w:hAnsi="Arial"/>
                <w:sz w:val="18"/>
                <w:szCs w:val="18"/>
                <w:color w:val="auto"/>
              </w:rPr>
              <w:t>Entities affiliated with Maverick Capital Ventures, LLC</w:t>
            </w:r>
            <w:r>
              <w:rPr>
                <w:rFonts w:ascii="Arial" w:cs="Arial" w:eastAsia="Arial" w:hAnsi="Arial"/>
                <w:sz w:val="23"/>
                <w:szCs w:val="23"/>
                <w:color w:val="auto"/>
                <w:vertAlign w:val="superscript"/>
              </w:rPr>
              <w:t>(1)</w:t>
            </w:r>
          </w:p>
        </w:tc>
        <w:tc>
          <w:tcPr>
            <w:tcW w:w="3100" w:type="dxa"/>
            <w:vAlign w:val="bottom"/>
          </w:tcPr>
          <w:p>
            <w:pPr>
              <w:jc w:val="right"/>
              <w:spacing w:after="0"/>
              <w:rPr>
                <w:sz w:val="20"/>
                <w:szCs w:val="20"/>
                <w:color w:val="auto"/>
              </w:rPr>
            </w:pPr>
            <w:r>
              <w:rPr>
                <w:rFonts w:ascii="Arial" w:cs="Arial" w:eastAsia="Arial" w:hAnsi="Arial"/>
                <w:sz w:val="18"/>
                <w:szCs w:val="18"/>
                <w:color w:val="auto"/>
              </w:rPr>
              <w:t>1,976,690</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7,499,999</w:t>
            </w:r>
          </w:p>
        </w:tc>
      </w:tr>
      <w:tr>
        <w:trPr>
          <w:trHeight w:val="27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Invus Public Equities, L.P.</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3,953,381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14,999,998</w:t>
            </w:r>
          </w:p>
        </w:tc>
      </w:tr>
      <w:tr>
        <w:trPr>
          <w:trHeight w:val="155"/>
        </w:trPr>
        <w:tc>
          <w:tcPr>
            <w:tcW w:w="6480" w:type="dxa"/>
            <w:vAlign w:val="bottom"/>
          </w:tcPr>
          <w:p>
            <w:pPr>
              <w:spacing w:after="0" w:line="155" w:lineRule="exact"/>
              <w:rPr>
                <w:sz w:val="20"/>
                <w:szCs w:val="20"/>
                <w:color w:val="auto"/>
              </w:rPr>
            </w:pPr>
            <w:r>
              <w:rPr>
                <w:rFonts w:ascii="Arial" w:cs="Arial" w:eastAsia="Arial" w:hAnsi="Arial"/>
                <w:sz w:val="14"/>
                <w:szCs w:val="14"/>
                <w:color w:val="auto"/>
              </w:rPr>
              <w:t>_________________</w:t>
            </w:r>
          </w:p>
        </w:tc>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ind w:left="340" w:right="540" w:hanging="332"/>
        <w:spacing w:after="0" w:line="255" w:lineRule="auto"/>
        <w:tabs>
          <w:tab w:leader="none" w:pos="3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Entities affiliated with Maverick Capital Ventures, LLC, whose shares are aggregated for the purpose of reporting ownership information include Maverick Advisors Fund, L.P. and Maverick Ventures Investment Fund, LP. David Singer, a member of our board of directors, is affiliated with Maverick Capital Ventures,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21" w:right="339" w:bottom="1440" w:gutter="0" w:footer="0" w:header="0"/>
          <w:type w:val="continuous"/>
        </w:sectPr>
      </w:pPr>
    </w:p>
    <w:bookmarkStart w:id="157" w:name="page158"/>
    <w:bookmarkEnd w:id="15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party to an amended and restated investors’ rights agreement, dated as of December 8, 2020 (IRA), which provides, among other things, that certain holders of our capital stock have the right to demand that we file a registration statement or request that their shares of our capital stock be covered by a registration statement that we are otherwise filing. Emerson Collective Investments, LLC, entities affiliated with aMoon Fund, entities affiliated with Fidelity, entities affiliated with Maverick Capital Ventures, LLC, entities affiliated with T. Rowe Price, Invus Public Equities, L.P., entities affiliated with Omid Farokhzad, M.D., Robert Langer and entities affiliated with Terrance McGuire are among the parties to the IRA and they will remain parties to the amended and restated IRA.</w:t>
      </w:r>
    </w:p>
    <w:p>
      <w:pPr>
        <w:spacing w:after="0" w:line="138" w:lineRule="exact"/>
        <w:rPr>
          <w:sz w:val="20"/>
          <w:szCs w:val="20"/>
          <w:color w:val="auto"/>
        </w:rPr>
      </w:pPr>
    </w:p>
    <w:p>
      <w:pPr>
        <w:ind w:right="1140" w:firstLine="324"/>
        <w:spacing w:after="0" w:line="438" w:lineRule="auto"/>
        <w:rPr>
          <w:sz w:val="20"/>
          <w:szCs w:val="20"/>
          <w:color w:val="auto"/>
        </w:rPr>
      </w:pPr>
      <w:r>
        <w:rPr>
          <w:rFonts w:ascii="Arial" w:cs="Arial" w:eastAsia="Arial" w:hAnsi="Arial"/>
          <w:sz w:val="18"/>
          <w:szCs w:val="18"/>
          <w:color w:val="auto"/>
        </w:rPr>
        <w:t xml:space="preserve">See the section titled “Description of Capital Stock—Registration Rights” for additional information regarding these registration rights. </w:t>
      </w:r>
      <w:r>
        <w:rPr>
          <w:rFonts w:ascii="Arial" w:cs="Arial" w:eastAsia="Arial" w:hAnsi="Arial"/>
          <w:sz w:val="18"/>
          <w:szCs w:val="18"/>
          <w:b w:val="1"/>
          <w:bCs w:val="1"/>
          <w:color w:val="auto"/>
        </w:rPr>
        <w:t>Other Transactions</w:t>
      </w:r>
    </w:p>
    <w:p>
      <w:pPr>
        <w:spacing w:after="0" w:line="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have granted stock options, RSAs and RSUs to our executive officers and certain of our directors. See the sections titled “Executive Compensation —Outstanding Equity Awards at Fiscal Year-End” and “Management—Director Compensation” for a description of these stock incentive awards.</w:t>
      </w:r>
    </w:p>
    <w:p>
      <w:pPr>
        <w:spacing w:after="0" w:line="70" w:lineRule="exact"/>
        <w:rPr>
          <w:sz w:val="20"/>
          <w:szCs w:val="20"/>
          <w:color w:val="auto"/>
        </w:rPr>
      </w:pPr>
    </w:p>
    <w:p>
      <w:pPr>
        <w:jc w:val="both"/>
        <w:ind w:right="320" w:firstLine="324"/>
        <w:spacing w:after="0" w:line="301"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 the following:</w:t>
      </w:r>
    </w:p>
    <w:p>
      <w:pPr>
        <w:spacing w:after="0" w:line="130"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3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 suit or proceeding by reason of the fact that they are or were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they are or were one of our employees or agents or is or was serving at our request as an employee or agent of another corporation, partnership, joint venture, trust or other enterprise. Our amended and restated bylaws also provide that we must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320" w:top="121" w:right="359" w:bottom="1440" w:gutter="0" w:footer="0" w:header="0"/>
        </w:sectPr>
      </w:pPr>
    </w:p>
    <w:bookmarkStart w:id="158" w:name="page159"/>
    <w:bookmarkEnd w:id="15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expenses incurred by or on behalf of a director or officer in advance of the final disposition of any action or proceeding, subject to limited exceptions.</w:t>
      </w:r>
    </w:p>
    <w:p>
      <w:pPr>
        <w:spacing w:after="0" w:line="183"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0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2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33"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and directors for certain liabilities arising under the Securities Act or otherwise.</w:t>
      </w:r>
    </w:p>
    <w:p>
      <w:pPr>
        <w:spacing w:after="0" w:line="116"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21" w:right="339" w:bottom="1440" w:gutter="0" w:footer="0" w:header="0"/>
        </w:sectPr>
      </w:pPr>
    </w:p>
    <w:bookmarkStart w:id="159" w:name="page160"/>
    <w:bookmarkEnd w:id="15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AND SELLING STOCKHOLDERS</w:t>
      </w:r>
    </w:p>
    <w:p>
      <w:pPr>
        <w:spacing w:after="0" w:line="17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capital stock as of December 31, 2020, and as adjusted to reflect the sale of our Class A common stock in this offering, for:</w:t>
      </w:r>
    </w:p>
    <w:p>
      <w:pPr>
        <w:spacing w:after="0" w:line="116"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the outstanding shares of each of our Class A common stock and Class B common stock;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selling stockholders.</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0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have based our calculation of the percentage of beneficial ownership prior to this offering on 53,395,319 shares of our Class A common stock and 5,865,732 shares of our Class B common stock outstanding as of December 31, 2020. We have based our calculation of the percentage of beneficial ownership after this offering on 1,400,000 shares of our Class A common stock issued by us in this offering and the sale of 2,100,000 shares by the selling</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stockholders, including the conversion of shares of our Class B common stock to an equal amount of Class A common stock by the selling stockholders in connection with this offering. We have deemed shares of our Class A common stock subject to stock options that are currently exercisable or exercisable within 60 days of December 31, 2020, or issuable pursuant to RSAs which are subject to vesting and settlement conditions expected to occur within 60 days of December 31, 2020 to be outstanding and to be beneficially owned by the person holding the stock option or RSA for the purpose of computing the percentage ownership of that person. We did not deem these shares outstanding, however, for the purpose of computing the percentage ownership of any other person.</w:t>
      </w:r>
    </w:p>
    <w:p>
      <w:pPr>
        <w:spacing w:after="0" w:line="140"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selling stockholders have granted the underwriters an option exercisable for 30 days after the date of this prospectus, to purchase, from time to time, in whole or in part, up to an aggregate of 525,000 shares from the selling stockholders at the public offering price less underwriting discounts and commissions.</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320" w:top="121" w:right="379" w:bottom="1440" w:gutter="0" w:footer="0" w:header="0"/>
        </w:sectPr>
      </w:pPr>
    </w:p>
    <w:bookmarkStart w:id="160" w:name="page161"/>
    <w:bookmarkEnd w:id="16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9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Class A</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Shares Owned</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Shares Owned</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 of Voting</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 of Voting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Shares Being</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Shares Being</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After this</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After this</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Power After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Power After</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vMerge w:val="restart"/>
          </w:tcPr>
          <w:p>
            <w:pPr>
              <w:ind w:left="580"/>
              <w:spacing w:after="0"/>
              <w:rPr>
                <w:sz w:val="20"/>
                <w:szCs w:val="20"/>
                <w:color w:val="auto"/>
              </w:rPr>
            </w:pPr>
            <w:r>
              <w:rPr>
                <w:rFonts w:ascii="Arial" w:cs="Arial" w:eastAsia="Arial" w:hAnsi="Arial"/>
                <w:sz w:val="13"/>
                <w:szCs w:val="13"/>
                <w:b w:val="1"/>
                <w:bCs w:val="1"/>
                <w:color w:val="auto"/>
                <w:w w:val="99"/>
              </w:rPr>
              <w:t>Shares Beneficially Owned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Offered</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Offered</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Offering</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Offering</w:t>
            </w: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this Offering</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this Offering</w:t>
            </w:r>
          </w:p>
        </w:tc>
        <w:tc>
          <w:tcPr>
            <w:tcW w:w="0" w:type="dxa"/>
            <w:vAlign w:val="bottom"/>
          </w:tcPr>
          <w:p>
            <w:pPr>
              <w:spacing w:after="0"/>
              <w:rPr>
                <w:sz w:val="1"/>
                <w:szCs w:val="1"/>
                <w:color w:val="auto"/>
              </w:rPr>
            </w:pPr>
          </w:p>
        </w:tc>
      </w:tr>
      <w:tr>
        <w:trPr>
          <w:trHeight w:val="107"/>
        </w:trPr>
        <w:tc>
          <w:tcPr>
            <w:tcW w:w="2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0"/>
              </w:rPr>
              <w:t>Assuming No</w:t>
            </w:r>
          </w:p>
        </w:tc>
        <w:tc>
          <w:tcPr>
            <w:tcW w:w="94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2"/>
              </w:rPr>
              <w:t>Assuming</w:t>
            </w:r>
          </w:p>
        </w:tc>
        <w:tc>
          <w:tcPr>
            <w:tcW w:w="96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0"/>
              </w:rPr>
              <w:t>Assuming No</w:t>
            </w:r>
          </w:p>
        </w:tc>
        <w:tc>
          <w:tcPr>
            <w:tcW w:w="96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3"/>
              </w:rPr>
              <w:t>Assuming Full</w:t>
            </w:r>
          </w:p>
        </w:tc>
        <w:tc>
          <w:tcPr>
            <w:tcW w:w="1040" w:type="dxa"/>
            <w:vAlign w:val="bottom"/>
            <w:gridSpan w:val="2"/>
            <w:vMerge w:val="restart"/>
          </w:tcPr>
          <w:p>
            <w:pPr>
              <w:jc w:val="center"/>
              <w:ind w:right="80"/>
              <w:spacing w:after="0" w:line="114" w:lineRule="exact"/>
              <w:rPr>
                <w:sz w:val="20"/>
                <w:szCs w:val="20"/>
                <w:color w:val="auto"/>
              </w:rPr>
            </w:pPr>
            <w:r>
              <w:rPr>
                <w:rFonts w:ascii="Arial" w:cs="Arial" w:eastAsia="Arial" w:hAnsi="Arial"/>
                <w:sz w:val="13"/>
                <w:szCs w:val="13"/>
                <w:b w:val="1"/>
                <w:bCs w:val="1"/>
                <w:color w:val="auto"/>
                <w:w w:val="90"/>
              </w:rPr>
              <w:t>Assuming No</w:t>
            </w:r>
          </w:p>
        </w:tc>
        <w:tc>
          <w:tcPr>
            <w:tcW w:w="980" w:type="dxa"/>
            <w:vAlign w:val="bottom"/>
            <w:vMerge w:val="restart"/>
          </w:tcPr>
          <w:p>
            <w:pPr>
              <w:jc w:val="center"/>
              <w:spacing w:after="0" w:line="114" w:lineRule="exact"/>
              <w:rPr>
                <w:sz w:val="20"/>
                <w:szCs w:val="20"/>
                <w:color w:val="auto"/>
              </w:rPr>
            </w:pPr>
            <w:r>
              <w:rPr>
                <w:rFonts w:ascii="Arial" w:cs="Arial" w:eastAsia="Arial" w:hAnsi="Arial"/>
                <w:sz w:val="13"/>
                <w:szCs w:val="13"/>
                <w:b w:val="1"/>
                <w:bCs w:val="1"/>
                <w:color w:val="auto"/>
                <w:w w:val="93"/>
              </w:rPr>
              <w:t>Assuming Full</w:t>
            </w:r>
          </w:p>
        </w:tc>
        <w:tc>
          <w:tcPr>
            <w:tcW w:w="0" w:type="dxa"/>
            <w:vAlign w:val="bottom"/>
          </w:tcPr>
          <w:p>
            <w:pPr>
              <w:spacing w:after="0"/>
              <w:rPr>
                <w:sz w:val="1"/>
                <w:szCs w:val="1"/>
                <w:color w:val="auto"/>
              </w:rPr>
            </w:pPr>
          </w:p>
        </w:tc>
      </w:tr>
      <w:tr>
        <w:trPr>
          <w:trHeight w:val="28"/>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Class A</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Class 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Full Exercise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Exercise of</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 of</w:t>
            </w:r>
          </w:p>
        </w:tc>
        <w:tc>
          <w:tcPr>
            <w:tcW w:w="0" w:type="dxa"/>
            <w:vAlign w:val="bottom"/>
          </w:tcPr>
          <w:p>
            <w:pPr>
              <w:spacing w:after="0"/>
              <w:rPr>
                <w:sz w:val="1"/>
                <w:szCs w:val="1"/>
                <w:color w:val="auto"/>
              </w:rPr>
            </w:pPr>
          </w:p>
        </w:tc>
      </w:tr>
      <w:tr>
        <w:trPr>
          <w:trHeight w:val="174"/>
        </w:trPr>
        <w:tc>
          <w:tcPr>
            <w:tcW w:w="266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Shares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of Option</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10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Option</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28"/>
        </w:trPr>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Named Executive Officers and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Directors:</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Omid Farokhzad, M.D.</w:t>
            </w:r>
            <w:r>
              <w:rPr>
                <w:rFonts w:ascii="Arial" w:cs="Arial" w:eastAsia="Arial" w:hAnsi="Arial"/>
                <w:sz w:val="21"/>
                <w:szCs w:val="21"/>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6"/>
                <w:szCs w:val="16"/>
                <w:color w:val="auto"/>
              </w:rPr>
              <w:t>2,350,628</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4,718,546</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1,089,279</w:t>
            </w:r>
          </w:p>
        </w:tc>
        <w:tc>
          <w:tcPr>
            <w:tcW w:w="8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1,444,020</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1,261,349</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906,608</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28.9 %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R. Horn</w:t>
            </w:r>
            <w:r>
              <w:rPr>
                <w:rFonts w:ascii="Arial" w:cs="Arial" w:eastAsia="Arial" w:hAnsi="Arial"/>
                <w:sz w:val="21"/>
                <w:szCs w:val="21"/>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880,159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880,159</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880,159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Omead Ostadan</w:t>
            </w:r>
            <w:r>
              <w:rPr>
                <w:rFonts w:ascii="Arial" w:cs="Arial" w:eastAsia="Arial" w:hAnsi="Arial"/>
                <w:sz w:val="21"/>
                <w:szCs w:val="21"/>
                <w:color w:val="auto"/>
                <w:vertAlign w:val="superscript"/>
              </w:rPr>
              <w:t>(3)</w:t>
            </w:r>
          </w:p>
        </w:tc>
        <w:tc>
          <w:tcPr>
            <w:tcW w:w="800" w:type="dxa"/>
            <w:vAlign w:val="bottom"/>
          </w:tcPr>
          <w:p>
            <w:pPr>
              <w:jc w:val="right"/>
              <w:spacing w:after="0"/>
              <w:rPr>
                <w:sz w:val="20"/>
                <w:szCs w:val="20"/>
                <w:color w:val="auto"/>
              </w:rPr>
            </w:pPr>
            <w:r>
              <w:rPr>
                <w:rFonts w:ascii="Arial" w:cs="Arial" w:eastAsia="Arial" w:hAnsi="Arial"/>
                <w:sz w:val="16"/>
                <w:szCs w:val="16"/>
                <w:color w:val="auto"/>
              </w:rPr>
              <w:t>1,596,527</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4,088</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1,596,527</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1,596,527</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Hallal</w:t>
            </w:r>
            <w:r>
              <w:rPr>
                <w:rFonts w:ascii="Arial" w:cs="Arial" w:eastAsia="Arial" w:hAnsi="Arial"/>
                <w:sz w:val="21"/>
                <w:szCs w:val="21"/>
                <w:color w:val="auto"/>
                <w:vertAlign w:val="superscript"/>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456,661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456,661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456,661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Catherine J. Friedman</w:t>
            </w:r>
            <w:r>
              <w:rPr>
                <w:rFonts w:ascii="Arial" w:cs="Arial" w:eastAsia="Arial" w:hAnsi="Arial"/>
                <w:sz w:val="21"/>
                <w:szCs w:val="21"/>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6"/>
                <w:szCs w:val="16"/>
                <w:color w:val="auto"/>
              </w:rPr>
              <w:t>141,224</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141,224</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141,224</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Robert Langer, Sc.D.</w:t>
            </w:r>
            <w:r>
              <w:rPr>
                <w:rFonts w:ascii="Arial" w:cs="Arial" w:eastAsia="Arial" w:hAnsi="Arial"/>
                <w:sz w:val="21"/>
                <w:szCs w:val="21"/>
                <w:color w:val="auto"/>
                <w:vertAlign w:val="superscript"/>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693,891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327,102</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693,891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693,891</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Terrance McGuire</w:t>
            </w:r>
            <w:r>
              <w:rPr>
                <w:rFonts w:ascii="Arial" w:cs="Arial" w:eastAsia="Arial" w:hAnsi="Arial"/>
                <w:sz w:val="21"/>
                <w:szCs w:val="21"/>
                <w:color w:val="auto"/>
                <w:vertAlign w:val="superscript"/>
              </w:rPr>
              <w:t>(7)</w:t>
            </w:r>
          </w:p>
        </w:tc>
        <w:tc>
          <w:tcPr>
            <w:tcW w:w="800" w:type="dxa"/>
            <w:vAlign w:val="bottom"/>
          </w:tcPr>
          <w:p>
            <w:pPr>
              <w:jc w:val="right"/>
              <w:spacing w:after="0"/>
              <w:rPr>
                <w:sz w:val="20"/>
                <w:szCs w:val="20"/>
                <w:color w:val="auto"/>
              </w:rPr>
            </w:pPr>
            <w:r>
              <w:rPr>
                <w:rFonts w:ascii="Arial" w:cs="Arial" w:eastAsia="Arial" w:hAnsi="Arial"/>
                <w:sz w:val="16"/>
                <w:szCs w:val="16"/>
                <w:color w:val="auto"/>
              </w:rPr>
              <w:t>476,369</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4,088</w:t>
            </w:r>
          </w:p>
        </w:tc>
        <w:tc>
          <w:tcPr>
            <w:tcW w:w="8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476,369</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476,369</w:t>
            </w:r>
          </w:p>
        </w:tc>
        <w:tc>
          <w:tcPr>
            <w:tcW w:w="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Singer</w:t>
            </w:r>
            <w:r>
              <w:rPr>
                <w:rFonts w:ascii="Arial" w:cs="Arial" w:eastAsia="Arial" w:hAnsi="Arial"/>
                <w:sz w:val="21"/>
                <w:szCs w:val="21"/>
                <w:color w:val="auto"/>
                <w:vertAlign w:val="superscript"/>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5,329,665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163,550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5,329,665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5,329,665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w w:val="99"/>
              </w:rPr>
              <w:t>All executive officers and directors as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a group (9 persons)</w:t>
            </w:r>
            <w:r>
              <w:rPr>
                <w:rFonts w:ascii="Arial" w:cs="Arial" w:eastAsia="Arial" w:hAnsi="Arial"/>
                <w:sz w:val="21"/>
                <w:szCs w:val="21"/>
                <w:color w:val="auto"/>
                <w:vertAlign w:val="superscript"/>
              </w:rPr>
              <w:t>(9)</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11,925,124</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5,217,374</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88.9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1,089,279</w:t>
            </w: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w w:val="97"/>
              </w:rPr>
              <w:t>10,835,845</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w w:val="97"/>
              </w:rPr>
              <w:t>10,481,104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45.4 %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40.7 %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5% Stockholders: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w w:val="97"/>
              </w:rPr>
              <w:t>Entities affiliated with aMoon Fund</w:t>
            </w:r>
            <w:r>
              <w:rPr>
                <w:rFonts w:ascii="Arial" w:cs="Arial" w:eastAsia="Arial" w:hAnsi="Arial"/>
                <w:sz w:val="21"/>
                <w:szCs w:val="21"/>
                <w:color w:val="auto"/>
                <w:w w:val="97"/>
                <w:vertAlign w:val="superscript"/>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5,923,196</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5,923,196</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5,923,196</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Invus Public Equities, LP </w:t>
            </w:r>
            <w:r>
              <w:rPr>
                <w:rFonts w:ascii="Arial" w:cs="Arial" w:eastAsia="Arial" w:hAnsi="Arial"/>
                <w:sz w:val="21"/>
                <w:szCs w:val="21"/>
                <w:color w:val="auto"/>
                <w:vertAlign w:val="superscript"/>
              </w:rPr>
              <w:t>(11)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5,840,911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252,545</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252,545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5,588,366</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5,588,366</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Maverick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Capital Ventures, LLC</w:t>
            </w:r>
            <w:r>
              <w:rPr>
                <w:rFonts w:ascii="Arial" w:cs="Arial" w:eastAsia="Arial" w:hAnsi="Arial"/>
                <w:sz w:val="21"/>
                <w:szCs w:val="21"/>
                <w:color w:val="auto"/>
                <w:vertAlign w:val="superscript"/>
              </w:rPr>
              <w:t>(12)</w:t>
            </w:r>
          </w:p>
        </w:tc>
        <w:tc>
          <w:tcPr>
            <w:tcW w:w="800" w:type="dxa"/>
            <w:vAlign w:val="bottom"/>
          </w:tcPr>
          <w:p>
            <w:pPr>
              <w:jc w:val="right"/>
              <w:spacing w:after="0"/>
              <w:rPr>
                <w:sz w:val="20"/>
                <w:szCs w:val="20"/>
                <w:color w:val="auto"/>
              </w:rPr>
            </w:pPr>
            <w:r>
              <w:rPr>
                <w:rFonts w:ascii="Arial" w:cs="Arial" w:eastAsia="Arial" w:hAnsi="Arial"/>
                <w:sz w:val="16"/>
                <w:szCs w:val="16"/>
                <w:color w:val="auto"/>
              </w:rPr>
              <w:t>5,325,513</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163,550</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5,325,513</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5,325,513</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Entities affiliated with Fidelity</w:t>
            </w:r>
            <w:r>
              <w:rPr>
                <w:rFonts w:ascii="Arial" w:cs="Arial" w:eastAsia="Arial" w:hAnsi="Arial"/>
                <w:sz w:val="21"/>
                <w:szCs w:val="21"/>
                <w:color w:val="auto"/>
                <w:vertAlign w:val="superscript"/>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5,220,525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5,220,525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5,220,525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T. Rowe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180"/>
              <w:spacing w:after="0" w:line="226" w:lineRule="exact"/>
              <w:rPr>
                <w:sz w:val="20"/>
                <w:szCs w:val="20"/>
                <w:color w:val="auto"/>
              </w:rPr>
            </w:pPr>
            <w:r>
              <w:rPr>
                <w:rFonts w:ascii="Arial" w:cs="Arial" w:eastAsia="Arial" w:hAnsi="Arial"/>
                <w:sz w:val="16"/>
                <w:szCs w:val="16"/>
                <w:color w:val="auto"/>
              </w:rPr>
              <w:t>Price</w:t>
            </w:r>
            <w:r>
              <w:rPr>
                <w:rFonts w:ascii="Arial" w:cs="Arial" w:eastAsia="Arial" w:hAnsi="Arial"/>
                <w:sz w:val="21"/>
                <w:szCs w:val="21"/>
                <w:color w:val="auto"/>
                <w:vertAlign w:val="superscript"/>
              </w:rPr>
              <w:t>(14)</w:t>
            </w:r>
          </w:p>
        </w:tc>
        <w:tc>
          <w:tcPr>
            <w:tcW w:w="800" w:type="dxa"/>
            <w:vAlign w:val="bottom"/>
          </w:tcPr>
          <w:p>
            <w:pPr>
              <w:jc w:val="right"/>
              <w:spacing w:after="0"/>
              <w:rPr>
                <w:sz w:val="20"/>
                <w:szCs w:val="20"/>
                <w:color w:val="auto"/>
              </w:rPr>
            </w:pPr>
            <w:r>
              <w:rPr>
                <w:rFonts w:ascii="Arial" w:cs="Arial" w:eastAsia="Arial" w:hAnsi="Arial"/>
                <w:sz w:val="16"/>
                <w:szCs w:val="16"/>
                <w:color w:val="auto"/>
              </w:rPr>
              <w:t>4,520,787</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4,520,787</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4,520,787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Selling Stockholders:</w:t>
            </w: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Emerson Collective Investments,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tcPr>
          <w:p>
            <w:pPr>
              <w:ind w:left="20"/>
              <w:spacing w:after="0" w:line="226" w:lineRule="exact"/>
              <w:rPr>
                <w:sz w:val="20"/>
                <w:szCs w:val="20"/>
                <w:color w:val="auto"/>
              </w:rPr>
            </w:pPr>
            <w:r>
              <w:rPr>
                <w:rFonts w:ascii="Arial" w:cs="Arial" w:eastAsia="Arial" w:hAnsi="Arial"/>
                <w:sz w:val="26"/>
                <w:szCs w:val="26"/>
                <w:color w:val="auto"/>
                <w:vertAlign w:val="subscript"/>
              </w:rPr>
              <w:t>LLC</w:t>
            </w:r>
            <w:r>
              <w:rPr>
                <w:rFonts w:ascii="Arial" w:cs="Arial" w:eastAsia="Arial" w:hAnsi="Arial"/>
                <w:sz w:val="9"/>
                <w:szCs w:val="9"/>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2,589,160</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124,458</w:t>
            </w:r>
          </w:p>
        </w:tc>
        <w:tc>
          <w:tcPr>
            <w:tcW w:w="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124,458</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2,464,702</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2,464,702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0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Entities affiliated with David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6"/>
                <w:szCs w:val="16"/>
                <w:color w:val="auto"/>
              </w:rPr>
              <w:t>Epstein</w:t>
            </w:r>
            <w:r>
              <w:rPr>
                <w:rFonts w:ascii="Arial" w:cs="Arial" w:eastAsia="Arial" w:hAnsi="Arial"/>
                <w:sz w:val="21"/>
                <w:szCs w:val="21"/>
                <w:color w:val="auto"/>
                <w:vertAlign w:val="superscript"/>
              </w:rPr>
              <w:t>(16)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207,711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30,397</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39,971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177,314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167,740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Entities affiliated with Philip Ma</w:t>
            </w:r>
            <w:r>
              <w:rPr>
                <w:rFonts w:ascii="Arial" w:cs="Arial" w:eastAsia="Arial" w:hAnsi="Arial"/>
                <w:sz w:val="21"/>
                <w:szCs w:val="21"/>
                <w:color w:val="auto"/>
                <w:vertAlign w:val="superscript"/>
              </w:rPr>
              <w:t>(17)</w:t>
            </w:r>
          </w:p>
        </w:tc>
        <w:tc>
          <w:tcPr>
            <w:tcW w:w="800" w:type="dxa"/>
            <w:vAlign w:val="bottom"/>
          </w:tcPr>
          <w:p>
            <w:pPr>
              <w:jc w:val="right"/>
              <w:spacing w:after="0"/>
              <w:rPr>
                <w:sz w:val="20"/>
                <w:szCs w:val="20"/>
                <w:color w:val="auto"/>
              </w:rPr>
            </w:pPr>
            <w:r>
              <w:rPr>
                <w:rFonts w:ascii="Arial" w:cs="Arial" w:eastAsia="Arial" w:hAnsi="Arial"/>
                <w:sz w:val="16"/>
                <w:szCs w:val="16"/>
                <w:color w:val="auto"/>
              </w:rPr>
              <w:t>881,091</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467,288</w:t>
            </w: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67,418</w:t>
            </w:r>
          </w:p>
        </w:tc>
        <w:tc>
          <w:tcPr>
            <w:tcW w:w="8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67,418</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813,673</w:t>
            </w:r>
          </w:p>
        </w:tc>
        <w:tc>
          <w:tcPr>
            <w:tcW w:w="80" w:type="dxa"/>
            <w:vAlign w:val="bottom"/>
          </w:tcPr>
          <w:p>
            <w:pPr>
              <w:spacing w:after="0"/>
              <w:rPr>
                <w:sz w:val="21"/>
                <w:szCs w:val="21"/>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813,673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4.9 %</w:t>
            </w: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0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Entities affiliated with HBM</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6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6"/>
                <w:szCs w:val="16"/>
                <w:color w:val="auto"/>
              </w:rPr>
              <w:t>Genomics</w:t>
            </w:r>
            <w:r>
              <w:rPr>
                <w:rFonts w:ascii="Arial" w:cs="Arial" w:eastAsia="Arial" w:hAnsi="Arial"/>
                <w:sz w:val="21"/>
                <w:szCs w:val="21"/>
                <w:color w:val="auto"/>
                <w:vertAlign w:val="superscript"/>
              </w:rPr>
              <w:t>(18)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912,327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42,500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42,500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869,827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869,827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660" w:type="dxa"/>
            <w:vAlign w:val="bottom"/>
            <w:gridSpan w:val="2"/>
          </w:tcPr>
          <w:p>
            <w:pPr>
              <w:ind w:left="20"/>
              <w:spacing w:after="0" w:line="224" w:lineRule="exact"/>
              <w:rPr>
                <w:sz w:val="20"/>
                <w:szCs w:val="20"/>
                <w:color w:val="auto"/>
              </w:rPr>
            </w:pPr>
            <w:r>
              <w:rPr>
                <w:rFonts w:ascii="Arial" w:cs="Arial" w:eastAsia="Arial" w:hAnsi="Arial"/>
                <w:sz w:val="16"/>
                <w:szCs w:val="16"/>
                <w:color w:val="auto"/>
              </w:rPr>
              <w:t>OCF 2014 Trust</w:t>
            </w:r>
            <w:r>
              <w:rPr>
                <w:rFonts w:ascii="Arial" w:cs="Arial" w:eastAsia="Arial" w:hAnsi="Arial"/>
                <w:sz w:val="21"/>
                <w:szCs w:val="21"/>
                <w:color w:val="auto"/>
                <w:vertAlign w:val="superscript"/>
              </w:rPr>
              <w:t>(19)</w:t>
            </w:r>
          </w:p>
        </w:tc>
        <w:tc>
          <w:tcPr>
            <w:tcW w:w="800" w:type="dxa"/>
            <w:vAlign w:val="bottom"/>
          </w:tcPr>
          <w:p>
            <w:pPr>
              <w:jc w:val="right"/>
              <w:spacing w:after="0"/>
              <w:rPr>
                <w:sz w:val="20"/>
                <w:szCs w:val="20"/>
                <w:color w:val="auto"/>
              </w:rPr>
            </w:pPr>
            <w:r>
              <w:rPr>
                <w:rFonts w:ascii="Arial" w:cs="Arial" w:eastAsia="Arial" w:hAnsi="Arial"/>
                <w:sz w:val="16"/>
                <w:szCs w:val="16"/>
                <w:color w:val="auto"/>
              </w:rPr>
              <w:t>3,322,145</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493,403</w:t>
            </w:r>
          </w:p>
        </w:tc>
        <w:tc>
          <w:tcPr>
            <w:tcW w:w="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654,088</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2,828,742</w:t>
            </w:r>
          </w:p>
        </w:tc>
        <w:tc>
          <w:tcPr>
            <w:tcW w:w="8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2,668,057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174"/>
        </w:trPr>
        <w:tc>
          <w:tcPr>
            <w:tcW w:w="2580" w:type="dxa"/>
            <w:vAlign w:val="bottom"/>
          </w:tcPr>
          <w:p>
            <w:pPr>
              <w:spacing w:after="0"/>
              <w:rPr>
                <w:sz w:val="20"/>
                <w:szCs w:val="20"/>
                <w:color w:val="auto"/>
              </w:rPr>
            </w:pPr>
            <w:r>
              <w:rPr>
                <w:rFonts w:ascii="Arial" w:cs="Arial" w:eastAsia="Arial" w:hAnsi="Arial"/>
                <w:sz w:val="14"/>
                <w:szCs w:val="14"/>
                <w:color w:val="auto"/>
              </w:rPr>
              <w:t>_________________</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560" w:hanging="332"/>
        <w:spacing w:after="0" w:line="241" w:lineRule="auto"/>
        <w:tabs>
          <w:tab w:leader="none" w:pos="331"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Percentage total voting power represents voting power with respect to all shares of our Class A and Class B common stock, as a single class. Each holder of Class B common stock shall be</w:t>
      </w:r>
    </w:p>
    <w:p>
      <w:pPr>
        <w:spacing w:after="0" w:line="13" w:lineRule="exact"/>
        <w:rPr>
          <w:sz w:val="20"/>
          <w:szCs w:val="20"/>
          <w:color w:val="auto"/>
        </w:rPr>
      </w:pPr>
    </w:p>
    <w:p>
      <w:pPr>
        <w:ind w:left="340" w:right="100"/>
        <w:spacing w:after="0" w:line="241" w:lineRule="auto"/>
        <w:rPr>
          <w:sz w:val="20"/>
          <w:szCs w:val="20"/>
          <w:color w:val="auto"/>
        </w:rPr>
      </w:pPr>
      <w:r>
        <w:rPr>
          <w:rFonts w:ascii="Arial" w:cs="Arial" w:eastAsia="Arial" w:hAnsi="Arial"/>
          <w:sz w:val="14"/>
          <w:szCs w:val="14"/>
          <w:color w:val="auto"/>
        </w:rPr>
        <w:t>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1"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21" w:right="339" w:bottom="1440" w:gutter="0" w:footer="0" w:header="0"/>
        </w:sectPr>
      </w:pPr>
    </w:p>
    <w:bookmarkStart w:id="161" w:name="page162"/>
    <w:bookmarkEnd w:id="16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right="20" w:hanging="332"/>
        <w:spacing w:after="0" w:line="264" w:lineRule="auto"/>
        <w:tabs>
          <w:tab w:leader="none" w:pos="33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(i) 279,223 shares of Class A common stock held of record by Dr. Farokhzad, of which 73,328 may be repurchased by us at the original exercise price; (ii) 102,915 shares of Class A common stock and 1,914,809 shares of Class B common stock held of record by Dynamics Group LLC for which Dr. Farokhzad serves as the sole member; (iii) 2,803,737 shares of Class B shares held of record by SAF-BND Trust for which Dr. Farokhzad’s spouse serves as trustee; and (iv) 1,968,490 shares of Class A common stock subject to options exercisable within 60 days of December 31, 2020, of which 357,670 are fully vested. Dr. Farokhzad disclaims beneficial ownership of the shares held by the SAF-BND Trust.</w:t>
      </w:r>
    </w:p>
    <w:p>
      <w:pPr>
        <w:spacing w:after="0" w:line="2" w:lineRule="exact"/>
        <w:rPr>
          <w:rFonts w:ascii="Arial" w:cs="Arial" w:eastAsia="Arial" w:hAnsi="Arial"/>
          <w:sz w:val="13"/>
          <w:szCs w:val="13"/>
          <w:color w:val="auto"/>
        </w:rPr>
      </w:pPr>
    </w:p>
    <w:p>
      <w:pPr>
        <w:ind w:left="340" w:right="300" w:hanging="332"/>
        <w:spacing w:after="0" w:line="241" w:lineRule="auto"/>
        <w:tabs>
          <w:tab w:leader="none" w:pos="33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84,112 shares of Class A common stock, all of which may be repurchased by us at the original exercise price, held of record by Mr. Horn, and (ii) 796,047 shares of Class A common stock subject to options exercisable within 60 days of December 31, 2020, of which none are fully vested.</w:t>
      </w:r>
    </w:p>
    <w:p>
      <w:pPr>
        <w:ind w:left="340" w:hanging="332"/>
        <w:spacing w:after="0" w:line="241" w:lineRule="auto"/>
        <w:tabs>
          <w:tab w:leader="none" w:pos="33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87,681 shares of Class A common stock and 4,088 shares of Class B common stock held of record by Mr. Ostadan; and (ii) 1,508,846 shares of Class A common stock subject to options exercisable within 60 days of December 31, 2020, of which 68,527 are fully vested.</w:t>
      </w:r>
    </w:p>
    <w:p>
      <w:pPr>
        <w:ind w:left="340" w:right="120" w:hanging="332"/>
        <w:spacing w:after="0" w:line="241" w:lineRule="auto"/>
        <w:tabs>
          <w:tab w:leader="none" w:pos="33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263,562 shares of Class A common stock held of record by Mr. Hallal, of which 82,364 may be repurchased by us at the original exercise price and (ii) 192,061 shares of Class A common stock subject to options exercisable within 60 days of December 31, 2020, of which 32,177 are fully vested.</w:t>
      </w:r>
    </w:p>
    <w:p>
      <w:pPr>
        <w:ind w:left="320" w:hanging="312"/>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140,186 shares of Class A common stock held of record by Ms. Friedman, of which 131,425 shares may be repurchased by us at the original exercise price.</w:t>
      </w:r>
    </w:p>
    <w:p>
      <w:pPr>
        <w:spacing w:after="0" w:line="1" w:lineRule="exact"/>
        <w:rPr>
          <w:rFonts w:ascii="Arial" w:cs="Arial" w:eastAsia="Arial" w:hAnsi="Arial"/>
          <w:sz w:val="14"/>
          <w:szCs w:val="14"/>
          <w:color w:val="auto"/>
        </w:rPr>
      </w:pPr>
    </w:p>
    <w:p>
      <w:pPr>
        <w:ind w:left="340" w:right="120" w:hanging="332"/>
        <w:spacing w:after="0" w:line="260" w:lineRule="auto"/>
        <w:tabs>
          <w:tab w:leader="none" w:pos="33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(i) 365,357 shares of Class A common stock, of which 38,378 may be repurchased by us at the original exercise price and 327,102 shares of Class B common stock held of record by Dr. Langer; and (ii) 327,496 shares of Class A common stock subject to options exercisable within 60 days of December 31, 2020, of which 108,580 are fully vested.</w:t>
      </w:r>
    </w:p>
    <w:p>
      <w:pPr>
        <w:ind w:left="340" w:right="40" w:hanging="332"/>
        <w:spacing w:after="0" w:line="241" w:lineRule="auto"/>
        <w:tabs>
          <w:tab w:leader="none" w:pos="33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210,982 shares of Class A common stock, of which 43,222 may be repurchased by us at the original exercise price and 4,088 shares of Class B common stock held of record by Strong Bridge, LLC for which Mr. McGuire serves as an operating manager and (ii) 264,349 shares of Class A common stock subject to options exercisable within 60 days of December 31, 2020, of which 102,002 are fully vested.</w:t>
      </w:r>
    </w:p>
    <w:p>
      <w:pPr>
        <w:spacing w:after="0" w:line="1" w:lineRule="exact"/>
        <w:rPr>
          <w:rFonts w:ascii="Arial" w:cs="Arial" w:eastAsia="Arial" w:hAnsi="Arial"/>
          <w:sz w:val="14"/>
          <w:szCs w:val="14"/>
          <w:color w:val="auto"/>
        </w:rPr>
      </w:pPr>
    </w:p>
    <w:p>
      <w:pPr>
        <w:ind w:left="340" w:right="400" w:hanging="332"/>
        <w:spacing w:after="0" w:line="260" w:lineRule="auto"/>
        <w:tabs>
          <w:tab w:leader="none" w:pos="33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(i) 5,325,513 shares of Class A common stock and 163,550 shares of Class B common stock disclosed in footnote (12) below that are held of record by entities affiliated with Maverick Capital Ventures, LLC; and 2,076 shares of Class A common stock subject to options exercisable within 60 days of December 31, 2020, of which none are vested.</w:t>
      </w:r>
    </w:p>
    <w:p>
      <w:pPr>
        <w:ind w:left="340" w:right="120" w:hanging="332"/>
        <w:spacing w:after="0" w:line="260" w:lineRule="auto"/>
        <w:tabs>
          <w:tab w:leader="none" w:pos="33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(i) 7,377,939 shares of Class A common stock and 8,837,613 shares of Class B common stock beneficially owned by our executive officers and directors and (ii) 5,057,289 shares of Class A common stock subject to options exercisable within 60 days of December 31, 2020 and held by our executive officers and directors, of which 631,056 are fully vested.</w:t>
      </w:r>
    </w:p>
    <w:p>
      <w:pPr>
        <w:ind w:left="340" w:hanging="332"/>
        <w:spacing w:after="0" w:line="241" w:lineRule="auto"/>
        <w:tabs>
          <w:tab w:leader="none" w:pos="337"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4,121,064 shares of Class A common stock held of record by aMoon 2 Fund, Limited Partnership (aMoon 2 Fund) and (ii) 912,659 shares of Class A common stock held of record by aMoon Co-Investment SPV I, L.P. (aMoon Co-Investment). aMoon 2 Fund G.P. Limited Partnership (aMoon 2 Fund G.P.) is the sole General Partner of aMoon 2 Fund and aMoon Co-Investment and aMoon General Partner Ltd. (aMoon General Partner) is the sole General Partner of aMoon 2 Fund G.P. Dr. Yair Schindel is the sole shareholder of aMoon General Partner. By virtue of such relationships, aMoon 2 Fund G.P., aMoon General Partner and Dr. Schindel may be deemed to have shared voting and investment power with respect to the capital stock held by aMoon 2 Fund and aMoon Co-Investment. Each of aMoon 2 Fund G.P., aMoon General Partner and Dr. Schindel disclaims beneficial ownership of the shares held by aMoon 2 Fund and aMoon General Partner, except to the extent of its or his pecuniary interest therein, if any. The address for these entities is 34 Yerushalaim Road, Beit Gamla, 6th Floor, Ra-anana, 4350110, Israel.</w:t>
      </w:r>
    </w:p>
    <w:p>
      <w:pPr>
        <w:spacing w:after="0" w:line="2" w:lineRule="exact"/>
        <w:rPr>
          <w:rFonts w:ascii="Arial" w:cs="Arial" w:eastAsia="Arial" w:hAnsi="Arial"/>
          <w:sz w:val="14"/>
          <w:szCs w:val="14"/>
          <w:color w:val="auto"/>
        </w:rPr>
      </w:pPr>
    </w:p>
    <w:p>
      <w:pPr>
        <w:ind w:left="340" w:hanging="332"/>
        <w:spacing w:after="0" w:line="260" w:lineRule="auto"/>
        <w:tabs>
          <w:tab w:leader="none" w:pos="331"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5,050,911 shares of Class A common stock held of record by Invus Public Equities, L.P. Invus Public Equities Advisors, LLC, as the general partner of Invus Public Equities, L.P., controls Invus Public Equities, L.P. and, accordingly, may be deemed to beneficially own the shares held by Invus Public Equities, L.P. Artal Treasury Ltd., as the managing member of Invus Public Equities Advisors, LLC, controls Invus Public Equities Advisors, LLC and, accordingly, may be deemed to beneficially own the shares held by Invus Public Equities, L.P. The Geneva branch of Artal International S.C.A. is the sole stockholder of Artal Treasury Ltd. and, accordingly, may be deemed to beneficially own the shares held by Invus Public Equities, L.P. Artal International Management S.A., as the managing partner of Artal International S.C.A., controls Artal International S.C.A. and, accordingly, may be deemed to beneficially own the shares held by Invus Public Equities, L.P. Artal Group, S.A., as the parent company of Artal International Management, S.A., controls Artal International Management S.A. and, accordingly, may be deemed to beneficially own the shares held by Invus Public Equities, L.P. Westend, S.A., as the parent company of Artal Group S.A. controls Artal Group S.A., and, accordingly, may be deemed to beneficially own the shares held by Invus Public Equities, L.P. Stichting Administratiekantoor Westend, as the parent company of Westend S.A., controls Westend S.A. and, accordingly, may be deemed to beneficially own the shares held by Invus Public Equities, L.P. Mr. Pascal Minne, as the sole member of the board of Stichting Administratiekantoor Westend, controls Stichting Administratiekantoor Westend and, accordingly, may be deemed to beneficially own the shares held by Invus Public Equities, L.P. The address for Invus Public Equities, L.P. is 750 Lexington Avenue, 30th Floor, New York, NY 10022.</w:t>
      </w:r>
    </w:p>
    <w:p>
      <w:pPr>
        <w:ind w:left="340" w:right="40" w:hanging="332"/>
        <w:spacing w:after="0" w:line="241" w:lineRule="auto"/>
        <w:tabs>
          <w:tab w:leader="none" w:pos="337"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(i) 3,390,559 shares of Class A common stock and 101,761 shares of Class B common stock held of record by Maverick Ventures Investment Fund, L.P. (Maverick Ventures Fund) and (ii) 1,934,954 shares of Class A common stock and 61,789 shares of Class B common stock held of record by Maverick Advisors Fund, L.P. (Maverick Advisors). Maverick Capital Ventures, LLC (Maverick Ventures) is the general partner of Maverick Ventures Fund and Maverick Advisors. As the Managing Partners of Maverick Ventures, Lee S. Ainslie III and David B. Singer, one of our directors, share voting and dispositive power with respect to the shares held by Maverick Ventures Fund and Maverick Advisors. The address for these entities is c/o Maverick Capital, 1900 N. Pearl Street, 20th Floor, Dallas, Texas 75201.</w:t>
      </w:r>
    </w:p>
    <w:p>
      <w:pPr>
        <w:spacing w:after="0" w:line="1" w:lineRule="exact"/>
        <w:rPr>
          <w:rFonts w:ascii="Arial" w:cs="Arial" w:eastAsia="Arial" w:hAnsi="Arial"/>
          <w:sz w:val="14"/>
          <w:szCs w:val="14"/>
          <w:color w:val="auto"/>
        </w:rPr>
      </w:pPr>
    </w:p>
    <w:p>
      <w:pPr>
        <w:ind w:left="340" w:right="40" w:hanging="332"/>
        <w:spacing w:after="0" w:line="243" w:lineRule="auto"/>
        <w:tabs>
          <w:tab w:leader="none" w:pos="337"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Includes 3,115,262 shares of Class A common stock held of record by four accounts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stockholders have entered into a stockholders’ voting agreement under which all Series B voting common shares will be voted in accordance with the majority vote of Series B voting common shares. Accordingly, through their ownership of voting common shares and the execution of the stockholders’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21" w:right="339" w:bottom="1440" w:gutter="0" w:footer="0" w:header="0"/>
        </w:sectPr>
      </w:pPr>
    </w:p>
    <w:bookmarkStart w:id="162" w:name="page163"/>
    <w:bookmarkEnd w:id="162"/>
    <w:p>
      <w:pPr>
        <w:ind w:left="332"/>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32"/>
        <w:spacing w:after="0" w:line="247" w:lineRule="auto"/>
        <w:rPr>
          <w:sz w:val="20"/>
          <w:szCs w:val="20"/>
          <w:color w:val="auto"/>
        </w:rPr>
      </w:pPr>
      <w:r>
        <w:rPr>
          <w:rFonts w:ascii="Arial" w:cs="Arial" w:eastAsia="Arial" w:hAnsi="Arial"/>
          <w:sz w:val="14"/>
          <w:szCs w:val="14"/>
          <w:color w:val="auto"/>
        </w:rPr>
        <w:t>under the Investment Company Act of 1940 (the Fidelity Funds), advised by Fidelity Management &amp; Research Company, a wholly owned subsidiary of FMR LLC, which power resides in the Fidelity Funds’ Boards of Trustees. Fidelity Management &amp; Research Company carries out the voting of the shares under written guidelines established by the Fidelity Funds’ Boards of Trustees. The address for FMR LLC is 200 Seaport Boulevard V12E, Boston, Massachusetts 02210.</w:t>
      </w:r>
    </w:p>
    <w:p>
      <w:pPr>
        <w:spacing w:after="0" w:line="1" w:lineRule="exact"/>
        <w:rPr>
          <w:sz w:val="20"/>
          <w:szCs w:val="20"/>
          <w:color w:val="auto"/>
        </w:rPr>
      </w:pPr>
    </w:p>
    <w:p>
      <w:pPr>
        <w:ind w:left="332" w:right="20" w:hanging="332"/>
        <w:spacing w:after="0" w:line="260" w:lineRule="auto"/>
        <w:tabs>
          <w:tab w:leader="none" w:pos="32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Includes (i) 2,069,790 shares of Class A common stock held of record by T. Rowe Price Health Sciences Fund, Inc.; (ii) 93,838 shares of Class A common stock held of record by T. Rowe Price Health Sciences Portfolio; (iii) 128,272 shares of Class A common stock held of record by TD Mutual Funds - TD Health Sciences Fund and (iv) 123,624 shares of Class A common stock held of record by VALIC Company I - Health Sciences Fund. The foregoing accounts are advised or sub-advised by T. Rowe Price Associates, Inc. (T. Rowe Price) a registered investment adviser. T. Rowe Price serves as investment adviser or subadviser, as applicable, with power to direct investments and/or sole power to vote the securities owned by the accounts (with the exception of one subadvisory fund that retains its own voting authority). Although T. Rowe Price may be deemed to be the beneficial owner of all the shares listed, T. Rowe Price expressly disclaims beneficial ownership of such securities. T. Rowe Price Investment Services, Inc., or TRPIS, a registered broker-dealer (and FINRA member), is a subsidiary of T. Rowe Price Associates, Inc., the investment adviser or subadviser, as applicable, to the accounts listed above. TRPIS was formed primarily for the limited purpose of acting as the principal underwriter and distributor of shares of the funds in the T. Rowe Price mutual fund family. TRPIS does not engage in underwriting or market-making activities involving individual securities. T. Rowe Price Associates, Inc. is the wholly owned subsidiary of T. Rowe Price Group, Inc., which is a publicly traded financial services holding company. The address for these entities is c/o T. Rowe Price Associates, Inc. 100 East Pratt Street, Baltimore, Maryland 21202, attention Andrew Baek, Vice President.</w:t>
      </w:r>
    </w:p>
    <w:p>
      <w:pPr>
        <w:ind w:left="332" w:right="100" w:hanging="332"/>
        <w:spacing w:after="0" w:line="241" w:lineRule="auto"/>
        <w:tabs>
          <w:tab w:leader="none" w:pos="329"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2,489,160 shares of Class A common stock held of record by Emerson Collective Investments, LLC. The address for Emerson Collective Investments, LLC is P.O. Box 61239, Palo Alto, California 94306.</w:t>
      </w:r>
    </w:p>
    <w:p>
      <w:pPr>
        <w:ind w:left="332" w:right="20" w:hanging="332"/>
        <w:spacing w:after="0" w:line="241" w:lineRule="auto"/>
        <w:tabs>
          <w:tab w:leader="none" w:pos="329"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(i) 197,932 shares of Class A common stock held of record by David Epstein and (ii) 20,000 shares of Class A common stock held of record by Three Opinions Foundation Inc., of which Mr. Epstein serves as Treasurer.</w:t>
      </w:r>
    </w:p>
    <w:p>
      <w:pPr>
        <w:ind w:left="332" w:right="120" w:hanging="332"/>
        <w:spacing w:after="0" w:line="241" w:lineRule="auto"/>
        <w:tabs>
          <w:tab w:leader="none" w:pos="329"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(i) 155,522 shares of Class A common stock and 428,348 shares of Class B common stock held of record by the 2003 Ma Family Living Trus, (ii) 342,736 shares of Class A common stock and 38,940 shares of Class B common stock held of record by Philip Ma and (iii) 382,833 shares of Class A common stock subject to options exercisable within 60 days of December 31, 2020, of which 331,894 are fully vested.</w:t>
      </w:r>
    </w:p>
    <w:p>
      <w:pPr>
        <w:spacing w:after="0" w:line="1" w:lineRule="exact"/>
        <w:rPr>
          <w:rFonts w:ascii="Arial" w:cs="Arial" w:eastAsia="Arial" w:hAnsi="Arial"/>
          <w:sz w:val="14"/>
          <w:szCs w:val="14"/>
          <w:color w:val="auto"/>
        </w:rPr>
      </w:pPr>
    </w:p>
    <w:p>
      <w:pPr>
        <w:ind w:left="332" w:right="60" w:hanging="332"/>
        <w:spacing w:after="0" w:line="241" w:lineRule="auto"/>
        <w:tabs>
          <w:tab w:leader="none" w:pos="329"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Includes (i) 565,649 shares of Class A common stock and 14,310 shares of Class B common stock held of record by HBM Genomics Ltd. and (ii) 342,678 shares of Class A common stock held of record by HBM Healthcare Investments (Cayman) Ltd. The address for these entities is Governors Square, Suite #4-212-2, 23 Lime Tree Bay Avenue Grand Cayman, Cayman Islands KY1-1204 OCF 2014: 500 Stanton Christiana Road, Newark, DE 19713.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3,322,145 shares of Class A common stock held by OCF Trust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92"/>
          </w:cols>
          <w:pgMar w:left="328" w:top="121" w:right="379" w:bottom="1440" w:gutter="0" w:footer="0" w:header="0"/>
        </w:sectPr>
      </w:pPr>
    </w:p>
    <w:bookmarkStart w:id="163" w:name="page164"/>
    <w:bookmarkEnd w:id="16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The following description summarizes certain important terms of our capital stock.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Our authorized capital stock consists of 105,000,000 shares of capital stock, $0.00001 par value per share, of which:</w:t>
      </w:r>
    </w:p>
    <w:p>
      <w:pPr>
        <w:spacing w:after="0" w:line="122"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94,000,000 shares are designated as Class A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6,000,000 shares are designated as Class B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there were 53,395,319 shares of our Class A common stock outstanding, held by 87 stockholders of record,</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5,865,732 shares of our Class B common stock outstanding, held by 14 stockholders of record and no shares of our preferred stock outstanding. Pursuant to our amended and restated certificate of incorporation, our board of directors has the authority, without stockholder approval except as required by the listing standards of Nasdaq, to issue additional shares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7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Holders of Class A common stock are entitled to one vote for each share held on all matters submitted to a vote of stockholders and holders of our Class B common stock are entitled to ten votes for each share held, except as otherwise required by law. The holders of our Class A common stock and Class B common stock vote together as a single class, unless otherwise required by law.</w:t>
      </w:r>
    </w:p>
    <w:p>
      <w:pPr>
        <w:spacing w:after="0" w:line="13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Delaware law could require either holders of our Class A common stock and our Class B common stock to vote separately as a single class in the following circumstances:</w:t>
      </w:r>
    </w:p>
    <w:p>
      <w:pPr>
        <w:spacing w:after="0" w:line="116" w:lineRule="exact"/>
        <w:rPr>
          <w:sz w:val="20"/>
          <w:szCs w:val="20"/>
          <w:color w:val="auto"/>
        </w:rPr>
      </w:pPr>
    </w:p>
    <w:p>
      <w:pPr>
        <w:ind w:left="660" w:hanging="328"/>
        <w:spacing w:after="0" w:line="277"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the directors in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21" w:right="339" w:bottom="1440" w:gutter="0" w:footer="0" w:header="0"/>
        </w:sectPr>
      </w:pPr>
    </w:p>
    <w:bookmarkStart w:id="164" w:name="page165"/>
    <w:bookmarkEnd w:id="16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will be subject to election by a plurality of the votes cast at each annual meeting of stockholders, with the directors in the other classes continuing for the remainder of their respective three-year terms.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Shares of Class B common stock will automatically convert into shares of Class A common stock upon sale or transfer of such shares, excluding certain transfers permitted by our amended and restated certificate of incorporation. The Class B common stock will also automatically convert into shares of Class A common stock on December 8, 2025.</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connection with this offering, our legal counsel will opine that the shares of our Class A common stock to be issued in this offering will be fully paid and non-assessable.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No shares of our preferred stock are outstanding. Pursuant to our amended and restated certificate of incorporation,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2020, we had outstanding options to purchase an aggregate of 9,576,902 shares of our Class A common stock, with a weighted-average exercise price of approximately $5.54 per share, under our equity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2020, we had 491,318 shares of our Class A common stock outstanding, subject to RSUs issued under our equity compensation plans, which will vest upon the satisfaction of a performance-based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121" w:right="359" w:bottom="1440" w:gutter="0" w:footer="0" w:header="0"/>
        </w:sectPr>
      </w:pPr>
    </w:p>
    <w:bookmarkStart w:id="165" w:name="page166"/>
    <w:bookmarkEnd w:id="16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Certain holders of our Class A common stock are entitled to rights with respect to the registration of their shares under the Securities Act. These registration rights are contained in our amended and restated investor rights agreement (IRA). We and certain holders of our preferred stock are parties to the IRA. The registration rights set forth in the IRA will expire three years following the completion of our initial public offering, or, with respect to any particular stockholder, when such stockholder is able to sell all of its shares pursuant to Rule 144 of the Securities Act during any three-month period or ceases to hold registrable shares. We will pay the registration expenses (other than underwriting discounts and commissions) of the holders of the shares registered pursuant to the registrations described below. In an underwritten offering, the managing underwriter, if any, has the right, subject to specified conditions, to limit the number of shares such holders may include. Our stockholders have waived their rights under the IRA (i) to receive notice of this offering and (ii) to include their registrable shares in this offering. In addition, in connection with our initial public offering, each stockholder that has registration rights agreed not to sell or otherwise dispose of any securities without the prior written consent of us and the underwriters for a period ending June 2, 2021, subject to certain terms and conditions. See the section titled “Shares Eligible for Future Sale—Lock-Up and Market Standoff Agreements” for additional information regarding such restrictions.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37,556,197 shares of our Class A common stock are entitled to certain demand registration rights. At any time after the earlier of five years after the date of the IRA or 180 days after the effective date of our initial public offering, the holders of at least 40% of registrable shares then outstanding may make a written request that we register the offer and sale of their shares. If we determine that it would be seriously detrimental to us and our stockholders to effect such a demand registration, we have the right to defer such registration, not more than twice in any 12-month period, for a period of up to 90 days.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we propose to register the offer and sale of our Class A common stock under the Securities Act, in connection with the public offering of such Class A common stock the holders of 37,556,197 shares of our Class A common stock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related to the sale of securities to our employees pursuant to any employee benefit plan, (ii) a registration relating to a corporate reorganization or other transaction covered by Rule 145 promulgated under the Securities Act, (iii) a registration on any registration form that does not include substantially the same information as would be required to be included in a registration statement covering the public offering of our Class A common stock or (iv) a registration in which the only Class A common stock being registered is Class A common stock issuable upon conversion of debt securities that are also being registered, the holders of these shares are entitled to notice of the registration and have the right, subject to certain limitations, to include their shares in the registration.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holders of up to 37,556,197 shares of our Class A common stock are entitled to certain Form S-3 registration rights. The holders of at least 30% of registrable shares then outstanding may make a written request that we register the offer and sale of their shares on a registration statement on Form S-3 if we are eligible to file a registration statement on Form S-3, so long as the request covers securities the anticipated aggregate offering price of which, net of underwriting discounts and commissions and other selling expenses, is at least $5,000,000.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us and our stockholders to effect such a registration, we have the right to defer such registration, not more than twice in any 12-month period, for a period of up to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320" w:top="121" w:right="379" w:bottom="1440" w:gutter="0" w:footer="0" w:header="0"/>
        </w:sectPr>
      </w:pPr>
    </w:p>
    <w:bookmarkStart w:id="166" w:name="page167"/>
    <w:bookmarkEnd w:id="16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30"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171"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17" w:lineRule="exact"/>
        <w:rPr>
          <w:rFonts w:ascii="Arial" w:cs="Arial" w:eastAsia="Arial" w:hAnsi="Arial"/>
          <w:sz w:val="17"/>
          <w:szCs w:val="17"/>
          <w:color w:val="auto"/>
        </w:rPr>
      </w:pPr>
    </w:p>
    <w:p>
      <w:pPr>
        <w:ind w:left="660" w:right="80" w:hanging="328"/>
        <w:spacing w:after="0" w:line="263"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30"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71"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9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amended and restated certificate of incorporation and amended and restated bylaws authorize only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to fill vacant directorships, including newly created seats. In addition, the number of directors constituting our board of directors are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amended and restated certificate of incorporation and amended and restated bylaws provide that our board of directors is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21" w:right="359" w:bottom="1440" w:gutter="0" w:footer="0" w:header="0"/>
        </w:sectPr>
      </w:pPr>
    </w:p>
    <w:bookmarkStart w:id="167" w:name="page168"/>
    <w:bookmarkEnd w:id="16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Stockholder Action; Special Meeting of Stockholders. </w:t>
      </w:r>
      <w:r>
        <w:rPr>
          <w:rFonts w:ascii="Arial" w:cs="Arial" w:eastAsia="Arial" w:hAnsi="Arial"/>
          <w:sz w:val="17"/>
          <w:szCs w:val="17"/>
          <w:color w:val="auto"/>
        </w:rPr>
        <w:t>Our amended and restated certificate of incorporation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4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amended and restated certificate of incorporation does not provide for cumulative voting.</w:t>
      </w:r>
    </w:p>
    <w:p>
      <w:pPr>
        <w:spacing w:after="0" w:line="13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amended and restated certificate of incorporation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amended and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a two thirds majority of our then outstanding capital stock.</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our stockholders, to issue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3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Exclusive Forum. </w:t>
      </w:r>
      <w:r>
        <w:rPr>
          <w:rFonts w:ascii="Arial" w:cs="Arial" w:eastAsia="Arial" w:hAnsi="Arial"/>
          <w:sz w:val="17"/>
          <w:szCs w:val="17"/>
          <w:color w:val="auto"/>
        </w:rPr>
        <w:t>Our amended and restated bylaws provide that, unless we consent to the selection of an alternative forum, the Court of Chancery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State of Delaware shall be the sole and exclusive forum for (i) any derivative action or proceeding under Delaware statutory or common law brought on our behalf, (ii) any action asserting a claim of breach of fiduciary duty, (iii) any action asserting a claim arising pursuant to the Delaware General Corporation Law, (iv) any action regarding our amended and restated certificate of incorporation or amended and restated bylaws, or (v) any action asserting a claim against us that is governed by the internal affairs doctrine, except, in each case,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will be the exclusive forum for resolving any complaint asserting a cause of action arising under the Securities Act. Section 27 of the Exchange Act creates exclusive federal jurisdiction over all suits brought to enforce any duty or liability created by the Exchange Act or the rules and regulations thereunder. As a result, the exclusive forum provision will not apply to actions arising under the Exchange Act or the rules and regulations thereunder. Although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121" w:right="359" w:bottom="1440" w:gutter="0" w:footer="0" w:header="0"/>
        </w:sectPr>
      </w:pPr>
    </w:p>
    <w:bookmarkStart w:id="168" w:name="page169"/>
    <w:bookmarkEnd w:id="16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amended and restated bylaws contain the exclusive forum provision described above, to the extent the exclusive forum provision restricts the courts in which claims arising under the Securities Act may be brought, there is uncertainty as to whether a court would enforce such a provision, and the enforceability of similar choice of forum provisions in other companies’ charter documents has been challenged in legal proceedings. We note that investors cannot waive compliance with the federal securities laws and the rules and regulations thereunder.</w:t>
      </w:r>
    </w:p>
    <w:p>
      <w:pPr>
        <w:spacing w:after="0" w:line="11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transfer agent and registrar for our Class A common stock is Computershare Trust Company, N.A. The transfer agent and registrar’s address is 250 Royal Street, Canton, Massachusetts 02021.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Class A common stock is listed on the Nasdaq Global Select Market under the symbol “SEER.”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21" w:right="339" w:bottom="1440" w:gutter="0" w:footer="0" w:header="0"/>
        </w:sectPr>
      </w:pPr>
    </w:p>
    <w:bookmarkStart w:id="169" w:name="page170"/>
    <w:bookmarkEnd w:id="16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Future sales of our Class A common stock in the public market, or the availability of such shares for sale in the public market, could adversely affect market prices prevailing from time to time. As described below, only a limited number of shares of our Class A common stock are currently available for sale due to contractual and legal restrictions on resale. Nevertheless, sales of our Class A common stock in the public market after such restrictions lapse, or the perception that those sales may occur, could adversely affect the prevailing market price at such time and could impair our ability to raise equity capital in the future.</w:t>
      </w:r>
    </w:p>
    <w:p>
      <w:pPr>
        <w:spacing w:after="0" w:line="13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Based on the number of shares of our capital stock outstanding as of December 31, 2020 we will have a total of 56,895,319 shares of our Class A common stock outstanding and 5,865,732 shares of our Class B common stock outstanding after this offering. Of these outstanding shares, all of the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0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remaining outstanding shares of our Class A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107" w:lineRule="exact"/>
        <w:rPr>
          <w:sz w:val="20"/>
          <w:szCs w:val="20"/>
          <w:color w:val="auto"/>
        </w:rPr>
      </w:pPr>
    </w:p>
    <w:p>
      <w:pPr>
        <w:ind w:left="660" w:right="10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beginning on the date of this prospectus, all shares of our Class A common stock sold in this offering will be immediately available for sale in the public market;</w:t>
      </w:r>
    </w:p>
    <w:p>
      <w:pPr>
        <w:sectPr>
          <w:pgSz w:w="11900" w:h="16838" w:orient="portrait"/>
          <w:cols w:equalWidth="0" w:num="1">
            <w:col w:w="11240"/>
          </w:cols>
          <w:pgMar w:left="320" w:top="121"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80" w:hanging="4"/>
        <w:spacing w:after="0" w:line="263" w:lineRule="auto"/>
        <w:rPr>
          <w:sz w:val="20"/>
          <w:szCs w:val="20"/>
          <w:color w:val="auto"/>
        </w:rPr>
      </w:pPr>
      <w:r>
        <w:rPr>
          <w:rFonts w:ascii="Arial" w:cs="Arial" w:eastAsia="Arial" w:hAnsi="Arial"/>
          <w:sz w:val="18"/>
          <w:szCs w:val="18"/>
          <w:color w:val="auto"/>
        </w:rPr>
        <w:t>beginning June 2, 2021,</w:t>
      </w:r>
      <w:r>
        <w:rPr>
          <w:sz w:val="20"/>
          <w:szCs w:val="20"/>
          <w:color w:val="auto"/>
        </w:rPr>
        <w:t xml:space="preserve"> </w:t>
      </w:r>
      <w:r>
        <w:rPr>
          <w:rFonts w:ascii="Arial" w:cs="Arial" w:eastAsia="Arial" w:hAnsi="Arial"/>
          <w:sz w:val="18"/>
          <w:szCs w:val="18"/>
          <w:color w:val="auto"/>
        </w:rPr>
        <w:t>additional shares will become eligible for sale in the public market upon the expiration of lock-up agreements entered into in connection with our initial public offering, of which shares are held by affiliates and subject to the volume and other restrictions of Rule 144, as described below;</w:t>
      </w:r>
    </w:p>
    <w:p>
      <w:pPr>
        <w:spacing w:after="0" w:line="130" w:lineRule="exact"/>
        <w:rPr>
          <w:sz w:val="20"/>
          <w:szCs w:val="20"/>
          <w:color w:val="auto"/>
        </w:rPr>
      </w:pPr>
    </w:p>
    <w:p>
      <w:pPr>
        <w:sectPr>
          <w:pgSz w:w="11900" w:h="16838" w:orient="portrait"/>
          <w:cols w:equalWidth="0" w:num="2">
            <w:col w:w="400" w:space="260"/>
            <w:col w:w="10580"/>
          </w:cols>
          <w:pgMar w:left="320" w:top="121" w:right="339" w:bottom="1440" w:gutter="0" w:footer="0" w:header="0"/>
          <w:type w:val="continuous"/>
        </w:sectPr>
      </w:pPr>
    </w:p>
    <w:p>
      <w:pPr>
        <w:ind w:left="660" w:right="18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9,297,851 additional shares will be eligible for sale in the public market 180 days from the date of this prospectus upon the expiration of lock-up agreements entered into in connection with this offering;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9,260,247 additional shares will be eligible for sale in the public market 365 days from the date of this prospectus upon the expiration of lock-up agreements entered into in connection with this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will agree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capital stock or securities convertible into or exchangeable or exercisable for any shares of our capital stock, or publicly disclose the intention to make any offer, sale, pledge, disposition or filing, or (ii) enter into any swap or other arrangement that transfers all or a portion of the economic consequences associated with the ownership of any shares of capital stock or any such other securities (regardless of whether any of these transactions are to be settled by the delivery of shares of capital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hereunder and certain other exceptions.</w:t>
      </w:r>
    </w:p>
    <w:p>
      <w:pPr>
        <w:spacing w:after="0" w:line="111"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directors, our executive officers and holders of substantially all of our capital stock and securities convertible into our capital stock have entered into lock-up agreements with the underwriters in connection with our initial public offering pursuant to which each of these persons or entities, with limited exceptions, for a lock-up period ending June 2, 2021 (the IPO lock-ups), may not, without the prior written consent of J.P. Morgan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21" w:right="339" w:bottom="1440" w:gutter="0" w:footer="0" w:header="0"/>
          <w:type w:val="continuous"/>
        </w:sectPr>
      </w:pPr>
    </w:p>
    <w:bookmarkStart w:id="170" w:name="page171"/>
    <w:bookmarkEnd w:id="17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LLC, Morgan Stanley &amp; Co. LLC and BofA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 capital stock or any securities convertible into or exercisable or exchangeable for our capital stock (including, without limitation, Class A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capital stock or such other securities, whether any such transaction described in clause (1) or (2) above is to be settled by delivery of capital stock or such other securities, in cash or otherwise, or (3) make any demand for or exercise any right with respect to the registration of any shares of our capital stock or any security convertible into or exercisable or exchangeable for our capital stock. Upon the expiration of the lock-up period, substantially all of the shares subject to such lock-up restrictions will become eligible for sale, subject to the limitations discussed below. For more information, see the section titled “Underwriting.”</w:t>
      </w:r>
    </w:p>
    <w:p>
      <w:pPr>
        <w:spacing w:after="0" w:line="114"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In connection with this offering, the selling stockholders who are selling up to 5% of their existing holdings have entered into lock-up agreements in connection with this offering, on substantially similar terms as the IPO lock-ups, which expire 180 days from the date of this prospectus, and the selling stockholders who are selling greater than 5% and up to 19.7% of their existing holdings have entered into lock-up agreements in connection with this offering, on substantially similar terms as the IPO lock-ups, which expire 365 days from the date of this prospectus.</w:t>
      </w:r>
    </w:p>
    <w:p>
      <w:pPr>
        <w:spacing w:after="0" w:line="1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to the selling stockholders, other stockholders subject to IPO lock-ups were given the opportunity to have a portion of the shares subject to such IPO lock-ups released from the IPO lock-up provisions. Any such stockholder who requested up to 5% of their existing holdings to be released from the IPO lock-ups was required to enter a new lock-up agreement with respect to such stockholder’s remaining shares, which expire 180 days from the date of this prospectus, and any such stockholder who requested greater than 5%, and up to 19.7%, of their existing holdings to be released from the IPO lock-ups, was required to enter a new lock-up agreement with respect to such stockholder’s remaining shares, which expire 365 days from the date of this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41"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pacing w:after="0" w:line="130" w:lineRule="exact"/>
        <w:rPr>
          <w:sz w:val="20"/>
          <w:szCs w:val="20"/>
          <w:color w:val="auto"/>
        </w:rPr>
      </w:pPr>
    </w:p>
    <w:p>
      <w:pPr>
        <w:ind w:left="660" w:right="12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which will equal 568,953 shares immediately after the completion of this offering; or</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16" w:lineRule="exact"/>
        <w:rPr>
          <w:sz w:val="20"/>
          <w:szCs w:val="20"/>
          <w:color w:val="auto"/>
        </w:rPr>
      </w:pPr>
    </w:p>
    <w:p>
      <w:pPr>
        <w:jc w:val="both"/>
        <w:ind w:right="100" w:firstLine="324"/>
        <w:spacing w:after="0" w:line="342" w:lineRule="auto"/>
        <w:rPr>
          <w:sz w:val="20"/>
          <w:szCs w:val="20"/>
          <w:color w:val="auto"/>
        </w:rPr>
      </w:pPr>
      <w:r>
        <w:rPr>
          <w:rFonts w:ascii="Arial" w:cs="Arial" w:eastAsia="Arial" w:hAnsi="Arial"/>
          <w:sz w:val="16"/>
          <w:szCs w:val="16"/>
          <w:color w:val="auto"/>
        </w:rPr>
        <w:t>Sales of our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21" w:right="339" w:bottom="1440" w:gutter="0" w:footer="0" w:header="0"/>
        </w:sectPr>
      </w:pPr>
    </w:p>
    <w:bookmarkStart w:id="171" w:name="page172"/>
    <w:bookmarkEnd w:id="17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Pursuant to our IRA, after the completion of this offering, the holders of up to 35,676,836 shares of our Class A common stock, or certain transferees, are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60"/>
          </w:cols>
          <w:pgMar w:left="320" w:top="121" w:right="419" w:bottom="1440" w:gutter="0" w:footer="0" w:header="0"/>
        </w:sectPr>
      </w:pPr>
    </w:p>
    <w:bookmarkStart w:id="172" w:name="page173"/>
    <w:bookmarkEnd w:id="17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following is a summary of material U.S. federal income tax considerations of the ownership and disposition of our Class A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4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95"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94" w:lineRule="exact"/>
        <w:rPr>
          <w:rFonts w:ascii="Arial" w:cs="Arial" w:eastAsia="Arial" w:hAnsi="Arial"/>
          <w:sz w:val="16"/>
          <w:szCs w:val="16"/>
          <w:color w:val="auto"/>
        </w:rPr>
      </w:pPr>
    </w:p>
    <w:p>
      <w:pPr>
        <w:ind w:left="660" w:right="66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 or other pass through entities such as subchapter S corporations (or investors in such entities or arrangements);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hold our Class A common stock as a position in a hedging transaction, “straddle,” “conversion transaction,” or other risk reduction transaction;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option or otherwise as compensation;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do not hold our Class A common stock as a capital asset within the meaning of Section 1221 of the Code (generally, property held for investment);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that own, or are deemed to own, our Class B common stock.</w:t>
      </w:r>
    </w:p>
    <w:p>
      <w:pPr>
        <w:spacing w:after="0" w:line="17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In addition, if a partnership (or other entity or arrangement classified as a partnership for U.S. federal income tax purposes) holds our Class A common stock, the tax treatment of a partner in the partnership generally will depend on the status of the partner and upon the activities of the partnership. A partner in a partnership that will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21" w:right="339" w:bottom="1440" w:gutter="0" w:footer="0" w:header="0"/>
        </w:sectPr>
      </w:pPr>
    </w:p>
    <w:bookmarkStart w:id="173" w:name="page174"/>
    <w:bookmarkEnd w:id="17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Class A common stock should consult his, her or its own tax advisor regarding the tax considerations of the purchase, ownership and disposition of our common stock through a partnership.</w:t>
      </w:r>
    </w:p>
    <w:p>
      <w:pPr>
        <w:spacing w:after="0" w:line="112" w:lineRule="exact"/>
        <w:rPr>
          <w:sz w:val="20"/>
          <w:szCs w:val="20"/>
          <w:color w:val="auto"/>
        </w:rPr>
      </w:pPr>
    </w:p>
    <w:p>
      <w:pPr>
        <w:ind w:right="20" w:firstLine="324"/>
        <w:spacing w:after="0" w:line="314"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considerations of the purchase, ownership and disposition of our Class A common stock arising under the U.S. federal gift or estate tax rules or under the laws of any state, local, non-U.S. or other taxing jurisdiction or under any applicable tax treaty.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neither a partnership nor:</w:t>
      </w:r>
    </w:p>
    <w:p>
      <w:pPr>
        <w:spacing w:after="0" w:line="116"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as described below under “—Gain on Disposition of Class A Common Stock.”</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Class A common stock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3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21" w:right="339" w:bottom="1440" w:gutter="0" w:footer="0" w:header="0"/>
        </w:sectPr>
      </w:pPr>
    </w:p>
    <w:bookmarkStart w:id="174" w:name="page175"/>
    <w:bookmarkEnd w:id="17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Class A common stock, including the application of any applicable tax treaties that may provide for different rules.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Common Stock</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discussions below regarding backup withholding and FATCA withholding, you generally will not be required to pay U.S. federal income tax on any gain realized upon the sale or other disposition of our Class A common stock unless:</w:t>
      </w:r>
    </w:p>
    <w:p>
      <w:pPr>
        <w:spacing w:after="0" w:line="116" w:lineRule="exact"/>
        <w:rPr>
          <w:sz w:val="20"/>
          <w:szCs w:val="20"/>
          <w:color w:val="auto"/>
        </w:rPr>
      </w:pPr>
    </w:p>
    <w:p>
      <w:pPr>
        <w:ind w:left="660" w:right="40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16"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Class A common stock.</w:t>
      </w:r>
    </w:p>
    <w:p>
      <w:pPr>
        <w:spacing w:after="0" w:line="130"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Class A common stock is regularly traded on an established securities market, your Class A common stock will be treated as U.S. real property interests only if you actually (directly or indirectly) or constructively hold more than five percent of such regularly traded Class A common stock at any time during the shorter of the five-year period preceding your disposition of, or your holding period for, our Class A common stock.</w:t>
      </w:r>
    </w:p>
    <w:p>
      <w:pPr>
        <w:spacing w:after="0" w:line="12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7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30"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Payments of dividends on or of proceeds from the disposition of our Class A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320" w:top="121" w:right="359" w:bottom="1440" w:gutter="0" w:footer="0" w:header="0"/>
        </w:sectPr>
      </w:pPr>
    </w:p>
    <w:bookmarkStart w:id="175" w:name="page176"/>
    <w:bookmarkEnd w:id="17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reporting may apply if either we or our paying agent has actual knowledge, or reason to know, that you are a U.S. person.</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subject to the discussion below regarding the proposed regulations,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3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withholding obligations under FATCA generally apply to dividends on our Class A common stock and to the payment of gross proceeds of a sale or other disposition of our Class A common stock. However, the U.S. Treasury Department has issued proposed regulations that, if finalized in their present form, would eliminate FATCA withholding on gross proceeds of the sale or other disposition of our Class A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Class A common stock.</w:t>
      </w:r>
    </w:p>
    <w:p>
      <w:pPr>
        <w:spacing w:after="0" w:line="12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Class A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121" w:right="359" w:bottom="1440" w:gutter="0" w:footer="0" w:header="0"/>
        </w:sectPr>
      </w:pPr>
    </w:p>
    <w:bookmarkStart w:id="176" w:name="page177"/>
    <w:bookmarkEnd w:id="17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ind w:right="200" w:firstLine="324"/>
        <w:spacing w:after="0" w:line="218" w:lineRule="exact"/>
        <w:rPr>
          <w:sz w:val="20"/>
          <w:szCs w:val="20"/>
          <w:color w:val="auto"/>
        </w:rPr>
      </w:pPr>
      <w:r>
        <w:rPr>
          <w:rFonts w:ascii="Arial" w:cs="Arial" w:eastAsia="Arial" w:hAnsi="Arial"/>
          <w:sz w:val="17"/>
          <w:szCs w:val="17"/>
          <w:color w:val="auto"/>
        </w:rPr>
        <w:t>We and the selling stockholders are offering the shares of Class A common stock described in this prospectus through a number of underwriters. J.P. Morgan Securities LLC, Morgan Stanley &amp; Co. LLC, BofA Securities, Inc. and Cowen and Company, LLC are acting as joint book</w:t>
      </w:r>
      <w:r>
        <w:rPr>
          <w:rFonts w:ascii="MS PGothic" w:cs="MS PGothic" w:eastAsia="MS PGothic" w:hAnsi="MS PGothic"/>
          <w:sz w:val="17"/>
          <w:szCs w:val="17"/>
          <w:color w:val="auto"/>
        </w:rPr>
        <w:t>‑</w:t>
      </w:r>
      <w:r>
        <w:rPr>
          <w:rFonts w:ascii="Arial" w:cs="Arial" w:eastAsia="Arial" w:hAnsi="Arial"/>
          <w:sz w:val="17"/>
          <w:szCs w:val="17"/>
          <w:color w:val="auto"/>
        </w:rPr>
        <w:t>running managers of the offering and J.P. Morgan Securities LLC, Morgan Stanley &amp; Co. LLC and BofA Securities, Inc. are acting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w:t>
      </w:r>
    </w:p>
    <w:p>
      <w:pPr>
        <w:spacing w:after="0" w:line="197" w:lineRule="exact"/>
        <w:rPr>
          <w:sz w:val="20"/>
          <w:szCs w:val="20"/>
          <w:color w:val="auto"/>
        </w:rPr>
      </w:pPr>
    </w:p>
    <w:p>
      <w:pPr>
        <w:ind w:left="20"/>
        <w:spacing w:after="0"/>
        <w:tabs>
          <w:tab w:leader="none" w:pos="98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Cowen and Company, LLC</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underwriters are committed to purchase all the Class A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underwriters propose to offer the common stock directly to the public at the offering price set forth on the cover page of this prospectus and to</w:t>
      </w:r>
    </w:p>
    <w:p>
      <w:pPr>
        <w:spacing w:after="0" w:line="35"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certain dealers at that price less a concession not in excess of $ per share. After the initial offering of the shares to the public, if all of the shares of Class A common stock are not sold at the offering price, the underwriters may change the offering price and the other selling terms. Sales of any shares made outside of the United States may be made by affiliates of the underwriters.</w:t>
      </w:r>
    </w:p>
    <w:p>
      <w:pPr>
        <w:spacing w:after="0" w:line="13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underwriters have an option to buy up to 525,000 additional shares of Class A common stock from the selling stockholders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Class A common stock are purchased, the underwriters will offer the additional shares on the same terms as those on which the shares are being offered.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underwriting fee is equal to the public offering price per share of Class A common stock less the amount paid by the underwriters to us per share</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of Class A common stock. The underwriting fee paid by us is $ per share and the underwriting fee paid by the selling stockholders is $ per share. The following table shows the per share and total underwriting discounts and commissions to be paid to the underwriters assuming both no exercise and full exercise of the underwriters’ option to purchase additional shares from the selling stockholders.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Paid by selling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Paid by selling</w:t>
            </w:r>
          </w:p>
        </w:tc>
      </w:t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stockholders without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stockholders with full</w:t>
            </w:r>
          </w:p>
        </w:tc>
      </w:t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 to purchase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option to purchase</w:t>
            </w:r>
          </w:p>
        </w:tc>
      </w:tr>
      <w:tr>
        <w:trPr>
          <w:trHeight w:val="162"/>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additional shares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 shares</w:t>
            </w:r>
          </w:p>
        </w:tc>
      </w:tr>
      <w:tr>
        <w:trPr>
          <w:trHeight w:val="186"/>
        </w:trPr>
        <w:tc>
          <w:tcPr>
            <w:tcW w:w="636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by the Company</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exercised</w:t>
            </w:r>
          </w:p>
        </w:tc>
      </w:tr>
      <w:tr>
        <w:trPr>
          <w:trHeight w:val="25"/>
        </w:trPr>
        <w:tc>
          <w:tcPr>
            <w:tcW w:w="63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560" w:type="dxa"/>
            <w:vAlign w:val="bottom"/>
            <w:tcBorders>
              <w:bottom w:val="single" w:sz="8" w:color="CCEEFF"/>
            </w:tcBorders>
            <w:shd w:val="clear" w:color="auto" w:fill="CCEEFF"/>
          </w:tcPr>
          <w:p>
            <w:pPr>
              <w:jc w:val="right"/>
              <w:ind w:right="137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83"/>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83"/>
              <w:spacing w:after="0"/>
              <w:rPr>
                <w:sz w:val="20"/>
                <w:szCs w:val="20"/>
                <w:color w:val="auto"/>
              </w:rPr>
            </w:pPr>
            <w:r>
              <w:rPr>
                <w:rFonts w:ascii="Arial" w:cs="Arial" w:eastAsia="Arial" w:hAnsi="Arial"/>
                <w:sz w:val="18"/>
                <w:szCs w:val="18"/>
                <w:color w:val="auto"/>
                <w:w w:val="79"/>
              </w:rPr>
              <w:t>$</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jc w:val="right"/>
              <w:ind w:right="137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560" w:type="dxa"/>
            <w:vAlign w:val="bottom"/>
          </w:tcPr>
          <w:p>
            <w:pPr>
              <w:jc w:val="right"/>
              <w:ind w:right="1383"/>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560" w:type="dxa"/>
            <w:vAlign w:val="bottom"/>
          </w:tcPr>
          <w:p>
            <w:pPr>
              <w:jc w:val="right"/>
              <w:ind w:right="1383"/>
              <w:spacing w:after="0"/>
              <w:rPr>
                <w:sz w:val="20"/>
                <w:szCs w:val="20"/>
                <w:color w:val="auto"/>
              </w:rPr>
            </w:pPr>
            <w:r>
              <w:rPr>
                <w:rFonts w:ascii="Arial" w:cs="Arial" w:eastAsia="Arial" w:hAnsi="Arial"/>
                <w:sz w:val="18"/>
                <w:szCs w:val="18"/>
                <w:color w:val="auto"/>
                <w:w w:val="79"/>
              </w:rPr>
              <w:t>$</w:t>
            </w:r>
          </w:p>
        </w:tc>
      </w:tr>
    </w:tbl>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million. We have agreed to pay the expenses of the selling stockholders, other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21" w:right="339" w:bottom="1440" w:gutter="0" w:footer="0" w:header="0"/>
        </w:sectPr>
      </w:pPr>
    </w:p>
    <w:bookmarkStart w:id="177" w:name="page178"/>
    <w:bookmarkEnd w:id="17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underwriting fees owed by the selling stockholders. We have also agreed to reimburse the underwriters for reasonable fees and expenses of counsel related to the review by the Financial Industry Regulatory Authority of the terms of sale of the shares of Class A common stock offered hereby in an amount not to</w:t>
      </w:r>
    </w:p>
    <w:p>
      <w:pPr>
        <w:spacing w:after="0"/>
        <w:tabs>
          <w:tab w:leader="none" w:pos="1020" w:val="left"/>
        </w:tabs>
        <w:rPr>
          <w:sz w:val="20"/>
          <w:szCs w:val="20"/>
          <w:color w:val="auto"/>
        </w:rPr>
      </w:pPr>
      <w:r>
        <w:rPr>
          <w:rFonts w:ascii="Arial" w:cs="Arial" w:eastAsia="Arial" w:hAnsi="Arial"/>
          <w:sz w:val="18"/>
          <w:szCs w:val="18"/>
          <w:color w:val="auto"/>
        </w:rPr>
        <w:t>exceed $</w:t>
      </w:r>
      <w:r>
        <w:rPr>
          <w:sz w:val="20"/>
          <w:szCs w:val="20"/>
          <w:color w:val="auto"/>
        </w:rPr>
        <w:tab/>
      </w:r>
      <w:r>
        <w:rPr>
          <w:rFonts w:ascii="Arial" w:cs="Arial" w:eastAsia="Arial" w:hAnsi="Arial"/>
          <w:sz w:val="18"/>
          <w:szCs w:val="18"/>
          <w:color w:val="auto"/>
        </w:rPr>
        <w:t>.</w:t>
      </w:r>
    </w:p>
    <w:p>
      <w:pPr>
        <w:spacing w:after="0" w:line="1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3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Class A common stock or securities convertible into or exercisable or exchangeable for any shares of our Class A common stock, or publicly disclose the intention to make any offer, sale, pledge, loan, disposition or filing, or (ii) enter into any swap or other arrangement that transfers all or a portion of the economic consequences associated with the ownership of any shares of Class A common stock or any such other securities (regardless of whether any of these transactions are to be settled by the delivery of shares of Class A common stock or such other securities, in cash or otherwise), in each case without the prior written consent of J.P. Morgan Securities LLC, Morgan Stanley &amp; Co. LLC and BofA Securities, Inc. for a period of 180 days after the date of this prospectus, other than the shares of our Class A common stock to be sold in this offering, subject to certain exceptions, including in connection with the issuance of up to 10% of the shares of Class A common stock outstanding immediately following the closing of this offering in acquisitions or other similar strategic transactions.</w:t>
      </w:r>
    </w:p>
    <w:p>
      <w:pPr>
        <w:spacing w:after="0" w:line="114" w:lineRule="exact"/>
        <w:rPr>
          <w:sz w:val="20"/>
          <w:szCs w:val="20"/>
          <w:color w:val="auto"/>
        </w:rPr>
      </w:pPr>
    </w:p>
    <w:p>
      <w:pPr>
        <w:ind w:right="100" w:firstLine="324"/>
        <w:spacing w:after="0" w:line="221" w:lineRule="exact"/>
        <w:rPr>
          <w:sz w:val="20"/>
          <w:szCs w:val="20"/>
          <w:color w:val="auto"/>
        </w:rPr>
      </w:pPr>
      <w:r>
        <w:rPr>
          <w:rFonts w:ascii="Arial" w:cs="Arial" w:eastAsia="Arial" w:hAnsi="Arial"/>
          <w:sz w:val="16"/>
          <w:szCs w:val="16"/>
          <w:color w:val="auto"/>
        </w:rPr>
        <w:t>The selling stockholders (such persons, the “lock-up parties”) have entered into lock</w:t>
      </w:r>
      <w:r>
        <w:rPr>
          <w:rFonts w:ascii="MS PGothic" w:cs="MS PGothic" w:eastAsia="MS PGothic" w:hAnsi="MS PGothic"/>
          <w:sz w:val="16"/>
          <w:szCs w:val="16"/>
          <w:color w:val="auto"/>
        </w:rPr>
        <w:t>‑</w:t>
      </w:r>
      <w:r>
        <w:rPr>
          <w:rFonts w:ascii="Arial" w:cs="Arial" w:eastAsia="Arial" w:hAnsi="Arial"/>
          <w:sz w:val="16"/>
          <w:szCs w:val="16"/>
          <w:color w:val="auto"/>
        </w:rPr>
        <w:t>up agreements with the underwriters prior to the commencement of this offering pursuant to which each lock-up party, with limited exceptions, for a period of 180 days after the date of this prospectus (for those selling stockholders selling up to 5% of their existing holdings) and 365 days after the date of this prospectus (for those selling stockholders selling greater than</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5% and up to 15% of their existing holdings) (such period, the “restricted period”), may not (and may not cause any of their direct or indirect affiliates to), without the prior written consent of J.P. Morgan Securities LLC, Morgan Stanley &amp; Co. LLC and BofA Securities, Inc., (1) offer, pledge,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our Class A common stock (including, without limitation, Class A common stock or such other securities which may be deemed to be beneficially owned by such lock-up parties in accordance with the rules and regulations of the SEC and securities which may be issued upon exercise of a stock option or warrant (collectively with the Class A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37"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The restrictions described in the immediately preceding paragraphs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member of the lock-up party’s immediate family or any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121" w:right="359" w:bottom="1440" w:gutter="0" w:footer="0" w:header="0"/>
        </w:sectPr>
      </w:pPr>
    </w:p>
    <w:bookmarkStart w:id="178" w:name="page179"/>
    <w:bookmarkEnd w:id="17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for the direct or indirect benefit of the lock-up party or the immediate family of the lock-up party, (iv) to a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disposition, transfer or distribution to members, limited partners or shareholders of the lock-up party, (vii) by operation of law, such as pursuant to a qualified domestic order, divorce settlement, divorce decree or separation agreement or similar court order, (viii) to us in connection with any contractual arrangement that provides for the repurchase of lock-up securities by us upon death, disability or termination of service, in each case, of such service provider, (ix) acquired from the underwriters in this offering or in open market transactions after the closing date of this offering, (x) to us in connection with the vesting, settlement, or exercise of restricted stock units, options, warrants or other rights to purchase shares of our Class A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stockholders involving a change of control, provided that if such transaction is not completed, all such lock-up securities would remain subject to the restrictions in the immediately preceding paragraph; (b) the exercise of the options, settlement of RSUs or other equity awards, or the exercise of warrants granted pursuant to plans or agreements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Class A common stock or warrants to acquire shares of our Class A common stock; provided that any Class A common stock or warrant received upon such conversion shall be subject to restrictions similar to those in the immediately preceding paragraph; and (d) the establishment by lock-up parties of trading plans under Rule 10b5-1 under the Exchange Act for the transfer of shares of lock-up securities; provided that such plan does not provide for the transfer of lock-up securities during the restricted period. Substantially similar lock-up agreements were also entered into in connection with our initial public offering, which expire on June 2, 2021; however, for the purposes of this offering, J.P. Morgan Securities LLC, Morgan Stanley &amp; Co. LLC and BofA Securities have released the restrictions under the lock-up agreements entered into in connection with our initial public offering applicable to the selling stockholders solely to the extent required to sell the shares being offered and sold in this offering and as described in the following paragraph.</w:t>
      </w:r>
    </w:p>
    <w:p>
      <w:pPr>
        <w:spacing w:after="0" w:line="12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In addition to the selling stockholders, in connection with this offering, other stockholders subject to lock-up agreements entered into in connection with our initial public offering were given the opportunity to have a portion of the shares subject to such lock-ups released from the transfer restrictions contained in such agreements. Any such stockholder who requested up to 5% of their existing holdings to be released from the lock-ups was required to enter a new lock-up agreement with respect to such stockholder’s remaining shares, which expire 180 days from the date of this prospectus, and as a result</w:t>
      </w:r>
    </w:p>
    <w:p>
      <w:pPr>
        <w:spacing w:after="0" w:line="1" w:lineRule="exact"/>
        <w:rPr>
          <w:sz w:val="20"/>
          <w:szCs w:val="20"/>
          <w:color w:val="auto"/>
        </w:rPr>
      </w:pPr>
    </w:p>
    <w:p>
      <w:pPr>
        <w:ind w:right="60" w:firstLine="540"/>
        <w:spacing w:after="0" w:line="281" w:lineRule="auto"/>
        <w:rPr>
          <w:sz w:val="20"/>
          <w:szCs w:val="20"/>
          <w:color w:val="auto"/>
        </w:rPr>
      </w:pPr>
      <w:r>
        <w:rPr>
          <w:rFonts w:ascii="Arial" w:cs="Arial" w:eastAsia="Arial" w:hAnsi="Arial"/>
          <w:sz w:val="16"/>
          <w:szCs w:val="16"/>
          <w:color w:val="auto"/>
        </w:rPr>
        <w:t>shares became subject to these new lock-up agreements. Any such stockholder who requested greater than 5%, and up to 19.7%, of their existing holdings to be released from the lock-ups was required to enter a new lock-up agreement with respect to such stockholder’s remaining shares, which expire</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365 days from the date of this prospectus, and as a result shares became subject to these new lock-up agreements. If all of the stockholders who are eligible to release shares of Class A common stock release the maximum number of shares available and enter a new lock-up agreement with respect to such stockholder’s remaining shares, which expire 365 days from the date of this prospectus, approximately 1.03 million shares of Class A common stock (of which approximately 257,000 were vested as of December 31, 2020) will be released from the transfer restrictions on the business day following the pricing of this offering.</w:t>
      </w:r>
    </w:p>
    <w:p>
      <w:pPr>
        <w:spacing w:after="0" w:line="137"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As a result of the restriction releases discussed above, shares will continue to be subject to lock-up agreements entered into with the underwriters of our initial public offering, which agreements expire on June 2, 2021, unless earlier released by the underwriters at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21" w:right="339" w:bottom="1440" w:gutter="0" w:footer="0" w:header="0"/>
        </w:sectPr>
      </w:pPr>
    </w:p>
    <w:bookmarkStart w:id="179" w:name="page180"/>
    <w:bookmarkEnd w:id="17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J.P. Morgan Securities LLC, Morgan Stanley &amp; Co. LLC and BofA Securities, Inc., in their sole discretion, may release the securities subject to any of the lock-up agreements with the underwriters described above, in whole or in part at any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from the selling stockholders referred to above, or may be “naked” shorts, which are short positions in excess of that amount. The underwriters may close out any covered short position either by exercising their option to purchase additional shares from the selling stockholders,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from the selling stockholders.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in the open market to cover the position.</w:t>
      </w:r>
    </w:p>
    <w:p>
      <w:pPr>
        <w:spacing w:after="0" w:line="13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as part of this offering to repay the underwriting discount received by them.</w:t>
      </w:r>
    </w:p>
    <w:p>
      <w:pPr>
        <w:spacing w:after="0" w:line="117" w:lineRule="exact"/>
        <w:rPr>
          <w:sz w:val="20"/>
          <w:szCs w:val="20"/>
          <w:color w:val="auto"/>
        </w:rPr>
      </w:pPr>
    </w:p>
    <w:p>
      <w:pPr>
        <w:ind w:right="60" w:firstLine="324"/>
        <w:spacing w:after="0" w:line="220" w:lineRule="exact"/>
        <w:rPr>
          <w:sz w:val="20"/>
          <w:szCs w:val="20"/>
          <w:color w:val="auto"/>
        </w:rPr>
      </w:pPr>
      <w:r>
        <w:rPr>
          <w:rFonts w:ascii="Arial" w:cs="Arial" w:eastAsia="Arial" w:hAnsi="Arial"/>
          <w:sz w:val="18"/>
          <w:szCs w:val="18"/>
          <w:color w:val="auto"/>
        </w:rPr>
        <w:t>These activities may have the effect of raising or maintaining the market price of the Class A common stock or preventing or retarding a decline in the market price of the Class A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Stock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the selling stockholders, and may provide from time to time in the future certain commercial banking, financial advisory, investment banking and other services for us and such affiliates, and such selling stockholders,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21" w:right="359" w:bottom="1440" w:gutter="0" w:footer="0" w:header="0"/>
        </w:sectPr>
      </w:pPr>
    </w:p>
    <w:bookmarkStart w:id="180" w:name="page181"/>
    <w:bookmarkEnd w:id="18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1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United Kingdom</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(Relevant States),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34" w:lineRule="exact"/>
        <w:rPr>
          <w:sz w:val="20"/>
          <w:szCs w:val="20"/>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shall require us or any underwriter to publish a prospectus pursuant to Article 3 of the Prospectus Regulation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the purposes of this provision, the expression an “offer to the public” in relation to shares in any Relevant State means the communication in any form and by any means of sufficient information on the terms of the offer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21" w:right="339" w:bottom="1440" w:gutter="0" w:footer="0" w:header="0"/>
        </w:sectPr>
      </w:pPr>
    </w:p>
    <w:bookmarkStart w:id="181" w:name="page182"/>
    <w:bookmarkEnd w:id="18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shares to be offered so as to enable an investor to decide to purchase or subscribe for any shares, and the expression “Prospectus Regulation” means Regulation (EU) 2017/1129.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2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(Corporations Act);</w:t>
      </w:r>
    </w:p>
    <w:p>
      <w:pPr>
        <w:spacing w:after="0" w:line="182" w:lineRule="exact"/>
        <w:rPr>
          <w:rFonts w:ascii="Arial" w:cs="Arial" w:eastAsia="Arial" w:hAnsi="Arial"/>
          <w:sz w:val="17"/>
          <w:szCs w:val="17"/>
          <w:color w:val="auto"/>
        </w:rPr>
      </w:pPr>
    </w:p>
    <w:p>
      <w:pPr>
        <w:jc w:val="both"/>
        <w:ind w:left="660" w:right="520" w:hanging="328"/>
        <w:spacing w:after="0" w:line="263"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1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60"/>
          </w:cols>
          <w:pgMar w:left="320" w:top="121" w:right="419" w:bottom="1440" w:gutter="0" w:footer="0" w:header="0"/>
        </w:sectPr>
      </w:pPr>
    </w:p>
    <w:bookmarkStart w:id="182" w:name="page183"/>
    <w:bookmarkEnd w:id="182"/>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71"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03"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07" w:lineRule="exact"/>
        <w:rPr>
          <w:sz w:val="20"/>
          <w:szCs w:val="20"/>
          <w:color w:val="auto"/>
        </w:rPr>
      </w:pPr>
    </w:p>
    <w:p>
      <w:pPr>
        <w:ind w:left="660" w:right="180" w:hanging="328"/>
        <w:spacing w:after="0" w:line="277"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(SFA)) pursuant to Section 274 of the SFA;</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and in accordance with the conditions specified in Section 275 of the SFA;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320" w:top="121" w:right="359" w:bottom="1440" w:gutter="0" w:footer="0" w:header="0"/>
        </w:sectPr>
      </w:pPr>
    </w:p>
    <w:bookmarkStart w:id="183" w:name="page184"/>
    <w:bookmarkEnd w:id="183"/>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2880" w:hanging="8"/>
        <w:spacing w:after="0" w:line="493" w:lineRule="auto"/>
        <w:tabs>
          <w:tab w:leader="none" w:pos="65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 Where the shares are subscribed or purchased under Section 275 of the SFA by a relevant person which is:</w:t>
      </w:r>
    </w:p>
    <w:p>
      <w:pPr>
        <w:ind w:left="660" w:right="80" w:hanging="328"/>
        <w:spacing w:after="0" w:line="277" w:lineRule="auto"/>
        <w:tabs>
          <w:tab w:leader="none" w:pos="65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7" w:lineRule="exact"/>
        <w:rPr>
          <w:rFonts w:ascii="Arial" w:cs="Arial" w:eastAsia="Arial" w:hAnsi="Arial"/>
          <w:sz w:val="17"/>
          <w:szCs w:val="17"/>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276(4)(i)(B) of the SFA;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71"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21" w:right="359" w:bottom="1440" w:gutter="0" w:footer="0" w:header="0"/>
        </w:sectPr>
      </w:pPr>
    </w:p>
    <w:bookmarkStart w:id="184" w:name="page185"/>
    <w:bookmarkEnd w:id="184"/>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1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71"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71"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(South African Companies Act))is being made in connection with the issue of the shares in South Africa. Accordingly, this document does not, nor is it intended to, constitute a “registered prospectus” (as that term is defined in the South African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21" w:right="339" w:bottom="1440" w:gutter="0" w:footer="0" w:header="0"/>
        </w:sectPr>
      </w:pPr>
    </w:p>
    <w:bookmarkStart w:id="185" w:name="page186"/>
    <w:bookmarkEnd w:id="18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87"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23" w:lineRule="exact"/>
        <w:rPr>
          <w:sz w:val="20"/>
          <w:szCs w:val="20"/>
          <w:color w:val="auto"/>
        </w:rPr>
      </w:pPr>
    </w:p>
    <w:p>
      <w:pPr>
        <w:ind w:left="2380" w:hanging="221"/>
        <w:spacing w:after="0"/>
        <w:tabs>
          <w:tab w:leader="none" w:pos="23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spacing w:after="0" w:line="20" w:lineRule="exact"/>
        <w:rPr>
          <w:rFonts w:ascii="Arial" w:cs="Arial" w:eastAsia="Arial" w:hAnsi="Arial"/>
          <w:sz w:val="17"/>
          <w:szCs w:val="17"/>
          <w:color w:val="auto"/>
        </w:rPr>
      </w:pPr>
    </w:p>
    <w:p>
      <w:pPr>
        <w:ind w:left="2420" w:hanging="261"/>
        <w:spacing w:after="0"/>
        <w:tabs>
          <w:tab w:leader="none" w:pos="2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9" w:lineRule="exact"/>
        <w:rPr>
          <w:rFonts w:ascii="Arial" w:cs="Arial" w:eastAsia="Arial" w:hAnsi="Arial"/>
          <w:sz w:val="18"/>
          <w:szCs w:val="18"/>
          <w:color w:val="auto"/>
        </w:rPr>
      </w:pPr>
    </w:p>
    <w:p>
      <w:pPr>
        <w:ind w:left="2480" w:hanging="321"/>
        <w:spacing w:after="0"/>
        <w:tabs>
          <w:tab w:leader="none" w:pos="2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9" w:lineRule="exact"/>
        <w:rPr>
          <w:rFonts w:ascii="Arial" w:cs="Arial" w:eastAsia="Arial" w:hAnsi="Arial"/>
          <w:sz w:val="18"/>
          <w:szCs w:val="18"/>
          <w:color w:val="auto"/>
        </w:rPr>
      </w:pPr>
    </w:p>
    <w:p>
      <w:pPr>
        <w:ind w:left="2460" w:hanging="301"/>
        <w:spacing w:after="0"/>
        <w:tabs>
          <w:tab w:leader="none" w:pos="2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9" w:lineRule="exact"/>
        <w:rPr>
          <w:rFonts w:ascii="Arial" w:cs="Arial" w:eastAsia="Arial" w:hAnsi="Arial"/>
          <w:sz w:val="18"/>
          <w:szCs w:val="18"/>
          <w:color w:val="auto"/>
        </w:rPr>
      </w:pPr>
    </w:p>
    <w:p>
      <w:pPr>
        <w:ind w:left="2420" w:hanging="261"/>
        <w:spacing w:after="0"/>
        <w:tabs>
          <w:tab w:leader="none" w:pos="2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9" w:lineRule="exact"/>
        <w:rPr>
          <w:rFonts w:ascii="Arial" w:cs="Arial" w:eastAsia="Arial" w:hAnsi="Arial"/>
          <w:sz w:val="18"/>
          <w:szCs w:val="18"/>
          <w:color w:val="auto"/>
        </w:rPr>
      </w:pPr>
    </w:p>
    <w:p>
      <w:pPr>
        <w:ind w:left="2160" w:right="420" w:hanging="1"/>
        <w:spacing w:after="0" w:line="250" w:lineRule="auto"/>
        <w:tabs>
          <w:tab w:leader="none" w:pos="246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 w:lineRule="exact"/>
        <w:rPr>
          <w:rFonts w:ascii="Arial" w:cs="Arial" w:eastAsia="Arial" w:hAnsi="Arial"/>
          <w:sz w:val="18"/>
          <w:szCs w:val="18"/>
          <w:color w:val="auto"/>
        </w:rPr>
      </w:pPr>
    </w:p>
    <w:p>
      <w:pPr>
        <w:ind w:left="2520" w:hanging="361"/>
        <w:spacing w:after="0"/>
        <w:tabs>
          <w:tab w:leader="none" w:pos="2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Section 96 (1)(b)</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sectPr>
          <w:pgSz w:w="11900" w:h="16838" w:orient="portrait"/>
          <w:cols w:equalWidth="0" w:num="2">
            <w:col w:w="1580" w:space="580"/>
            <w:col w:w="9080"/>
          </w:cols>
          <w:pgMar w:left="320" w:top="121" w:right="339" w:bottom="1440" w:gutter="0" w:footer="0" w:header="0"/>
          <w:type w:val="continuous"/>
        </w:sectPr>
      </w:pPr>
    </w:p>
    <w:p>
      <w:pPr>
        <w:ind w:right="880" w:firstLine="324"/>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21" w:right="339" w:bottom="1440" w:gutter="0" w:footer="0" w:header="0"/>
          <w:type w:val="continuous"/>
        </w:sectPr>
      </w:pPr>
    </w:p>
    <w:bookmarkStart w:id="186" w:name="page187"/>
    <w:bookmarkEnd w:id="18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Wilson Sonsini Goodrich &amp; Rosati, Professional Corporation, Palo Alto, California. Davis Polk &amp; Wardwell LLP, Menlo Park, California, is representing the underwriters in connection with this offering. Wilson Sonsini Goodrich &amp; Rosati, P.C. and certain of its members are associated with WS Investment Company, LLC (2017A) and WS Investment Company, LLC (2018A). WS Investment Company (2017A) and WS Investment Company (2018A) directly or indirectly own less than 0.1% of the outstanding shares of our common stock.</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The financial statements of Seer, Inc. as of December 31, 2018 and 2019, and for each of the two years in the period ended December 31, 2019, included in this Prospectus have been audited by Deloitte &amp; Touche LLP, an independent registered public accounting firm, as stated in their report appearing elsewhere herein. Such financial statements are included in reliance upon the report of such firm given upon their authority as experts in accounting and auditing.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8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We are subject to the information reporting requirements of the Exchange Act, and we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80"/>
          </w:cols>
          <w:pgMar w:left="320" w:top="121" w:right="399" w:bottom="1440" w:gutter="0" w:footer="0" w:header="0"/>
        </w:sectPr>
      </w:pPr>
    </w:p>
    <w:bookmarkStart w:id="187" w:name="page188"/>
    <w:bookmarkEnd w:id="187"/>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760" w:type="dxa"/>
            <w:vAlign w:val="bottom"/>
          </w:tcPr>
          <w:p>
            <w:pPr>
              <w:spacing w:after="0"/>
              <w:rPr>
                <w:sz w:val="16"/>
                <w:szCs w:val="16"/>
                <w:color w:val="auto"/>
              </w:rPr>
            </w:pPr>
          </w:p>
        </w:tc>
        <w:tc>
          <w:tcPr>
            <w:tcW w:w="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01"/>
        </w:trPr>
        <w:tc>
          <w:tcPr>
            <w:tcW w:w="10760" w:type="dxa"/>
            <w:vAlign w:val="bottom"/>
          </w:tcPr>
          <w:p>
            <w:pPr>
              <w:spacing w:after="0" w:line="201" w:lineRule="exact"/>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Report of Independent Registered Public Accounting Firm</w:t>
              </w:r>
            </w:hyperlink>
          </w:p>
        </w:tc>
        <w:tc>
          <w:tcPr>
            <w:tcW w:w="40" w:type="dxa"/>
            <w:vAlign w:val="bottom"/>
          </w:tcPr>
          <w:p>
            <w:pPr>
              <w:spacing w:after="0"/>
              <w:rPr>
                <w:sz w:val="17"/>
                <w:szCs w:val="17"/>
                <w:color w:val="auto"/>
              </w:rPr>
            </w:pPr>
          </w:p>
        </w:tc>
        <w:tc>
          <w:tcPr>
            <w:tcW w:w="300" w:type="dxa"/>
            <w:vAlign w:val="bottom"/>
            <w:gridSpan w:val="2"/>
          </w:tcPr>
          <w:p>
            <w:pPr>
              <w:jc w:val="center"/>
              <w:ind w:right="60"/>
              <w:spacing w:after="0" w:line="201" w:lineRule="exact"/>
              <w:rPr>
                <w:rFonts w:ascii="Arial" w:cs="Arial" w:eastAsia="Arial" w:hAnsi="Arial"/>
                <w:sz w:val="18"/>
                <w:szCs w:val="18"/>
                <w:color w:val="0000FF"/>
                <w:w w:val="88"/>
              </w:rPr>
            </w:pPr>
            <w:hyperlink w:anchor="page188">
              <w:r>
                <w:rPr>
                  <w:rFonts w:ascii="Arial" w:cs="Arial" w:eastAsia="Arial" w:hAnsi="Arial"/>
                  <w:sz w:val="18"/>
                  <w:szCs w:val="18"/>
                  <w:color w:val="0000FF"/>
                  <w:w w:val="88"/>
                </w:rPr>
                <w:t>F-2</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Balance Sheets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89">
              <w:r>
                <w:rPr>
                  <w:rFonts w:ascii="Arial" w:cs="Arial" w:eastAsia="Arial" w:hAnsi="Arial"/>
                  <w:sz w:val="18"/>
                  <w:szCs w:val="18"/>
                  <w:color w:val="0000FF"/>
                  <w:w w:val="88"/>
                </w:rPr>
                <w:t>F-3</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1">
              <w:r>
                <w:rPr>
                  <w:rFonts w:ascii="Arial" w:cs="Arial" w:eastAsia="Arial" w:hAnsi="Arial"/>
                  <w:sz w:val="18"/>
                  <w:szCs w:val="18"/>
                  <w:u w:val="single" w:color="auto"/>
                  <w:color w:val="0000FF"/>
                </w:rPr>
                <w:t>Statements of Operations and Comprehensive Loss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1">
              <w:r>
                <w:rPr>
                  <w:rFonts w:ascii="Arial" w:cs="Arial" w:eastAsia="Arial" w:hAnsi="Arial"/>
                  <w:sz w:val="18"/>
                  <w:szCs w:val="18"/>
                  <w:color w:val="0000FF"/>
                  <w:w w:val="88"/>
                </w:rPr>
                <w:t>F-5</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760" w:type="dxa"/>
            <w:vAlign w:val="bottom"/>
          </w:tcPr>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Statements of Changes in Stockholders’ Equity</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2">
              <w:r>
                <w:rPr>
                  <w:rFonts w:ascii="Arial" w:cs="Arial" w:eastAsia="Arial" w:hAnsi="Arial"/>
                  <w:sz w:val="18"/>
                  <w:szCs w:val="18"/>
                  <w:color w:val="0000FF"/>
                  <w:w w:val="88"/>
                </w:rPr>
                <w:t>F-6</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4">
              <w:r>
                <w:rPr>
                  <w:rFonts w:ascii="Arial" w:cs="Arial" w:eastAsia="Arial" w:hAnsi="Arial"/>
                  <w:sz w:val="18"/>
                  <w:szCs w:val="18"/>
                  <w:u w:val="single" w:color="auto"/>
                  <w:color w:val="0000FF"/>
                </w:rPr>
                <w:t>Statements of Cash Flows</w:t>
              </w:r>
            </w:hyperlink>
          </w:p>
        </w:tc>
        <w:tc>
          <w:tcPr>
            <w:tcW w:w="40" w:type="dxa"/>
            <w:vAlign w:val="bottom"/>
          </w:tcPr>
          <w:p>
            <w:pPr>
              <w:spacing w:after="0"/>
              <w:rPr>
                <w:sz w:val="18"/>
                <w:szCs w:val="18"/>
                <w:color w:val="auto"/>
              </w:rPr>
            </w:pPr>
          </w:p>
        </w:tc>
        <w:tc>
          <w:tcPr>
            <w:tcW w:w="300" w:type="dxa"/>
            <w:vAlign w:val="bottom"/>
            <w:gridSpan w:val="2"/>
          </w:tcPr>
          <w:p>
            <w:pPr>
              <w:jc w:val="center"/>
              <w:ind w:right="60"/>
              <w:spacing w:after="0"/>
              <w:rPr>
                <w:rFonts w:ascii="Arial" w:cs="Arial" w:eastAsia="Arial" w:hAnsi="Arial"/>
                <w:sz w:val="18"/>
                <w:szCs w:val="18"/>
                <w:color w:val="0000FF"/>
                <w:w w:val="88"/>
              </w:rPr>
            </w:pPr>
            <w:hyperlink w:anchor="page194">
              <w:r>
                <w:rPr>
                  <w:rFonts w:ascii="Arial" w:cs="Arial" w:eastAsia="Arial" w:hAnsi="Arial"/>
                  <w:sz w:val="18"/>
                  <w:szCs w:val="18"/>
                  <w:color w:val="0000FF"/>
                  <w:w w:val="88"/>
                </w:rPr>
                <w:t>F-8</w:t>
              </w:r>
            </w:hyperlink>
          </w:p>
        </w:tc>
      </w:tr>
      <w:tr>
        <w:trPr>
          <w:trHeight w:val="20"/>
        </w:trPr>
        <w:tc>
          <w:tcPr>
            <w:tcW w:w="10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10760" w:type="dxa"/>
            <w:vAlign w:val="bottom"/>
          </w:tcPr>
          <w:p>
            <w:pPr>
              <w:spacing w:after="0"/>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Notes to Financial Statements</w:t>
              </w:r>
            </w:hyperlink>
          </w:p>
        </w:tc>
        <w:tc>
          <w:tcPr>
            <w:tcW w:w="34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196">
              <w:r>
                <w:rPr>
                  <w:rFonts w:ascii="Arial" w:cs="Arial" w:eastAsia="Arial" w:hAnsi="Arial"/>
                  <w:sz w:val="18"/>
                  <w:szCs w:val="18"/>
                  <w:color w:val="0000FF"/>
                  <w:w w:val="91"/>
                </w:rPr>
                <w:t>F-10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00"/>
          </w:cols>
          <w:pgMar w:left="340" w:top="121" w:right="459" w:bottom="1440" w:gutter="0" w:footer="0" w:header="0"/>
        </w:sectPr>
      </w:pPr>
    </w:p>
    <w:bookmarkStart w:id="188" w:name="page189"/>
    <w:bookmarkEnd w:id="188"/>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Seer,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audited the accompanying balance sheets of Seer, Inc. (the “Company”) as of December 31, 2018 and 2019, the related statements of operations and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2018 and 2019, and the results of its operations and its cash flows for each of the two years in the period ended December 31, 2019,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2020 (November 30, 2020 as to the effects of the reverse stock split as described in Note 2 and Note 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1440" w:right="37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ind w:left="1020"/>
              <w:spacing w:after="0"/>
              <w:rPr>
                <w:sz w:val="20"/>
                <w:szCs w:val="20"/>
                <w:color w:val="auto"/>
              </w:rPr>
            </w:pPr>
            <w:r>
              <w:rPr>
                <w:rFonts w:ascii="Arial" w:cs="Arial" w:eastAsia="Arial" w:hAnsi="Arial"/>
                <w:sz w:val="14"/>
                <w:szCs w:val="14"/>
                <w:b w:val="1"/>
                <w:bCs w:val="1"/>
                <w:color w:val="auto"/>
                <w:w w:val="94"/>
              </w:rPr>
              <w:t>(unaudited)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103,800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Other receivables, related parties</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Commitments (Note 10)</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91"/>
              </w:rPr>
              <w:t>Convertible preferred stock, $0.00001 par value; 10,994,238,</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22,173,245, and 29,026,827 shares authorized as of</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8"/>
              </w:rPr>
              <w:t>(unaudited), respectively; 10,994,225, 22,173,216,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0"/>
              </w:rPr>
              <w:t>29,026,787 shares issued and outstanding as of December</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3"/>
              </w:rPr>
              <w:t>respectively; aggregate liquidation preference of $36,000,</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7"/>
              </w:rPr>
              <w:t>$108,500, and $163,500 as of December 31, 2018 and</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2019, and September 30, 2020 (unaudited), respectively;</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w w:val="94"/>
              </w:rPr>
              <w:t>no shares issued and outstanding, pro forma (unaudited)</w:t>
            </w:r>
          </w:p>
        </w:tc>
        <w:tc>
          <w:tcPr>
            <w:tcW w:w="3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162,849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vMerge w:val="restart"/>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21"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Class A common stock, $0.00001 par value; 28,037,383,</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42,757,009, and 56,074,766 shares authorized as of</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5"/>
              </w:rPr>
              <w:t>December 31, 2018 and 2019, and September 30, 2020</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(unaudited), respectively; 2,858,902, 2,847,893, and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2"/>
              </w:rPr>
              <w:t>3,296,556 shares issued and outstanding as of December</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3"/>
              </w:rPr>
              <w:t>31, 2018 and 2019, and September 30, 2020 (unaudited),</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1"/>
              </w:rPr>
              <w:t>respectively; 32,323,343 shares issued and outstanding as</w:t>
            </w:r>
          </w:p>
        </w:tc>
        <w:tc>
          <w:tcPr>
            <w:tcW w:w="5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September 30, 2020, pro forma (unaudited)</w:t>
            </w:r>
          </w:p>
        </w:tc>
        <w:tc>
          <w:tcPr>
            <w:tcW w:w="5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40"/>
              <w:spacing w:after="0" w:line="176" w:lineRule="exact"/>
              <w:rPr>
                <w:sz w:val="20"/>
                <w:szCs w:val="20"/>
                <w:color w:val="auto"/>
              </w:rPr>
            </w:pPr>
            <w:r>
              <w:rPr>
                <w:rFonts w:ascii="Arial" w:cs="Arial" w:eastAsia="Arial" w:hAnsi="Arial"/>
                <w:sz w:val="18"/>
                <w:szCs w:val="18"/>
                <w:color w:val="auto"/>
                <w:w w:val="89"/>
              </w:rPr>
              <w:t>Class B common stock, $0.00001 par value; 9,345,794 shares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authorized as of December 31, 2018 and 2019,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September 30, 2020 (unaudited), respectively; 9,345,784</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94"/>
              </w:rPr>
              <w:t>shares issued and outstanding as of December 31, 2018</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rPr>
              <w:t>and 2019, and September 30, 2020 (unaudited),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400"/>
              <w:spacing w:after="0" w:line="176" w:lineRule="exact"/>
              <w:rPr>
                <w:sz w:val="20"/>
                <w:szCs w:val="20"/>
                <w:color w:val="auto"/>
              </w:rPr>
            </w:pPr>
            <w:r>
              <w:rPr>
                <w:rFonts w:ascii="Arial" w:cs="Arial" w:eastAsia="Arial" w:hAnsi="Arial"/>
                <w:sz w:val="18"/>
                <w:szCs w:val="18"/>
                <w:color w:val="auto"/>
                <w:w w:val="89"/>
              </w:rPr>
              <w:t>respectively; 9,345,784 shares issued and outstanding as of</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0"/>
              <w:spacing w:after="0"/>
              <w:rPr>
                <w:sz w:val="20"/>
                <w:szCs w:val="20"/>
                <w:color w:val="auto"/>
              </w:rPr>
            </w:pPr>
            <w:r>
              <w:rPr>
                <w:rFonts w:ascii="Arial" w:cs="Arial" w:eastAsia="Arial" w:hAnsi="Arial"/>
                <w:sz w:val="18"/>
                <w:szCs w:val="18"/>
                <w:color w:val="auto"/>
              </w:rPr>
              <w:t>September 30, 2020, pro forma (unaudited)</w:t>
            </w:r>
          </w:p>
        </w:tc>
        <w:tc>
          <w:tcPr>
            <w:tcW w:w="56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167,993</w:t>
            </w:r>
          </w:p>
        </w:tc>
        <w:tc>
          <w:tcPr>
            <w:tcW w:w="0" w:type="dxa"/>
            <w:vAlign w:val="bottom"/>
          </w:tcPr>
          <w:p>
            <w:pPr>
              <w:spacing w:after="0"/>
              <w:rPr>
                <w:sz w:val="1"/>
                <w:szCs w:val="1"/>
                <w:color w:val="auto"/>
              </w:rPr>
            </w:pPr>
          </w:p>
        </w:tc>
      </w:tr>
      <w:tr>
        <w:trPr>
          <w:trHeight w:val="243"/>
        </w:trPr>
        <w:tc>
          <w:tcPr>
            <w:tcW w:w="4700" w:type="dxa"/>
            <w:vAlign w:val="bottom"/>
          </w:tcPr>
          <w:p>
            <w:pPr>
              <w:ind w:left="240"/>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0" w:type="dxa"/>
            <w:vAlign w:val="bottom"/>
          </w:tcPr>
          <w:p>
            <w:pPr>
              <w:spacing w:after="0"/>
              <w:rPr>
                <w:sz w:val="1"/>
                <w:szCs w:val="1"/>
                <w:color w:val="auto"/>
              </w:rPr>
            </w:pPr>
          </w:p>
        </w:tc>
      </w:tr>
      <w:tr>
        <w:trPr>
          <w:trHeight w:val="263"/>
        </w:trPr>
        <w:tc>
          <w:tcPr>
            <w:tcW w:w="470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5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87,679</w:t>
            </w:r>
          </w:p>
        </w:tc>
        <w:tc>
          <w:tcPr>
            <w:tcW w:w="10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125,536</w:t>
            </w:r>
          </w:p>
        </w:tc>
        <w:tc>
          <w:tcPr>
            <w:tcW w:w="0" w:type="dxa"/>
            <w:vAlign w:val="bottom"/>
          </w:tcPr>
          <w:p>
            <w:pPr>
              <w:spacing w:after="0"/>
              <w:rPr>
                <w:sz w:val="1"/>
                <w:szCs w:val="1"/>
                <w:color w:val="auto"/>
              </w:rPr>
            </w:pPr>
          </w:p>
        </w:tc>
      </w:tr>
      <w:tr>
        <w:trPr>
          <w:trHeight w:val="45"/>
        </w:trPr>
        <w:tc>
          <w:tcPr>
            <w:tcW w:w="47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top w:val="single" w:sz="8" w:color="CCEEFF"/>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21"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Statements of Operations and Comprehensive Loss</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15"/>
          <w:szCs w:val="15"/>
          <w:b w:val="1"/>
          <w:bCs w:val="1"/>
          <w:i w:val="1"/>
          <w:iCs w:val="1"/>
          <w:color w:val="auto"/>
        </w:rPr>
        <w:t>(in thousands, except share and per share amounts)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63"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Pr>
          <w:p>
            <w:pPr>
              <w:ind w:left="240"/>
              <w:spacing w:after="0"/>
              <w:rPr>
                <w:sz w:val="20"/>
                <w:szCs w:val="20"/>
                <w:color w:val="auto"/>
              </w:rPr>
            </w:pPr>
            <w:r>
              <w:rPr>
                <w:rFonts w:ascii="Arial" w:cs="Arial" w:eastAsia="Arial" w:hAnsi="Arial"/>
                <w:sz w:val="18"/>
                <w:szCs w:val="18"/>
                <w:color w:val="auto"/>
              </w:rPr>
              <w:t>Research revenue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revenue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4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0"/>
        </w:trPr>
        <w:tc>
          <w:tcPr>
            <w:tcW w:w="47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w:t>
            </w: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on available-for-sale securities</w:t>
            </w:r>
          </w:p>
        </w:tc>
        <w:tc>
          <w:tcPr>
            <w:tcW w:w="4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(16,014)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4"/>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4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4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540" w:type="dxa"/>
            <w:vAlign w:val="bottom"/>
            <w:gridSpan w:val="2"/>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basic and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Pro forma net loss per common share, basic and diluted</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Pro forma weighted-average common shares used to compute</w:t>
            </w: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w w:val="99"/>
              </w:rPr>
              <w:t>basic and diluted net loss per common share (unaudited)</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21" w:right="339" w:bottom="1440" w:gutter="0" w:footer="0" w:header="0"/>
          <w:type w:val="continuous"/>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10,461,439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845,710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Issuance of restricted Class A common</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B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7,906,757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29,894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$106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(6,307)</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133,850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exercise of options</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restricted common stock</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stock, net of issuance costs of $153</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7,849,737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54,389</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net of issuance costs of $206</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5"/>
              </w:rPr>
              <w:t>Issuance of Series D convertible preferred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00"/>
              <w:spacing w:after="0" w:line="162" w:lineRule="exact"/>
              <w:rPr>
                <w:sz w:val="20"/>
                <w:szCs w:val="20"/>
                <w:color w:val="auto"/>
              </w:rPr>
            </w:pPr>
            <w:r>
              <w:rPr>
                <w:rFonts w:ascii="Arial" w:cs="Arial" w:eastAsia="Arial" w:hAnsi="Arial"/>
                <w:sz w:val="16"/>
                <w:szCs w:val="16"/>
                <w:color w:val="auto"/>
                <w:w w:val="93"/>
              </w:rPr>
              <w:t>stock upon extinguishment of convertible</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58,231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notes</w:t>
            </w: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2,288</w:t>
            </w:r>
          </w:p>
        </w:tc>
        <w:tc>
          <w:tcPr>
            <w:tcW w:w="8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(22,586)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0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0"/>
              </w:rPr>
              <w:t>Class A and Class B</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w w:val="99"/>
              </w:rPr>
              <w:t>Convertible Preferred Stock</w:t>
            </w:r>
          </w:p>
        </w:tc>
        <w:tc>
          <w:tcPr>
            <w:tcW w:w="80" w:type="dxa"/>
            <w:vAlign w:val="bottom"/>
          </w:tcPr>
          <w:p>
            <w:pPr>
              <w:spacing w:after="0"/>
              <w:rPr>
                <w:sz w:val="14"/>
                <w:szCs w:val="14"/>
                <w:color w:val="auto"/>
              </w:rPr>
            </w:pPr>
          </w:p>
        </w:tc>
        <w:tc>
          <w:tcPr>
            <w:tcW w:w="19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5"/>
              </w:rPr>
              <w:t>Paid in</w:t>
            </w:r>
          </w:p>
        </w:tc>
        <w:tc>
          <w:tcPr>
            <w:tcW w:w="10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10,994,225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35,812</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12,204,686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29,975</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126,560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(144,859)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Issuance of Series C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stock, net of issuance costs of $153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3,271,023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0"/>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(10,892)</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(10,892)</w:t>
            </w:r>
          </w:p>
        </w:tc>
        <w:tc>
          <w:tcPr>
            <w:tcW w:w="0" w:type="dxa"/>
            <w:vAlign w:val="bottom"/>
          </w:tcPr>
          <w:p>
            <w:pPr>
              <w:spacing w:after="0"/>
              <w:rPr>
                <w:sz w:val="1"/>
                <w:szCs w:val="1"/>
                <w:color w:val="auto"/>
              </w:rPr>
            </w:pPr>
          </w:p>
        </w:tc>
      </w:tr>
      <w:tr>
        <w:trPr>
          <w:trHeight w:val="25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Balance at September 30, 2019 (unaudited)</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14,265,248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53,159</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12,186,387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37,617</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22,173,216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107,953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12,193,677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87,679</w:t>
            </w: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Issuance of Class A common stock from</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663,908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exercise of options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Class A common stock</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(215,245)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w w:val="91"/>
              </w:rPr>
              <w:t>Vesting of early exercised stock options and</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9"/>
        </w:trPr>
        <w:tc>
          <w:tcPr>
            <w:tcW w:w="3020" w:type="dxa"/>
            <w:vAlign w:val="bottom"/>
          </w:tcPr>
          <w:p>
            <w:pPr>
              <w:ind w:left="300"/>
              <w:spacing w:after="0"/>
              <w:rPr>
                <w:sz w:val="20"/>
                <w:szCs w:val="20"/>
                <w:color w:val="auto"/>
              </w:rPr>
            </w:pPr>
            <w:r>
              <w:rPr>
                <w:rFonts w:ascii="Arial" w:cs="Arial" w:eastAsia="Arial" w:hAnsi="Arial"/>
                <w:sz w:val="16"/>
                <w:szCs w:val="16"/>
                <w:color w:val="auto"/>
              </w:rPr>
              <w:t>restricted common stock (unaudited)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1"/>
              </w:rPr>
              <w:t>Issuance of Series D-1 convertible preferred</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300"/>
              <w:spacing w:after="0" w:line="162" w:lineRule="exact"/>
              <w:rPr>
                <w:sz w:val="20"/>
                <w:szCs w:val="20"/>
                <w:color w:val="auto"/>
              </w:rPr>
            </w:pPr>
            <w:r>
              <w:rPr>
                <w:rFonts w:ascii="Arial" w:cs="Arial" w:eastAsia="Arial" w:hAnsi="Arial"/>
                <w:sz w:val="16"/>
                <w:szCs w:val="16"/>
                <w:color w:val="auto"/>
              </w:rPr>
              <w:t>stock, net of issuance costs of $104</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6,853,571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54,896</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(unaudited)</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140"/>
              <w:spacing w:after="0" w:line="166" w:lineRule="exact"/>
              <w:rPr>
                <w:sz w:val="20"/>
                <w:szCs w:val="20"/>
                <w:color w:val="auto"/>
              </w:rPr>
            </w:pPr>
            <w:r>
              <w:rPr>
                <w:rFonts w:ascii="Arial" w:cs="Arial" w:eastAsia="Arial" w:hAnsi="Arial"/>
                <w:sz w:val="16"/>
                <w:szCs w:val="16"/>
                <w:color w:val="auto"/>
              </w:rPr>
              <w:t>Distribution of PrognomIQ shares</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3020" w:type="dxa"/>
            <w:vAlign w:val="bottom"/>
          </w:tcPr>
          <w:p>
            <w:pPr>
              <w:ind w:left="140"/>
              <w:spacing w:after="0"/>
              <w:rPr>
                <w:sz w:val="20"/>
                <w:szCs w:val="20"/>
                <w:color w:val="auto"/>
              </w:rPr>
            </w:pPr>
            <w:r>
              <w:rPr>
                <w:rFonts w:ascii="Arial" w:cs="Arial" w:eastAsia="Arial" w:hAnsi="Arial"/>
                <w:sz w:val="16"/>
                <w:szCs w:val="16"/>
                <w:color w:val="auto"/>
              </w:rPr>
              <w:t>(unaudited)</w:t>
            </w: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(unaudited)</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0" w:type="dxa"/>
            <w:vAlign w:val="bottom"/>
          </w:tcPr>
          <w:p>
            <w:pPr>
              <w:spacing w:after="0"/>
              <w:rPr>
                <w:sz w:val="1"/>
                <w:szCs w:val="1"/>
                <w:color w:val="auto"/>
              </w:rPr>
            </w:pPr>
          </w:p>
        </w:tc>
      </w:tr>
      <w:tr>
        <w:trPr>
          <w:trHeight w:val="240"/>
        </w:trPr>
        <w:tc>
          <w:tcPr>
            <w:tcW w:w="3020" w:type="dxa"/>
            <w:vAlign w:val="bottom"/>
          </w:tcPr>
          <w:p>
            <w:pPr>
              <w:ind w:left="140"/>
              <w:spacing w:after="0"/>
              <w:rPr>
                <w:sz w:val="20"/>
                <w:szCs w:val="20"/>
                <w:color w:val="auto"/>
              </w:rPr>
            </w:pPr>
            <w:r>
              <w:rPr>
                <w:rFonts w:ascii="Arial" w:cs="Arial" w:eastAsia="Arial" w:hAnsi="Arial"/>
                <w:sz w:val="16"/>
                <w:szCs w:val="16"/>
                <w:color w:val="auto"/>
                <w:w w:val="97"/>
              </w:rPr>
              <w:t>Other comprehensive income (unaudited)</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(unaudited)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(19,839)</w:t>
            </w: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Arial" w:cs="Arial" w:eastAsia="Arial" w:hAnsi="Arial"/>
                <w:sz w:val="16"/>
                <w:szCs w:val="16"/>
                <w:color w:val="auto"/>
                <w:w w:val="95"/>
              </w:rPr>
              <w:t>Balance at September 30, 2020 (unaudited)</w:t>
            </w:r>
          </w:p>
        </w:tc>
        <w:tc>
          <w:tcPr>
            <w:tcW w:w="960" w:type="dxa"/>
            <w:vAlign w:val="bottom"/>
          </w:tcPr>
          <w:p>
            <w:pPr>
              <w:jc w:val="right"/>
              <w:spacing w:after="0"/>
              <w:rPr>
                <w:sz w:val="20"/>
                <w:szCs w:val="20"/>
                <w:color w:val="auto"/>
              </w:rPr>
            </w:pPr>
            <w:r>
              <w:rPr>
                <w:rFonts w:ascii="Arial" w:cs="Arial" w:eastAsia="Arial" w:hAnsi="Arial"/>
                <w:sz w:val="16"/>
                <w:szCs w:val="16"/>
                <w:color w:val="auto"/>
              </w:rPr>
              <w:t>29,026,787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162,849</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12,642,340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4,969</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(42,425)</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125,536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21" w:right="339" w:bottom="144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Statements of Cash Flows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32385</wp:posOffset>
            </wp:positionV>
            <wp:extent cx="2040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39370</wp:posOffset>
            </wp:positionV>
            <wp:extent cx="20485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5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(10,892)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(19,839)</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Net amortization of premium (accretion of discount) on available-for-sale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securities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90"/>
        </w:trPr>
        <w:tc>
          <w:tcPr>
            <w:tcW w:w="4700" w:type="dxa"/>
            <w:vAlign w:val="bottom"/>
          </w:tcPr>
          <w:p>
            <w:pPr>
              <w:ind w:left="240"/>
              <w:spacing w:after="0"/>
              <w:rPr>
                <w:sz w:val="20"/>
                <w:szCs w:val="20"/>
                <w:color w:val="auto"/>
              </w:rPr>
            </w:pPr>
            <w:r>
              <w:rPr>
                <w:rFonts w:ascii="Arial" w:cs="Arial" w:eastAsia="Arial" w:hAnsi="Arial"/>
                <w:sz w:val="14"/>
                <w:szCs w:val="14"/>
                <w:color w:val="auto"/>
              </w:rPr>
              <w:t>Non-cash interest expense and other adjustments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Other receivables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Other assets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Deferred revenue</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Deferred rent</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90"/>
        </w:trPr>
        <w:tc>
          <w:tcPr>
            <w:tcW w:w="4700" w:type="dxa"/>
            <w:vAlign w:val="bottom"/>
          </w:tcPr>
          <w:p>
            <w:pPr>
              <w:ind w:left="460"/>
              <w:spacing w:after="0"/>
              <w:rPr>
                <w:sz w:val="20"/>
                <w:szCs w:val="20"/>
                <w:color w:val="auto"/>
              </w:rPr>
            </w:pPr>
            <w:r>
              <w:rPr>
                <w:rFonts w:ascii="Arial" w:cs="Arial" w:eastAsia="Arial" w:hAnsi="Arial"/>
                <w:sz w:val="14"/>
                <w:szCs w:val="14"/>
                <w:color w:val="auto"/>
              </w:rPr>
              <w:t>Accrued expenses</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Other noncurrent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4"/>
        </w:trPr>
        <w:tc>
          <w:tcPr>
            <w:tcW w:w="4700" w:type="dxa"/>
            <w:vAlign w:val="bottom"/>
          </w:tcPr>
          <w:p>
            <w:pPr>
              <w:ind w:left="680"/>
              <w:spacing w:after="0"/>
              <w:rPr>
                <w:sz w:val="20"/>
                <w:szCs w:val="20"/>
                <w:color w:val="auto"/>
              </w:rPr>
            </w:pPr>
            <w:r>
              <w:rPr>
                <w:rFonts w:ascii="Arial" w:cs="Arial" w:eastAsia="Arial" w:hAnsi="Arial"/>
                <w:sz w:val="14"/>
                <w:szCs w:val="14"/>
                <w:color w:val="auto"/>
              </w:rPr>
              <w:t>Net cash used in operating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(4,651)</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(13,073)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(15,343)</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available-for-sale securities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(92,002)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(42,265)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(75,624)</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23,750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17,500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40,250</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equity method investee</w:t>
            </w:r>
          </w:p>
        </w:tc>
        <w:tc>
          <w:tcPr>
            <w:tcW w:w="6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4"/>
        </w:trPr>
        <w:tc>
          <w:tcPr>
            <w:tcW w:w="4700" w:type="dxa"/>
            <w:vAlign w:val="bottom"/>
          </w:tcPr>
          <w:p>
            <w:pPr>
              <w:ind w:left="680"/>
              <w:spacing w:after="0"/>
              <w:rPr>
                <w:sz w:val="20"/>
                <w:szCs w:val="20"/>
                <w:color w:val="auto"/>
              </w:rPr>
            </w:pPr>
            <w:r>
              <w:rPr>
                <w:rFonts w:ascii="Arial" w:cs="Arial" w:eastAsia="Arial" w:hAnsi="Arial"/>
                <w:sz w:val="14"/>
                <w:szCs w:val="14"/>
                <w:color w:val="auto"/>
              </w:rPr>
              <w:t>Net cash used in investing activities</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(72,383)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(28,550)</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(39,831)</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issuance of restricted stock</w:t>
            </w:r>
          </w:p>
        </w:tc>
        <w:tc>
          <w:tcPr>
            <w:tcW w:w="6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of Class A common stock</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5"/>
        </w:trPr>
        <w:tc>
          <w:tcPr>
            <w:tcW w:w="4700" w:type="dxa"/>
            <w:vAlign w:val="bottom"/>
          </w:tcPr>
          <w:p>
            <w:pPr>
              <w:ind w:left="20"/>
              <w:spacing w:after="0" w:line="135" w:lineRule="exact"/>
              <w:rPr>
                <w:sz w:val="20"/>
                <w:szCs w:val="20"/>
                <w:color w:val="auto"/>
              </w:rPr>
            </w:pPr>
            <w:r>
              <w:rPr>
                <w:rFonts w:ascii="Arial" w:cs="Arial" w:eastAsia="Arial" w:hAnsi="Arial"/>
                <w:sz w:val="14"/>
                <w:szCs w:val="14"/>
                <w:color w:val="auto"/>
              </w:rPr>
              <w:t>Proceeds from exercise of Class A common stock options including early</w:t>
            </w:r>
          </w:p>
        </w:tc>
        <w:tc>
          <w:tcPr>
            <w:tcW w:w="6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6"/>
        </w:trPr>
        <w:tc>
          <w:tcPr>
            <w:tcW w:w="4700" w:type="dxa"/>
            <w:vAlign w:val="bottom"/>
          </w:tcPr>
          <w:p>
            <w:pPr>
              <w:ind w:left="180"/>
              <w:spacing w:after="0"/>
              <w:rPr>
                <w:sz w:val="20"/>
                <w:szCs w:val="20"/>
                <w:color w:val="auto"/>
              </w:rPr>
            </w:pPr>
            <w:r>
              <w:rPr>
                <w:rFonts w:ascii="Arial" w:cs="Arial" w:eastAsia="Arial" w:hAnsi="Arial"/>
                <w:sz w:val="14"/>
                <w:szCs w:val="14"/>
                <w:color w:val="auto"/>
              </w:rPr>
              <w:t>exercised options</w:t>
            </w:r>
          </w:p>
        </w:tc>
        <w:tc>
          <w:tcPr>
            <w:tcW w:w="6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Proceeds from issuance of Series B convertible preferred stock, net of issuance</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29,894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w w:val="94"/>
              </w:rPr>
              <w:t>Proceeds from issuance of Series C convertible preferred stock, net of issuance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17,347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Proceeds from issuance of Series D convertible preferred stock, net of issuance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6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54,584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4700" w:type="dxa"/>
            <w:vAlign w:val="bottom"/>
          </w:tcPr>
          <w:p>
            <w:pPr>
              <w:ind w:left="20"/>
              <w:spacing w:after="0"/>
              <w:rPr>
                <w:sz w:val="20"/>
                <w:szCs w:val="20"/>
                <w:color w:val="auto"/>
              </w:rPr>
            </w:pPr>
            <w:r>
              <w:rPr>
                <w:rFonts w:ascii="Arial" w:cs="Arial" w:eastAsia="Arial" w:hAnsi="Arial"/>
                <w:sz w:val="14"/>
                <w:szCs w:val="14"/>
                <w:color w:val="auto"/>
              </w:rPr>
              <w:t>Proceeds from issuance of Series D-1 convertible preferred stock, net of</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180"/>
              <w:spacing w:after="0"/>
              <w:rPr>
                <w:sz w:val="20"/>
                <w:szCs w:val="20"/>
                <w:color w:val="auto"/>
              </w:rPr>
            </w:pPr>
            <w:r>
              <w:rPr>
                <w:rFonts w:ascii="Arial" w:cs="Arial" w:eastAsia="Arial" w:hAnsi="Arial"/>
                <w:sz w:val="14"/>
                <w:szCs w:val="14"/>
                <w:color w:val="auto"/>
              </w:rPr>
              <w:t>issuance costs</w:t>
            </w:r>
          </w:p>
        </w:tc>
        <w:tc>
          <w:tcPr>
            <w:tcW w:w="6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54,896</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issuance of convertible notes</w:t>
            </w: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Payments of deferred offering costs</w:t>
            </w:r>
          </w:p>
        </w:tc>
        <w:tc>
          <w:tcPr>
            <w:tcW w:w="6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
        </w:trPr>
        <w:tc>
          <w:tcPr>
            <w:tcW w:w="4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29,945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72,331</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55,395</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25,126</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(13,125)</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(20,453)</w:t>
            </w: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30,953</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17,828</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10,500</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18,049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7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21" w:right="339" w:bottom="1440"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DISCLOSURE OF NON-CASH INVESTING AND</w:t>
      </w:r>
    </w:p>
    <w:tbl>
      <w:tblPr>
        <w:tblLayout w:type="fixed"/>
        <w:tblInd w:w="0" w:type="dxa"/>
        <w:tblCellMar>
          <w:top w:w="0" w:type="dxa"/>
          <w:left w:w="0" w:type="dxa"/>
          <w:bottom w:w="0" w:type="dxa"/>
          <w:right w:w="0" w:type="dxa"/>
        </w:tblCellMar>
      </w:tblPr>
      <w:tr>
        <w:trPr>
          <w:trHeight w:val="182"/>
        </w:trPr>
        <w:tc>
          <w:tcPr>
            <w:tcW w:w="4700" w:type="dxa"/>
            <w:vAlign w:val="bottom"/>
          </w:tcPr>
          <w:p>
            <w:pPr>
              <w:ind w:left="180"/>
              <w:spacing w:after="0"/>
              <w:rPr>
                <w:sz w:val="20"/>
                <w:szCs w:val="20"/>
                <w:color w:val="auto"/>
              </w:rPr>
            </w:pPr>
            <w:r>
              <w:rPr>
                <w:rFonts w:ascii="Arial" w:cs="Arial" w:eastAsia="Arial" w:hAnsi="Arial"/>
                <w:sz w:val="14"/>
                <w:szCs w:val="14"/>
                <w:b w:val="1"/>
                <w:bCs w:val="1"/>
                <w:color w:val="auto"/>
              </w:rPr>
              <w:t>FINANCING ACTIVITIES</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accounts payable</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Property and equipment purchases included in accrued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Series D convertible preferred stock upon extinguishment of</w:t>
            </w:r>
          </w:p>
        </w:tc>
        <w:tc>
          <w:tcPr>
            <w:tcW w:w="64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1"/>
                <w:szCs w:val="11"/>
                <w:color w:val="auto"/>
              </w:rPr>
            </w:pPr>
          </w:p>
        </w:tc>
        <w:tc>
          <w:tcPr>
            <w:tcW w:w="62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convertible notes</w:t>
            </w: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Convertible preferred stock issuance costs included in accrued expenses</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Tenant improvements paid by landlord</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tcPr>
          <w:p>
            <w:pPr>
              <w:ind w:left="20"/>
              <w:spacing w:after="0"/>
              <w:rPr>
                <w:sz w:val="20"/>
                <w:szCs w:val="20"/>
                <w:color w:val="auto"/>
              </w:rPr>
            </w:pPr>
            <w:r>
              <w:rPr>
                <w:rFonts w:ascii="Arial" w:cs="Arial" w:eastAsia="Arial" w:hAnsi="Arial"/>
                <w:sz w:val="14"/>
                <w:szCs w:val="14"/>
                <w:color w:val="auto"/>
              </w:rPr>
              <w:t>Deferred offering costs in accounts payable</w:t>
            </w: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in accrued expenses</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21" w:right="339" w:bottom="1440"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Seer, Inc. (the Company) was incorporated in Delaware on March 16, 2017, and is based in Redwood City, California. The Company is a life sciences company focused on capturing deep molecular insights from the proteome to enable novel insights and breakthroughs in the understanding of biology and disease. Since inception, the Company has devoted its efforts principally to research and development of its technology and product candidates, recruiting management and technical staff, acquiring operating assets, and raising capital.</w:t>
      </w:r>
    </w:p>
    <w:p>
      <w:pPr>
        <w:spacing w:after="0" w:line="13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raising additional capital, development and commercialization of its products, development by its competitors of new technological innovations, protection of its intellectual property, and market acceptance of its products.</w:t>
      </w:r>
    </w:p>
    <w:p>
      <w:pPr>
        <w:spacing w:after="0" w:line="13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accompanying financial statements have been prepared assuming the Company will continue as a going concern, which contemplates the realization of assets and liabilities and commitments in the normal course of business. In the course of its development activities, the Company has incurred significant losses since inception, including a net loss of approximately $6.3 million and $16.0 million for the years ended December 31, 2018 and 2019, respectively, and a net loss of approximately $10.9 million and $19.8 million during the nine months ended September 30, 2019 and 2020 (unaudited), respectively, and expects net losses to continue for the foreseeable future. As of December 31, 2018 and 2019, and September 30, 2020 (unaudited), the Company’s accumulated deficit was approximately $6.5 million, $22.6 million, and $42.4 millions, respectively. To date, the Company has funded its operations primarily through issuances of convertible preferred stock. Management believes that currently available resources will provide sufficient funds to enable the Company to meet its obligations for at least one year past the issuance date of these financial statements. Future capital requirements will depend on many factors, including the timing and extent of spending on research and development and the market acceptance of the Company’s products.</w:t>
      </w:r>
    </w:p>
    <w:p>
      <w:pPr>
        <w:spacing w:after="0" w:line="11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Company’s ability to fund its operations will require additional capital to be raised, which may be through a combination of public equity or private offerings, debt financings, collaborations, strategic alliances, licensing arrangements, and other marketing distribution arrangements.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 and on the Company’s future financial results, financial position, and cash flows.</w:t>
      </w:r>
    </w:p>
    <w:p>
      <w:pPr>
        <w:spacing w:after="0" w:line="134"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BASIS OF PRESENTATION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121" w:right="35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but not limited to, those related to the fair value of common stock, stock-based compensation, accrued research and development expenses, useful lives and valuation of property and equipment, income tax uncertainties, and tax valuation allowances.</w:t>
      </w:r>
    </w:p>
    <w:p>
      <w:pPr>
        <w:spacing w:after="0" w:line="13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Balance Sheet</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unaudited pro forma balance sheet information as of September 30, 2020, assumes all shares of convertible preferred stock had automatically converted into an aggregate of 29,026,787 shares of the Company’s Class A common stock upon the completion of a qualifying initial public offering (IPO). The unaudited pro forma balance sheet does not include the shares of Class A common stock expected to be sold in, and the related proceeds to be received from, the IPO.</w:t>
      </w:r>
    </w:p>
    <w:p>
      <w:pPr>
        <w:spacing w:after="0" w:line="133"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granted certain employees RSUs, which vest upon satisfaction of both a service condition and a performance condition that is satisfied upon the closing of the IPO. Assuming the IPO occurred on September 30, 2020, the unaudited pro forma balance sheet assumes the recognition of stock-based compensation of $0.2 million associated with such RSUs as an increase to additional paid-in capital and accumulated deficit. No RSUs have been included in the unaudited pro forma balance sheet disclosure of shares outstanding as the awards do not begin vesting until the closing of the IPO.</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Unaudited Pro Forma Net Loss Per Share</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Pro forma basic and diluted net loss per common share has been computed to give effect to the conversion of all outstanding convertible preferred stock into shares of Class A common stock as if the conversion had occurred on the later of the beginning of the period or the issuance date of the convertible preferred stock. The unaudited pro forma net loss per common share does not include the shares of Class A common stock expected to be sold in, and related proceeds to be received from, the IPO.</w:t>
      </w:r>
    </w:p>
    <w:p>
      <w:pPr>
        <w:spacing w:after="0" w:line="13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numerator in the pro forma basic and diluted net loss per common share calculation has not been adjusted for stock-based compensation associated with the RSUs, which would have been $0.2 million had the IPO occurred on September 30, 2020. There is no adjustment to the denominator for the RSUs as no awards would have vested as of September 30, 2020 had the IPO occurred on the later of the beginning of the period or the issuance date of the RSUs.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accompanying interim balance sheet as of September 30, 2020, the interim statements of operations and comprehensive loss, statements of changes in stockholders’ equity and statements of cash flows for the nine months ended September 30, 2019 and 2020 and the related footnote disclosures are unaudited. The unaudited interim financial statements have been prepared on the same basis as the annual financial statements and include, in the opinion of management, all adjustments, consisting of normal recurring adjustments, that are necessary for the fair presentation of the Company’s financial position as of September 30, 2020 and results of operations and cash flows for the nine months ended September 30, 2019 and 2020. The results as of and for the nine months ended September 30, 2020 are not necessarily indicative of the results to be expected for the year ending December 31, 2020 or any other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21" w:right="3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and available-for-sale securities. The Company maintains bank deposits in federally insured financial institutions, and these deposits may exceed federally insured limits. The Company is exposed to credit risk in the event of default by the financial institutions holding its cash and cash equivalents and issuers of investments to the extent recorded in the balance sheets.</w:t>
      </w:r>
    </w:p>
    <w:p>
      <w:pPr>
        <w:spacing w:after="0" w:line="13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Company is subject to a number of risks similar to other early-stage life science companies, including, but not limited to, the need to obtain adequate additional funding, its reliance on third parties to obtain its clinical samples, competitors developing new technological innovations, the need to successfully commercialize and gain market acceptance of the Company’s products, protection of its proprietary technology, and the need to secure and maintain adequate manufacturing arrangements with third parties. If the Company does not successfully commercialize or partner any of its products, it will be unable to generate product revenue or achieve profitability.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have been similarly impacted by COVID-19, which may limit the Company’s ability to achieve its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23"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The Company continues to monitor and assess the effects of the COVID-19 pandemic on its business, financial condition, results of operations and cash flows.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consolidates those entities in which it has direct, or indirect controlling financial interest based on either the Variable Interest Entity (VIE) model or the Voting Interest Entity (VOE) model.</w:t>
      </w:r>
    </w:p>
    <w:p>
      <w:pPr>
        <w:spacing w:after="0" w:line="116"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VIEs are primarily entities that, by design, either lack sufficient equity-at-risk to finance their activities without additional subordinated financial support from other parties or whose equity-at-risk holders, as a group, lack one or more of the following characteristics: (i) direct or indirect ability to make decisions (ii) obligation to absorb expected losses or (iii) right to receive expected residual returns. VIEs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of a VIE is required to consolidate the assets and liabilities of the VIE. To determine a VIE’s primary beneficiary, the Company performs a qualitative assessment to determine which party, if any, has the power to direct activities of the VIE and the obligation to absorb its losses or receive its benefits. This assessment involves identifying the activities that most significantly impact the VIE’s economic performance and determining whether the Company, or another party, have the power to direct those activities.</w:t>
      </w:r>
    </w:p>
    <w:p>
      <w:pPr>
        <w:spacing w:after="0" w:line="112"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To assess whether the Company has the power to direct the activities of a VIE that most significantly impact the VIE’s economic performance, the Company considers all the facts and circumstances, including its role in establishing the VIE and its ongoing rights and responsibilities. In general, the parties that make the most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21" w:right="33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decisions affecting the VIE (management and representation on the board of directors) and have the right to unilaterally remove those decision-makers are deemed to have the power to direct the activities of a VIE.</w:t>
      </w:r>
    </w:p>
    <w:p>
      <w:pPr>
        <w:spacing w:after="0" w:line="11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assess whether the Company has the obligation to absorb losses of the VIE or the right to receive benefits from the VIE that could potentially be significant to the VIE, the Company considers all of its economic interests, which typically include equity investments in preferred and common stock that are deemed to be variable interests in the VIE. This assessment requires the Company to apply judgment in determining whether these interests, in the aggregate, are considered potentially significant to the VIE. Factors considered in assessing the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8"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At the VIE’s inception, the Company determines whether it is the primary beneficiary and if the VIE should be consolidated based on the facts and circumstances. The Company then performs on-going reassessments of the VIE based on reconsideration events and reevaluates whether a change to the consolidation conclusion is required at each reporting period.</w:t>
      </w:r>
    </w:p>
    <w:p>
      <w:pPr>
        <w:spacing w:after="0" w:line="130"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Entities that do not qualify as a VIE are assessed for consolidation under the VOE model. Under the VOE model, the Company consolidates the entity if it determines that it, directly or indirectly, has greater than 50% of the voting shares and that other equity holders do not have substantive voting, participating or liquidation rights.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utilizes the equity method to account for investments when it possesses the ability to exercise significant influence, but not control, over the operating and financial decisions of the investee.</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applying the equity method, the Company records the investment at cost and subsequently increases or decreases the carrying amount of the investment by its proportionate share of the net earnings or losses and other comprehensive income of the investee based on its percentage of common stock ownership during the respective reporting period. Payments to investees such as additional investments and payments from investees such as dividends are recorded as adjustments to the carrying value of the investment. In the event that net losses of the investee reduce the carrying amount to zero, no additional net losses are recorded unless the Company makes additional investment in the investee, has guaranteed obligations of the investee, or is otherwise committed to provide further financial support for the investee.</w:t>
      </w:r>
    </w:p>
    <w:p>
      <w:pPr>
        <w:spacing w:after="0" w:line="138" w:lineRule="exact"/>
        <w:rPr>
          <w:sz w:val="20"/>
          <w:szCs w:val="20"/>
          <w:color w:val="auto"/>
        </w:rPr>
      </w:pPr>
    </w:p>
    <w:p>
      <w:pPr>
        <w:ind w:left="340" w:right="360"/>
        <w:spacing w:after="0" w:line="438" w:lineRule="auto"/>
        <w:rPr>
          <w:sz w:val="20"/>
          <w:szCs w:val="20"/>
          <w:color w:val="auto"/>
        </w:rPr>
      </w:pPr>
      <w:r>
        <w:rPr>
          <w:rFonts w:ascii="Arial" w:cs="Arial" w:eastAsia="Arial" w:hAnsi="Arial"/>
          <w:sz w:val="18"/>
          <w:szCs w:val="18"/>
          <w:color w:val="auto"/>
        </w:rPr>
        <w:t xml:space="preserve">As of September 30, 2020 (unaudited), the Company has an equity method investment in PrognomIQ. Refer to Note 11 for additional information.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purchase to be cash equivalents. As of December 31, 2018, 2019 and September 30, 2020 (unaudited), all amounts recorded as cash and cash equivalents consist of money market funds and are stated at fair value.</w:t>
      </w:r>
    </w:p>
    <w:p>
      <w:pPr>
        <w:spacing w:after="0" w:line="130"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Restricted cash as of December 31, 2019 and September 30, 2020 (unaudited) represents cash held by a financial institution as security for a letter of credit issued to the lessor for one of the Company’s operating leases and is classified as non-current based on the term of the underlying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21"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amounts shown in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Company operates as a single operating segment. The Company’s chief operating decision maker, its Chief Executive Officer, manages the Company’s operations on a consolidated basis for the purposes of allocating resources, making operating decisions and evaluating financial performance.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has designated all investments, which includes U.S. Treasury securities, as available-for-sale, and therefore, such investments are reported at fair value, with unrealized gains and losses excluded from earnings and reported as a component of other comprehensive loss. The cost of available-for-sale securities is adjusted for the amortization of premiums and accretion of discounts to expected maturity. Such amortization and accretion are included in other income (expense) on the statements of operations and comprehensive loss. Realized gains and losses and interest income on available-for-sale securities are also included in other income (expense). The cost of securities sold is based on the specific identification method. The Company includes all of its available-for-sale securities in current assets. The Company determines the appropriate classification of its investments in debt securities at the time of purchase and reevaluates such designation at each balance sheet date. Available-for-sale securities with original maturities beyond three months at the date of purchase are classified as current based on their availability for use in current operations.</w:t>
      </w:r>
    </w:p>
    <w:p>
      <w:pPr>
        <w:spacing w:after="0" w:line="11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All of the Company’s investments are subject to a periodic impairment review. The Company recognizes an impairment charge when a decline in the fair value of its investments below the cost basis is judged to be other than temporary. Factors considered in determining whether a loss is temporary include the length of time and extent to which an investment’s fair value has been less than its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During the years ended December 31, 2018 and 2019 the Company did not recognize any impairment charges on its investments.</w:t>
      </w:r>
    </w:p>
    <w:p>
      <w:pPr>
        <w:spacing w:after="0" w:line="124"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Effective January 1, 2020, any unrealized losses on available-for-sale debt securities that are attributed to credit risk are recorded to the statements of operations and comprehensive loss through an allowance for credit losses. During the nine months ended September 30, 2020 (unaudited), the Company did not recognize any such impairment charges on its investments.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Property and equipment are recorded at cost, net of accumulated depreciation and amortization. Depreciation is recorded using the straight-line method over the estimated useful lives of the assets, generally three to five years. When assets are retired or otherwise disposed of, the cost and related accumulated depreciation and amortization are removed from the balance sheet and any resulting gain or loss is included as a part of income (loss) from operations within the statements of operations and comprehensive loss. Leasehold improvements are capitalized and amortized over the shorter of the lease term or the estimated useful life of the related asset. Major replacements and improvements are capitalized, while general repairs and maintenance are expensed as incurred. Construction-in-process assets consist primarily of tools and equipment that have not yet been placed in service. These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21" w:right="339" w:bottom="144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stated at cost and are not depreciated. Once the assets are placed into service, assets are reclassified to the appropriate asset class on their nature and depreciated in accordance with the useful lives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Company evaluates the carrying amount of its long-lived assets whenever events or changes in circumstances indicate that the assets may not be recoverable. If indicators of impairment exist and the undiscounted future net cash flows expected to be generated by such assets are less than the carrying amount of the asset, an impairment loss is recorded to write the asset down to its estimated fair value based on a discounted future cash flow approach or quoted market values. There have been no such impairment losses for the periods presented.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enter into lease agreements that are classified as either operating or capital leases. The Company enters into lease agreements for its administrative and laboratory facilities, which are classified as operating leases. When lease agreements include rent abatement and rent escalation clauses, the Company records a deferred rent liability. The Company records rent expense on a straight-line basis over the term of the lease from the date that it obtains the legal right to use and control the leased space and records the difference between cash rent payments and the recognition of rent expense as a deferred rent liability.</w:t>
      </w:r>
    </w:p>
    <w:p>
      <w:pPr>
        <w:spacing w:after="0" w:line="13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Lease agreements may also include tenant improvement allowances from landlords. The Company recognizes these allowances as a leasehold incentive obligation included in deferred rent on the balance sheets and amortizes it on a straight-line basis over the life of the lease. Building improvements made with lease incentives or tenant allowances are capitalized as leasehold improvements and included in property and equipment on the balance sheets.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Revenue</w:t>
      </w:r>
    </w:p>
    <w:p>
      <w:pPr>
        <w:spacing w:after="0" w:line="17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recognizes revenue when control of the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w:t>
      </w:r>
    </w:p>
    <w:p>
      <w:pPr>
        <w:spacing w:after="0" w:line="12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recognizes revenue for research and development services contracts when control is transferred, which is upon completion of the services and when results of the services have been transferred to the customer. Upfront payments and fees received are recorded as deferred revenue until the Company performs its obligations under its arrangements. Amounts payable to the Company are recorded as other receivables when its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 Revenue</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21" w:right="339"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Research and development costs, which includes cost associated with performing services under research and development service contracts and research and development of the Company’s technology and product candidates, are expensed as incurred. Research and development expenses primarily consist of employee compensation, including stock-based compensation, and related benefits, laboratory supplies, consulting costs, costs related to clinical studies for the collection of biological samples for research use and allocated costs, including rent, depreciation, information technology, and utilities.</w:t>
      </w:r>
    </w:p>
    <w:p>
      <w:pPr>
        <w:spacing w:after="0" w:line="1"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Advance payments for goods or services for future research and development activities are deferred as prepaid expenses and expensed as the goods are delivered or the related services are performed. Subsequent to the issuance of the December 31, 2019 financial statements, the Company identified $0.3 million and $0.5 million of legal expenses incurred during the years ended December 31, 2018 and 2019, respectively, associated with patents were classified as research and development expenses rather than general and administrative expenses. These classifications have been corrected in the accompanying statements of operations and comprehensive loss and management has concluded that this correction is not material.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Goods or services for research and development activities that have not yet been invoiced are recorded as liabilities within accrued research and development on the balance sheets. The Company estimates clinical discovery studies expenses based on the services performed related to clinical studies for the collection of biological samples for research use. In accruing service fees, the Company estimates the period over which services will be performed and the level of effort to be expended in each period. These estimates are based on communications with the service provider and the Company’s estimates of services performed based on information available at each balance sheet date determined through analysis with internal personnel and external service providers as to the progress or stage of completion of the associated services. Although the Company does not expect its estimates to be materially different from amounts actually incurred, the Company’s estimate of the status and timing of services performed relative to the actual status and timing of services performed may vary. Through December 31, 2019 and September 30, 2020 (unaudited), there have been no material differences from the Company’s estimated accrued research and development expenses to actual expenses.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460" w:firstLine="324"/>
        <w:spacing w:after="0" w:line="263" w:lineRule="auto"/>
        <w:rPr>
          <w:sz w:val="20"/>
          <w:szCs w:val="20"/>
          <w:color w:val="auto"/>
        </w:rPr>
      </w:pPr>
      <w:r>
        <w:rPr>
          <w:rFonts w:ascii="Arial" w:cs="Arial" w:eastAsia="Arial" w:hAnsi="Arial"/>
          <w:sz w:val="18"/>
          <w:szCs w:val="18"/>
          <w:color w:val="auto"/>
        </w:rPr>
        <w:t>General and administrative expenses include employee compensation, including stock-based compensation, and related benefits for executive management, finance administration and human resources, allocated costs, including rent, depreciation, information technology, utilities, professional service fees, and other general overhead costs to support the Company’s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for our RSAs is their intrinsic value, which is the difference between the fair value of the underlying stock at the measurement date and the purchase price. The fair value of our RSUs is the fair value of the underlying stock at the measurement date. The fair value for our stock option awards is determined at the grant date using the Black-Scholes valuation model. The fair value of share-based payment awards is recognized as expense on a straight-line basis over the requisite service period in which the awards are expected to vest. Forfeitures are accounted for in the period in which they occur. Share-based payment awards that include a service condition and a performance condition are expected to vest when the performance condition is probable of being met.</w:t>
      </w:r>
    </w:p>
    <w:p>
      <w:pPr>
        <w:spacing w:after="0" w:line="12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21" w:right="339" w:bottom="1440" w:gutter="0" w:footer="0" w:header="0"/>
        </w:sectPr>
      </w:pPr>
    </w:p>
    <w:bookmarkStart w:id="203" w:name="page204"/>
    <w:bookmarkEnd w:id="203"/>
    <w:p>
      <w:pPr>
        <w:jc w:val="center"/>
        <w:ind w:right="-9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Common Stock</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grant-date fair market value of the shares of common stock underlying stock options has historically been determined by the Company’s Board of Directors with assistance of third-party valuation specialists. Because there has been no public market for the Company’s common stock, the Board of Directors exercises reasonable judgment and considers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 general U.S. market conditions, equity market conditions of comparable public companies, and the lack of marketability of the Company’s common stock.</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Volatility</w:t>
      </w:r>
    </w:p>
    <w:p>
      <w:pPr>
        <w:spacing w:after="0" w:line="171"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As there is no trading history for the Company’s common stock, the Company has used the historical volatility of the stock price of similar publicly traded peer companies. The historical volatility is calculated based on a period of time commensurate with the expected term assumptions.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Term</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For stock options granted to employees and directors, the expected term is calculated using the simplified method for “plain vanilla” stock option awards.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Risk-Free Interest Rate</w:t>
      </w:r>
    </w:p>
    <w:p>
      <w:pPr>
        <w:spacing w:after="0" w:line="17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risk-free interest rate is based on the yield available on U.S. Treasury zero-coupon issues similar in duration to the expected term of the equity-settled award.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Expected Dividends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expected dividend yield is assumed to be zero as the Company has never paid dividends and has no current plans to pay dividends on its common stock.</w:t>
      </w:r>
    </w:p>
    <w:p>
      <w:pPr>
        <w:spacing w:after="0" w:line="11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Stock-based compensation related to awards to non-employees is recognized based on the then-current fair value at each measurement date when earned over the requisite service period of the award, which is generally the vesting term. The fair value of non-employee stock options is estimated using the Black-Scholes valuation model with assumptions generally consistent with those used for employee stock options, with the exception of the expected term, which is the remaining contractual life at each measurement date.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Deferred offering costs, consisting of legal, accounting and filing fees relating to the IPO, are capitalized. The deferred offering costs will be offset against offering proceeds upon the completion of the offering. In the event the offering is terminated or delayed, deferred offering costs will be expensed. As of December 31, 2018 and 2019, there were no capitalized deferred offering costs in the balance sheets. As of September 30, 2020 (unaudited), the Company recorded deferred offering costs of $1.2 million as other assets on the balance sheet.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valuation allowance is recorded for deferred tax assets if it is more likely than not that some portion or all of the deferred tax assets will not be realized. In evaluating the ability to recover its deferred income tax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60"/>
          </w:cols>
          <w:pgMar w:left="320" w:top="121" w:right="41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increase the provision for income taxes in the period when such determination is made.</w:t>
      </w:r>
    </w:p>
    <w:p>
      <w:pPr>
        <w:spacing w:after="0" w:line="12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likely than 50 percent likely to be realized. Interest and penalties related to unrecognized tax benefits are included within the provision for income tax. At both December 31, 2018 and 2019, there were no interest and penalties.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0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Company’s participating securities include the Company’s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34" w:lineRule="exact"/>
        <w:rPr>
          <w:sz w:val="20"/>
          <w:szCs w:val="20"/>
          <w:color w:val="auto"/>
        </w:rPr>
      </w:pPr>
    </w:p>
    <w:p>
      <w:pPr>
        <w:jc w:val="both"/>
        <w:ind w:right="660" w:firstLine="324"/>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Comprehensive loss is comprised of net loss and changes in accumulated other comprehensive income on the Company’s available-for-sale investments related to unrealized gains and losses.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320" w:top="121" w:right="379" w:bottom="1440" w:gutter="0" w:footer="0" w:header="0"/>
        </w:sectPr>
      </w:pPr>
    </w:p>
    <w:bookmarkStart w:id="205" w:name="page206"/>
    <w:bookmarkEnd w:id="205"/>
    <w:p>
      <w:pPr>
        <w:jc w:val="center"/>
        <w:ind w:right="-3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between market participants on the measurement date. Fair value measurement establishes a fair value hierarchy that requires an entity to maximize the use of observable inputs, where available, and minimize the use of unobservable inputs when measuring fair value.</w:t>
      </w:r>
    </w:p>
    <w:p>
      <w:pPr>
        <w:spacing w:after="0" w:line="11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71" w:lineRule="exact"/>
        <w:rPr>
          <w:sz w:val="20"/>
          <w:szCs w:val="20"/>
          <w:color w:val="auto"/>
        </w:rPr>
      </w:pPr>
    </w:p>
    <w:p>
      <w:pPr>
        <w:ind w:left="1380" w:right="240" w:hanging="728"/>
        <w:spacing w:after="0" w:line="263"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carrying amount of the Company’s other receivables, prepaid expenses, other current assets, accounts payable, and accrued expenses approximate fair value due to their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No.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This ASU simplifies several aspects of the accounting for share-based payment award transactions, including, the income tax consequences, classification of awards as either equity or liabilities, and classification on the statement of cash flows. Under ASU No. 2016-09, entities are permitted to make an accounting policy election to either estimate forfeiture on share-based payment awards, as previously required, or to recognize forfeitures as they occur. The Company made an accounting policy election to account for forfeitures as they occur. The Company adopted this standard as of January 1, 2018, using the modified retrospective approach, which did not have a material impact on its financial statements as of the adoption date.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and further updated through ASU No. 2016-</w:t>
      </w:r>
    </w:p>
    <w:p>
      <w:pPr>
        <w:spacing w:after="0" w:line="46" w:lineRule="exact"/>
        <w:rPr>
          <w:sz w:val="20"/>
          <w:szCs w:val="20"/>
          <w:color w:val="auto"/>
        </w:rPr>
      </w:pPr>
    </w:p>
    <w:p>
      <w:pPr>
        <w:ind w:right="120" w:firstLine="8"/>
        <w:spacing w:after="0" w:line="292" w:lineRule="auto"/>
        <w:tabs>
          <w:tab w:leader="none" w:pos="27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This standard is based on the principle that revenue is recognized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revenue and cash flows arising from customer contracts, including significant judgments and changes in judgments and assets recognized from costs incurred to obtain or fulfill a contract. The Company adopted this standard as of January 1, 2019, using the modified retrospective approach, which did not have a material impact on its financial statements as of the adoption date.</w:t>
      </w:r>
    </w:p>
    <w:p>
      <w:pPr>
        <w:spacing w:after="0" w:line="10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which requires restricted cash and restricted cash equivalents to be included with cash and cash equivalents in the statements of cash flows. The Company adopted this standard as of January 1, 2019, and has applied the standard on a retrospective basis to all periods presented,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adopted the following accounting standards during the nine months ended September 30, 2020 (unaudited).</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which requires that financial assets measured at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121" w:right="35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cost be presented at the net amount expected to be collected. Unrealized losses on available-for-sale debt securities that are attributed to credit risk are recorded through earnings rather than to other comprehensive income. Credit losses relating to available-for-sale debt securities are now recorded through an allowance for credit losses. The Company adopted this standard as of January 1, 2020, and the adoption of this standard did not result in a cumulative effect adjustment as of the date of the adoption.</w:t>
      </w:r>
    </w:p>
    <w:p>
      <w:pPr>
        <w:spacing w:after="0" w:line="13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Company adopted this standard as of January 1, 2020, which did not have a material impact on its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ASU clarifies the definition of a lease and requires a lessee to recognize in the statement of financial position a liability to make lease payments (the lease liability) and a right-to-use asset representing its right to use the underlying asset for the lease term. In November 2019, the FASB issued ASU No. 2019-10 which extends the effective date of ASU No. 2016-02 for non-public business entities, including smaller reporting companies, to fiscal years beginning after December 15, 2020, and interim periods within fiscal years beginning after December 15, 2021. While the Company has not yet quantified the impact, these adjustments will increase total assets and total liabilities relative to such amounts reported prior to adoption.</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requires that financial assets measured at amortized cost be presented at the net amount expected to be collected. The measurement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losses is based on historical experience, current conditions, and reasonable and supportable forecasts that affect collectability. This standard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This standard is effective for fiscal years beginning after December 15, 2022, and interim periods within those fiscal years. Early adoption is permitted. The Company is currently assessing the impact of this standard on its financial statements and related disclosures.</w:t>
      </w:r>
    </w:p>
    <w:p>
      <w:pPr>
        <w:spacing w:after="0" w:line="12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On June 20, 2018, the FASB issued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to reduce cost and complexity and to improve financial reporting for share-based payments issued to non-employees. The standard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fiscal years beginning after December 15, 2019, and interim periods within fiscal years beginning after December 15, 2020, with early adoption permitted, but no earlier than the adoption of Topic 606. The Company is currently evaluating the impact this standard will have on the Company’s financial statements.</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which amends Accounting Standards Codification 820, Fair Value Measurement. This standard modifies the disclosure requirements for fair value measurements by removing, modifying, or adding certain disclosures. The effective date is the first quarter of fiscal year 2020, with early adoption permitted for the removed disclosures and delayed adoption until fiscal year 2020 permitted for the new disclosures. The removed and modified disclosures will be adopted on a retrospective basis and the new disclosures will be adopted on a prospective basis. The Company is currently assessing the impact of this standard on its financial statements and related disclosures.</w:t>
      </w:r>
    </w:p>
    <w:p>
      <w:pPr>
        <w:spacing w:after="0" w:line="13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the accounting for income taxes. The standard removes certain exceptions to the general principles in Topic 740 and also clarifies and amends existing standards to improve consistent application. The amendments in this ASU are effective for fiscal years, and interim periods within those fiscal years, beginning after December 15, 2020. Early adoption of the amendments is permitted, including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320" w:top="121" w:right="35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any interim period for which financial statements have not yet been issued.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assessing the impact of this standard on its financial statements and related disclosures.</w:t>
      </w:r>
    </w:p>
    <w:p>
      <w:pPr>
        <w:spacing w:after="0" w:line="129"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FAIR VALUE OF FINANCIAL INSTRUMENTS</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that were measured at fair value on a recurring basis by level within the fair value hierarchy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Assets:</w:t>
      </w:r>
      <w:r>
        <w:rPr>
          <w:sz w:val="20"/>
          <w:szCs w:val="20"/>
          <w:color w:val="auto"/>
        </w:rPr>
        <w:tab/>
      </w:r>
      <w:r>
        <w:rPr>
          <w:rFonts w:ascii="Arial" w:cs="Arial" w:eastAsia="Arial" w:hAnsi="Arial"/>
          <w:sz w:val="18"/>
          <w:szCs w:val="18"/>
          <w:color w:val="auto"/>
        </w:rPr>
        <w:t>Classification:</w:t>
      </w:r>
    </w:p>
    <w:p>
      <w:pPr>
        <w:spacing w:after="0" w:line="90"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Money market funds</w:t>
      </w:r>
      <w:r>
        <w:rPr>
          <w:sz w:val="20"/>
          <w:szCs w:val="20"/>
          <w:color w:val="auto"/>
        </w:rPr>
        <w:tab/>
      </w:r>
      <w:r>
        <w:rPr>
          <w:rFonts w:ascii="Arial" w:cs="Arial" w:eastAsia="Arial" w:hAnsi="Arial"/>
          <w:sz w:val="15"/>
          <w:szCs w:val="15"/>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3260" w:val="left"/>
        </w:tabs>
        <w:rPr>
          <w:sz w:val="20"/>
          <w:szCs w:val="20"/>
          <w:color w:val="auto"/>
        </w:rPr>
      </w:pPr>
      <w:r>
        <w:rPr>
          <w:rFonts w:ascii="Arial" w:cs="Arial" w:eastAsia="Arial" w:hAnsi="Arial"/>
          <w:sz w:val="18"/>
          <w:szCs w:val="18"/>
          <w:color w:val="auto"/>
        </w:rPr>
        <w:t>U.S. Treasury securities</w:t>
      </w:r>
      <w:r>
        <w:rPr>
          <w:sz w:val="20"/>
          <w:szCs w:val="20"/>
          <w:color w:val="auto"/>
        </w:rPr>
        <w:tab/>
      </w:r>
      <w:r>
        <w:rPr>
          <w:rFonts w:ascii="Arial" w:cs="Arial" w:eastAsia="Arial" w:hAnsi="Arial"/>
          <w:sz w:val="15"/>
          <w:szCs w:val="15"/>
          <w:color w:val="auto"/>
        </w:rPr>
        <w:t>Investments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 measured at fair value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135255</wp:posOffset>
            </wp:positionV>
            <wp:extent cx="32486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30,953</w:t>
            </w:r>
          </w:p>
        </w:tc>
      </w:tr>
      <w:tr>
        <w:trPr>
          <w:trHeight w:val="27"/>
        </w:trPr>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6"/>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68,535</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68,535</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86,020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6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September 30, 2020 (unaudited)</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5"/>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93"/>
        </w:trPr>
        <w:tc>
          <w:tcPr>
            <w:tcW w:w="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103,800</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103,800</w:t>
            </w:r>
          </w:p>
        </w:tc>
        <w:tc>
          <w:tcPr>
            <w:tcW w:w="8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121,506</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380" w:space="720"/>
            <w:col w:w="5140"/>
          </w:cols>
          <w:pgMar w:left="320" w:top="121" w:right="339" w:bottom="1440" w:gutter="0" w:footer="0" w:header="0"/>
          <w:type w:val="continuous"/>
        </w:sectPr>
      </w:pPr>
    </w:p>
    <w:p>
      <w:pPr>
        <w:ind w:right="140" w:firstLine="324"/>
        <w:spacing w:after="0" w:line="301" w:lineRule="auto"/>
        <w:rPr>
          <w:sz w:val="20"/>
          <w:szCs w:val="20"/>
          <w:color w:val="auto"/>
        </w:rPr>
      </w:pPr>
      <w:r>
        <w:rPr>
          <w:rFonts w:ascii="Arial" w:cs="Arial" w:eastAsia="Arial" w:hAnsi="Arial"/>
          <w:sz w:val="16"/>
          <w:szCs w:val="16"/>
          <w:color w:val="auto"/>
        </w:rPr>
        <w:t>There were no financial liabilities measured at fair value. The Company classifies money market funds within Level 1 of the fair value hierarchy because they are valued using bank balances or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1, 2, or 3 for the periods presented.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cash equivalents and investments and the gross unrealized holding gains and losses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5"/>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68,535</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86,020</w:t>
            </w:r>
          </w:p>
        </w:tc>
      </w:tr>
      <w:tr>
        <w:trPr>
          <w:trHeight w:val="21"/>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240"/>
          </w:cols>
          <w:pgMar w:left="320" w:top="121" w:right="339" w:bottom="1440" w:gutter="0" w:footer="0" w:header="0"/>
          <w:type w:val="continuous"/>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2020 (unaudited)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5"/>
                <w:szCs w:val="15"/>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70"/>
        </w:trPr>
        <w:tc>
          <w:tcPr>
            <w:tcW w:w="51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17,706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17,706</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121,506</w:t>
            </w:r>
          </w:p>
        </w:tc>
      </w:tr>
      <w:tr>
        <w:trPr>
          <w:trHeight w:val="21"/>
        </w:trPr>
        <w:tc>
          <w:tcPr>
            <w:tcW w:w="5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As of December 31, 2019,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 As of December 31, 2018 and 2019, the weighted-average remaining maturity of the Company’s investment portfolio was less than one year.</w:t>
      </w:r>
    </w:p>
    <w:p>
      <w:pPr>
        <w:spacing w:after="0" w:line="103"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has not recorded any impairment charges on marketable securities related to other-than-temporary declines in market value or deterioration in credit risk. As of September 30, 2020 (unaudited), the weighted-average remaining maturity of the Company’s investment portfolio was less than one year.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6120" w:type="dxa"/>
            <w:vAlign w:val="bottom"/>
          </w:tcPr>
          <w:p>
            <w:pPr>
              <w:ind w:left="420"/>
              <w:spacing w:after="0"/>
              <w:rPr>
                <w:sz w:val="20"/>
                <w:szCs w:val="20"/>
                <w:color w:val="auto"/>
              </w:rPr>
            </w:pPr>
            <w:r>
              <w:rPr>
                <w:rFonts w:ascii="Arial" w:cs="Arial" w:eastAsia="Arial" w:hAnsi="Arial"/>
                <w:sz w:val="18"/>
                <w:szCs w:val="18"/>
                <w:b w:val="1"/>
                <w:bCs w:val="1"/>
                <w:color w:val="auto"/>
              </w:rPr>
              <w:t>OTHER FINANCIAL STATEMENT INFORMATION</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Other Receivables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receivables consist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receivable</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17</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receivables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4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6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24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0" w:type="dxa"/>
            <w:vAlign w:val="bottom"/>
            <w:shd w:val="clear" w:color="auto" w:fill="CCEEFF"/>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231F20"/>
              </w:rPr>
              <w:t>1,028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Depreciation and amortization expense related to property and equipment was less than $0.1 million and $0.7 million for the years ended December 31, 2018 and 2019, respectively, and $0.5 million and $1.1 million for the nine months ended September 30, 2019 and 2020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21"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136"/>
              <w:spacing w:after="0"/>
              <w:rPr>
                <w:sz w:val="20"/>
                <w:szCs w:val="20"/>
                <w:color w:val="auto"/>
              </w:rPr>
            </w:pPr>
            <w:r>
              <w:rPr>
                <w:rFonts w:ascii="Arial" w:cs="Arial" w:eastAsia="Arial" w:hAnsi="Arial"/>
                <w:sz w:val="14"/>
                <w:szCs w:val="14"/>
                <w:b w:val="1"/>
                <w:bCs w:val="1"/>
                <w:color w:val="auto"/>
                <w:w w:val="94"/>
              </w:rPr>
              <w:t>(unaudited)</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Accrued property and equipment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liability, current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231F20"/>
              </w:rPr>
              <w:t>—</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DEFERRED REVENUE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December 31, 2019 and September 30, 2020 (unaudited), the Company recorded $0.2 million and $0.4 million of deferred revenue related to the following agreements.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Agreements</w:t>
      </w:r>
    </w:p>
    <w:p>
      <w:pPr>
        <w:spacing w:after="0" w:line="17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 February 2019, the Company entered into a sponsored research agreement with a biotechnology company under which the Company is required to execute certain research and development activities as well as optional research and development activities if elected by the customer for total consideration payable of $0.4 million. During the year ended December 31, 2019 and nine months ended September 30, 2020 (unaudited), the Company recognized research revenue of $0.1 million and nil with respect to the research agreement.</w:t>
      </w:r>
    </w:p>
    <w:p>
      <w:pPr>
        <w:spacing w:after="0" w:line="11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payable of $0.5 million, of which $0.3 million was received and recorded as deferred revenue as of September 30, 2020 (unaudited). During the nine months ended September 30, 2020 (unaudited), the Company did not recognize any research revenue with respect to the research agreement.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NIH Grant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August 2019, the Company received a notice of award from the National Institutes of Health, which will provide funding of approximately</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$1.1 million to the Company for its development of research applications. In June 2020, the Company received a notice that additional grant consideration of $0.9 million will be awarded. During the year ended December 31, 2019 and nine months ended September 30, 2020 (unaudited), the Company recognized grant revenue of $0.1 million and $0.3 million with respect to the award.</w:t>
      </w:r>
    </w:p>
    <w:p>
      <w:pPr>
        <w:spacing w:after="0" w:line="132"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May 2019, the Company issued an aggregate of $0.4 million in convertible promissory notes (Notes) that accrue interest at a rate of 2.37% per annum and mature 10 years from the date of issuance. Upon the closing of the Company’s Series D convertible preferred stock offering in November 2019, the Notes were redeemed whereby all of the outstanding principal and accrued interest were converted into 58,231 shares of Series D convertible preferred stock at a conversion price of $6.96 per share, which was the issuance price of the Series D convertible preferred stock. The redemption of the Notes was accounted for as a debt extinguishment, and there was no gain or loss on extinguishment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21"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STOCKHOLDERS’ EQUITY</w:t>
      </w:r>
    </w:p>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December 31, 2019, the Company is authorized to issue 74,276,048 shares of capital stock consisting of 42,757,009 shares of Class A common stock, 9,345,794 shares of Class B common stock, and 22,173,245 shares of convertible preferred stock.</w:t>
      </w:r>
    </w:p>
    <w:p>
      <w:pPr>
        <w:spacing w:after="0" w:line="116"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As of September 30, 2020 (unaudited), the Company is authorized to issue 94,447,387 shares of capital stock consisting of 56,074,766 shares of Class A common stock, 9,345,794 shares of Class B common stock, and 29,026,827 shares of convertible preferred stock.</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Convertible preferred stock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10,994,238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22,173,245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22,173,216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September 30, 2020 (unaudited)</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 Price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Shares Issued and</w:t>
            </w:r>
          </w:p>
        </w:tc>
        <w:tc>
          <w:tcPr>
            <w:tcW w:w="140" w:type="dxa"/>
            <w:vAlign w:val="bottom"/>
          </w:tcPr>
          <w:p>
            <w:pPr>
              <w:spacing w:after="0"/>
              <w:rPr>
                <w:sz w:val="11"/>
                <w:szCs w:val="11"/>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Carrying Value</w:t>
            </w:r>
          </w:p>
        </w:tc>
        <w:tc>
          <w:tcPr>
            <w:tcW w:w="1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gridSpan w:val="10"/>
          </w:tcPr>
          <w:p>
            <w:pPr>
              <w:jc w:val="center"/>
              <w:ind w:right="10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1.95</w:t>
            </w:r>
          </w:p>
        </w:tc>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3,087,477</w:t>
            </w:r>
          </w:p>
        </w:tc>
        <w:tc>
          <w:tcPr>
            <w:tcW w:w="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3,087,468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Series B</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3.80</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7,906,761</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7,906,757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5.35</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3,271,028</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3,271,023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Series D</w:t>
            </w:r>
          </w:p>
        </w:tc>
        <w:tc>
          <w:tcPr>
            <w:tcW w:w="114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6.96</w:t>
            </w: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7,907,979</w:t>
            </w:r>
          </w:p>
        </w:tc>
        <w:tc>
          <w:tcPr>
            <w:tcW w:w="20" w:type="dxa"/>
            <w:vAlign w:val="bottom"/>
          </w:tcPr>
          <w:p>
            <w:pPr>
              <w:spacing w:after="0"/>
              <w:rPr>
                <w:sz w:val="19"/>
                <w:szCs w:val="19"/>
                <w:color w:val="auto"/>
              </w:rPr>
            </w:pPr>
          </w:p>
        </w:tc>
        <w:tc>
          <w:tcPr>
            <w:tcW w:w="2000" w:type="dxa"/>
            <w:vAlign w:val="bottom"/>
            <w:gridSpan w:val="3"/>
          </w:tcPr>
          <w:p>
            <w:pPr>
              <w:jc w:val="right"/>
              <w:ind w:right="6"/>
              <w:spacing w:after="0"/>
              <w:rPr>
                <w:sz w:val="20"/>
                <w:szCs w:val="20"/>
                <w:color w:val="auto"/>
              </w:rPr>
            </w:pPr>
            <w:r>
              <w:rPr>
                <w:rFonts w:ascii="Arial" w:cs="Arial" w:eastAsia="Arial" w:hAnsi="Arial"/>
                <w:sz w:val="18"/>
                <w:szCs w:val="18"/>
                <w:color w:val="auto"/>
              </w:rPr>
              <w:t>7,907,968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54,794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D-1</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8.03</w:t>
            </w: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6,853,582</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6,853,571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Borders>
              <w:top w:val="single" w:sz="8" w:color="auto"/>
              <w:bottom w:val="single" w:sz="8" w:color="auto"/>
            </w:tcBorders>
            <w:gridSpan w:val="2"/>
          </w:tcPr>
          <w:p>
            <w:pPr>
              <w:jc w:val="right"/>
              <w:ind w:right="6"/>
              <w:spacing w:after="0"/>
              <w:rPr>
                <w:sz w:val="20"/>
                <w:szCs w:val="20"/>
                <w:color w:val="auto"/>
              </w:rPr>
            </w:pPr>
            <w:r>
              <w:rPr>
                <w:rFonts w:ascii="Arial" w:cs="Arial" w:eastAsia="Arial" w:hAnsi="Arial"/>
                <w:sz w:val="18"/>
                <w:szCs w:val="18"/>
                <w:color w:val="auto"/>
              </w:rPr>
              <w:t>29,026,787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and April 2019, the Company issued 3,271,023 shares of its Series C convertible preferred stock at a price per share of $5.35 for net proceeds of $17.3 million.</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November and December 2019, the Company issued 7,849,737 shares of its Series D convertible preferred stock at a price per share of $6.96 for net proceeds of $54.4 million, with such amounts not including the redemption of the Notes (see Note 6).</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nine months ended September 30, 2020 (unaudited), the Company issued 6,853,571 shares of its Series D-1 convertible preferred stock in May 2020 at a price per share of $8.03 for net proceeds of $54.9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21" w:right="339"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convertible preferred stock have various rights and preferences, including the following: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the event of any liquidation event, either voluntary or involuntary, the holders of convertible preferred stock shall be entitled to receive, out of the assets of the Company, the applicable liquidation preference specified for each share of convertible preferred stock then held by them before any payment shall be made or any assets distributed to the holders of common stock. Liquidation preference is $1.95 per share for Series A convertible preferred stock, $3.80 per share for Series B convertible preferred stock, $5.35 per share of Series C convertible preferred stock, $6.96 per share of Series D convertible preferred stock, and $8.03 per share of Series D-1 convertible preferred stock, each adjusted for any stock splits, combinations, and reorganizations, plus all declared and unpaid dividends on each such share.</w:t>
      </w:r>
    </w:p>
    <w:p>
      <w:pPr>
        <w:spacing w:after="0" w:line="138"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If upon the liquidation event, the assets to be distributed among the holders of the convertible preferred stock are insufficient to permit the payment to such holders of the full liquidation preference for their shares, then the holders of shares of convertible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the full preferential amount.</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After the payment to the holders of convertible preferred stock of the full preferential amount specified above, any remaining assets of the Company shall be distributed pro rata among the holders of common stock.</w:t>
      </w:r>
    </w:p>
    <w:p>
      <w:pPr>
        <w:spacing w:after="0" w:line="116" w:lineRule="exact"/>
        <w:rPr>
          <w:sz w:val="20"/>
          <w:szCs w:val="20"/>
          <w:color w:val="auto"/>
        </w:rPr>
      </w:pPr>
    </w:p>
    <w:p>
      <w:pPr>
        <w:ind w:left="340" w:right="1560"/>
        <w:spacing w:after="0" w:line="438" w:lineRule="auto"/>
        <w:rPr>
          <w:sz w:val="20"/>
          <w:szCs w:val="20"/>
          <w:color w:val="auto"/>
        </w:rPr>
      </w:pPr>
      <w:r>
        <w:rPr>
          <w:rFonts w:ascii="Arial" w:cs="Arial" w:eastAsia="Arial" w:hAnsi="Arial"/>
          <w:sz w:val="18"/>
          <w:szCs w:val="18"/>
          <w:color w:val="auto"/>
        </w:rPr>
        <w:t xml:space="preserve">A liquidation event requires approval by the holders of at least a majority of the outstanding shares of convertible preferred stock. </w:t>
      </w:r>
      <w:r>
        <w:rPr>
          <w:rFonts w:ascii="Arial" w:cs="Arial" w:eastAsia="Arial" w:hAnsi="Arial"/>
          <w:sz w:val="18"/>
          <w:szCs w:val="18"/>
          <w:b w:val="1"/>
          <w:bCs w:val="1"/>
          <w:i w:val="1"/>
          <w:iCs w:val="1"/>
          <w:color w:val="auto"/>
        </w:rPr>
        <w:t>Optional Conversion Rights</w:t>
      </w:r>
    </w:p>
    <w:p>
      <w:pPr>
        <w:spacing w:after="0" w:line="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Shares of any series of convertible preferred stock shall be convertible, at the option of the holder thereof and without payment, at any time after the date of issuance of such share into that number of fully-paid and nonassessable shares of Class A common stock that is equal to the original issue price for such series divided by the conversion price for such series, as adjusted for any stock splits, combinations, reorganizations and applicable dilutive issuances, in effect on the date of the conversion. In addition, the conversion price for each series of convertible preferred stock will be reduced upon certain issuances by the Company of common stock for consideration per share that is less than the conversion price applicable to such series. The Company’s convertible preferred stock is convertible into the Company’s shares of Class A common stock on a one-for-one basis.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Automatic Conversion Rights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share of convertible preferred stock shall automatically be converted into shares of Class A common stock at the then effective conversion price for such share immediately upon (i) the affirmative vote or written consent of the holders of at least a majority of the outstanding shares of convertible preferred stock, voting together as a single class, or (ii) the closing of a firmly underwritten initial public offering with gross proceeds to the Company of at least $50,000,000.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holders of shares of Series A convertible preferred stock, Series B convertible preferred stock, Series C convertible preferred stock, Series D convertible preferred stock, and Series D-1 convertible preferred stock shall be entitled to receive dividends of $0.1167, $0.2277, $0.3210, $0.4173, and $0.4815 respectively, per annum on each outstanding share of Series A convertible preferred stock, Series B convertible preferred stock, Series C convertible preferred stock, Series D convertible preferred stock, and Series D-1 convertible preferred stock, payable in cash at the election of the Board of Directors, out of any assets at the time legally available therefor, when, as and if declared by the Board of Directors, on an equal basis according to the number of shares of convertible preferred stock held by such holders, prior and in preference to the common stock and shall be noncumulative.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21"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Each holder of convertible preferred stock shall be entitled to the number of votes equal to the number of shares of common stock into which such shares of convertible preferred stock held by such holder could then be converted as of the record date.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holders of convertible preferred stock, voting as a single class, have the right to elect one director to the Company’s Board of Directors. The holders of common stock, as a separate class, have the right to elect three directors to the Board of Directors. The holders of convertible preferred stock and common stock, voting as a single class, have the right to elect one director to the Company’s Board of Directors. Any remaining directors, of which there were two as of December 31, 2019 and September 30, 2020 (unaudited), are elected by the holders of common stock and of any other class or series of voting stock, including convertible preferred stock, as a single class.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There are no redemption rights afforded to the holders of convertible preferred stock. Upon certain change in control events, including liquidation, sale, or transfer of control of the Company, the convertible preferred stock is contingently redeemable.</w:t>
      </w:r>
    </w:p>
    <w:p>
      <w:pPr>
        <w:sectPr>
          <w:pgSz w:w="11900" w:h="16838" w:orient="portrait"/>
          <w:cols w:equalWidth="0" w:num="1">
            <w:col w:w="11240"/>
          </w:cols>
          <w:pgMar w:left="320" w:top="121"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issued and outstanding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common stock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160" w:type="dxa"/>
            <w:vAlign w:val="bottom"/>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1560" w:type="dxa"/>
            <w:vAlign w:val="bottom"/>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0"/>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r>
      <w:tr>
        <w:trPr>
          <w:trHeight w:val="231"/>
        </w:trPr>
        <w:tc>
          <w:tcPr>
            <w:tcW w:w="1560" w:type="dxa"/>
            <w:vAlign w:val="bottom"/>
          </w:tcPr>
          <w:p>
            <w:pPr>
              <w:jc w:val="right"/>
              <w:spacing w:after="0"/>
              <w:rPr>
                <w:sz w:val="20"/>
                <w:szCs w:val="20"/>
                <w:color w:val="auto"/>
              </w:rPr>
            </w:pPr>
            <w:r>
              <w:rPr>
                <w:rFonts w:ascii="Arial" w:cs="Arial" w:eastAsia="Arial" w:hAnsi="Arial"/>
                <w:sz w:val="18"/>
                <w:szCs w:val="18"/>
                <w:color w:val="auto"/>
              </w:rPr>
              <w:t>2,858,902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2,847,893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3,296,556</w:t>
            </w:r>
          </w:p>
        </w:tc>
      </w:tr>
      <w:tr>
        <w:trPr>
          <w:trHeight w:val="230"/>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9,345,784</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9,345,784</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12,204,686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12,193,677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12,642,340</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-479425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5640" w:space="720"/>
            <w:col w:w="4880"/>
          </w:cols>
          <w:pgMar w:left="320" w:top="121" w:right="339" w:bottom="1440" w:gutter="0" w:footer="0" w:header="0"/>
          <w:type w:val="continuous"/>
        </w:sectPr>
      </w:pPr>
    </w:p>
    <w:p>
      <w:pPr>
        <w:jc w:val="both"/>
        <w:ind w:right="260" w:firstLine="324"/>
        <w:spacing w:after="0" w:line="301" w:lineRule="auto"/>
        <w:rPr>
          <w:sz w:val="20"/>
          <w:szCs w:val="20"/>
          <w:color w:val="auto"/>
        </w:rPr>
      </w:pPr>
      <w:r>
        <w:rPr>
          <w:rFonts w:ascii="Arial" w:cs="Arial" w:eastAsia="Arial" w:hAnsi="Arial"/>
          <w:sz w:val="16"/>
          <w:szCs w:val="16"/>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99"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During the nine months ended September 30, 2020 (unaudited), the Company adopted the 2020 RSU Equity Incentive Plan (2020 RSU Plan), which provided for the granting of RSUs to certain employees of the Company.</w:t>
      </w:r>
    </w:p>
    <w:p>
      <w:pPr>
        <w:spacing w:after="0" w:line="133"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Stock options to purchase the Company’s Class A common stock may be granted at a price not less than the fair market value of the Company’s Class A common stock at the date of grant in the case of both NSOs and ISOs, except for grants of stock options to an employee or non-employee with options who owns more than 10% of the voting power of all classes of stock of the Company, in which case the exercise price shall be no less than 110% of the fair market value per Class A common stock on the grant date. The exercise price for ISO cannot be less than the fair market value of the Class A common stock on the grant date. Stock options granted under the 2017 Plan generally vest over four years and expire no later than 10 years from the date of grant. As of December 31, 2019, and September 30, 2020 (unaudited), the Company has reserved 9,085,139 and 11,814,650 shares of Class A common stock for issuance under the 2017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21" w:right="339" w:bottom="1440" w:gutter="0" w:footer="0" w:header="0"/>
          <w:type w:val="continuous"/>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under the 2017 Plan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44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 Term (Years)</w:t>
            </w:r>
          </w:p>
        </w:tc>
        <w:tc>
          <w:tcPr>
            <w:tcW w:w="12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123,296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2,266,576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(845,710)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(68,476)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1,475,686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3,005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231F20"/>
              </w:rPr>
              <w:t>834,959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(133,862)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2,176,102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Options granted (unaudited)</w:t>
            </w:r>
          </w:p>
        </w:tc>
        <w:tc>
          <w:tcPr>
            <w:tcW w:w="1560" w:type="dxa"/>
            <w:vAlign w:val="bottom"/>
          </w:tcPr>
          <w:p>
            <w:pPr>
              <w:jc w:val="right"/>
              <w:spacing w:after="0"/>
              <w:rPr>
                <w:sz w:val="20"/>
                <w:szCs w:val="20"/>
                <w:color w:val="auto"/>
              </w:rPr>
            </w:pPr>
            <w:r>
              <w:rPr>
                <w:rFonts w:ascii="Arial" w:cs="Arial" w:eastAsia="Arial" w:hAnsi="Arial"/>
                <w:sz w:val="18"/>
                <w:szCs w:val="18"/>
                <w:color w:val="231F20"/>
              </w:rPr>
              <w:t>6,428,732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 (unaudited)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(663,908)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 and forfeited (unaudited)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(387,426)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7,553,500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41,230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rPr>
              <w:t>Vested and exercisable, December 31, 2019</w:t>
            </w: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677,070</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231F20"/>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231F20"/>
              </w:rPr>
              <w:t>0.33</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231F20"/>
              </w:rPr>
              <w:t>8.55</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231F20"/>
                <w:w w:val="79"/>
              </w:rPr>
              <w:t>$</w:t>
            </w: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231F20"/>
              </w:rPr>
              <w:t>1,600</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September 30, 2020 (unaudited)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993,485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6,863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weighted-average grant-date fair value of stock options granted to employees during the years ended December 31, 2018 and 2019, was $1.65 and $1.61 per share, respectively, and was $1.61 and $1.89 per share for the nine months ended September 30, 2019 and 2020 (unaudited), respectively. The total intrinsic value of stock options exercised during the years ended December 31, 2018 and 2019, was nil and $0.2 million, respectively, and was $0.2 million and $1.2 million during the nine months ended September 30, 2019 and 2020 (unaudited), respectively.</w:t>
      </w:r>
    </w:p>
    <w:p>
      <w:pPr>
        <w:spacing w:after="0" w:line="117"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 connection with the PrognomIQ transaction (see Note 11) and pursuant to the anti-dilution provisions included in the 2017 Plan, certain adjustments were made to the number and exercise price of the outstanding awards granted to the Company’s employees and directors to maintain the aggregate intrinsic value of the awards at the date of the transaction, which were accounted for as a modification of the awards. Except for the number of the adjusted awards, the material terms of the awards remained unchanged, and the awards continue to vest over their original vesting period. The impact of these adjustments did not have a material impact on the Company’s financial statements during the nine months ended September 30, 2020 (unaudited).</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fair value of stock options granted to employees and directors is calculated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0.3%-1.5%</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jc w:val="right"/>
              <w:spacing w:after="0"/>
              <w:rPr>
                <w:sz w:val="20"/>
                <w:szCs w:val="20"/>
                <w:color w:val="auto"/>
              </w:rPr>
            </w:pPr>
            <w:r>
              <w:rPr>
                <w:rFonts w:ascii="Arial" w:cs="Arial" w:eastAsia="Arial" w:hAnsi="Arial"/>
                <w:sz w:val="18"/>
                <w:szCs w:val="18"/>
                <w:color w:val="auto"/>
              </w:rPr>
              <w:t>77.6%</w:t>
            </w:r>
          </w:p>
        </w:tc>
        <w:tc>
          <w:tcPr>
            <w:tcW w:w="920" w:type="dxa"/>
            <w:vAlign w:val="bottom"/>
          </w:tcPr>
          <w:p>
            <w:pPr>
              <w:ind w:left="20"/>
              <w:spacing w:after="0"/>
              <w:rPr>
                <w:sz w:val="20"/>
                <w:szCs w:val="20"/>
                <w:color w:val="auto"/>
              </w:rPr>
            </w:pPr>
            <w:r>
              <w:rPr>
                <w:rFonts w:ascii="Arial" w:cs="Arial" w:eastAsia="Arial" w:hAnsi="Arial"/>
                <w:sz w:val="18"/>
                <w:szCs w:val="18"/>
                <w:color w:val="auto"/>
              </w:rPr>
              <w:t>- 77.9%</w:t>
            </w:r>
          </w:p>
        </w:tc>
        <w:tc>
          <w:tcPr>
            <w:tcW w:w="840" w:type="dxa"/>
            <w:vAlign w:val="bottom"/>
          </w:tcPr>
          <w:p>
            <w:pPr>
              <w:jc w:val="right"/>
              <w:spacing w:after="0"/>
              <w:rPr>
                <w:sz w:val="20"/>
                <w:szCs w:val="20"/>
                <w:color w:val="auto"/>
              </w:rPr>
            </w:pPr>
            <w:r>
              <w:rPr>
                <w:rFonts w:ascii="Arial" w:cs="Arial" w:eastAsia="Arial" w:hAnsi="Arial"/>
                <w:sz w:val="18"/>
                <w:szCs w:val="18"/>
                <w:color w:val="auto"/>
              </w:rPr>
              <w:t>74.7%</w:t>
            </w:r>
          </w:p>
        </w:tc>
        <w:tc>
          <w:tcPr>
            <w:tcW w:w="940" w:type="dxa"/>
            <w:vAlign w:val="bottom"/>
          </w:tcPr>
          <w:p>
            <w:pPr>
              <w:ind w:left="20"/>
              <w:spacing w:after="0"/>
              <w:rPr>
                <w:sz w:val="20"/>
                <w:szCs w:val="20"/>
                <w:color w:val="auto"/>
              </w:rPr>
            </w:pPr>
            <w:r>
              <w:rPr>
                <w:rFonts w:ascii="Arial" w:cs="Arial" w:eastAsia="Arial" w:hAnsi="Arial"/>
                <w:sz w:val="18"/>
                <w:szCs w:val="18"/>
                <w:color w:val="auto"/>
              </w:rPr>
              <w:t>- 77.5%</w:t>
            </w:r>
          </w:p>
        </w:tc>
        <w:tc>
          <w:tcPr>
            <w:tcW w:w="820" w:type="dxa"/>
            <w:vAlign w:val="bottom"/>
          </w:tcPr>
          <w:p>
            <w:pPr>
              <w:jc w:val="right"/>
              <w:spacing w:after="0"/>
              <w:rPr>
                <w:sz w:val="20"/>
                <w:szCs w:val="20"/>
                <w:color w:val="auto"/>
              </w:rPr>
            </w:pPr>
            <w:r>
              <w:rPr>
                <w:rFonts w:ascii="Arial" w:cs="Arial" w:eastAsia="Arial" w:hAnsi="Arial"/>
                <w:sz w:val="18"/>
                <w:szCs w:val="18"/>
                <w:color w:val="auto"/>
              </w:rPr>
              <w:t>74.7%</w:t>
            </w:r>
          </w:p>
        </w:tc>
        <w:tc>
          <w:tcPr>
            <w:tcW w:w="960" w:type="dxa"/>
            <w:vAlign w:val="bottom"/>
          </w:tcPr>
          <w:p>
            <w:pPr>
              <w:ind w:left="20"/>
              <w:spacing w:after="0"/>
              <w:rPr>
                <w:sz w:val="20"/>
                <w:szCs w:val="20"/>
                <w:color w:val="auto"/>
              </w:rPr>
            </w:pPr>
            <w:r>
              <w:rPr>
                <w:rFonts w:ascii="Arial" w:cs="Arial" w:eastAsia="Arial" w:hAnsi="Arial"/>
                <w:sz w:val="18"/>
                <w:szCs w:val="18"/>
                <w:color w:val="auto"/>
              </w:rPr>
              <w:t>- 77.5%</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62.2%-69.2%</w:t>
            </w: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8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6.08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5.21-6.22</w:t>
            </w: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0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21" w:right="339" w:bottom="1440" w:gutter="0" w:footer="0" w:header="0"/>
          <w:type w:val="continuous"/>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fair value of the stock options granted to non-employees is calculated at each reporting date using the Black-Scholes option pricing model using the following assumptions: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left="4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23495</wp:posOffset>
            </wp:positionV>
            <wp:extent cx="21774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2" w:lineRule="exact"/>
        <w:rPr>
          <w:sz w:val="20"/>
          <w:szCs w:val="20"/>
          <w:color w:val="auto"/>
        </w:rPr>
      </w:pPr>
    </w:p>
    <w:p>
      <w:pPr>
        <w:ind w:left="4960"/>
        <w:spacing w:after="0"/>
        <w:tabs>
          <w:tab w:leader="none" w:pos="67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38100</wp:posOffset>
            </wp:positionV>
            <wp:extent cx="21774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31115</wp:posOffset>
            </wp:positionV>
            <wp:extent cx="21856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33" w:lineRule="exact"/>
        <w:rPr>
          <w:sz w:val="20"/>
          <w:szCs w:val="20"/>
          <w:color w:val="auto"/>
        </w:rPr>
      </w:pPr>
    </w:p>
    <w:p>
      <w:pPr>
        <w:ind w:left="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1856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2"/>
              </w:rPr>
              <w:t>2.7%</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 - 1.9%</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1.5%-1.9%</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0.5%-0.7%</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0"/>
              </w:rPr>
              <w:t>77.5%</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77.7%</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73.7%</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68.8%</w:t>
            </w: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72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8"/>
              </w:rPr>
              <w:t>8.73 – 9.88</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7.73 – 9.49</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8.39-9.82</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7.38-9.87</w:t>
            </w: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720" w:type="dxa"/>
            <w:vAlign w:val="bottom"/>
          </w:tcPr>
          <w:p>
            <w:pPr>
              <w:jc w:val="center"/>
              <w:ind w:left="9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Plan. The restricted shares of Class A common stock related to early exercised stock options and restricted shares of Class A common stock awards are subject to repurchase by the Company at the original purchase price in the event that the optionee’s employment is terminated prior to the shares vesting. The consideration received for early exercised stock options and for shares sold pursuant to restricted stock purchase agreements is recorded as a liability on the balance sheets and reclassified to stockholders’ equity as the shares vest.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of restricted shares of Class A common stock under the 2017 Plan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7280" w:type="dxa"/>
            <w:vAlign w:val="bottom"/>
          </w:tcPr>
          <w:p>
            <w:pPr>
              <w:spacing w:after="0"/>
              <w:rPr>
                <w:sz w:val="11"/>
                <w:szCs w:val="11"/>
                <w:color w:val="auto"/>
              </w:rPr>
            </w:pPr>
          </w:p>
        </w:tc>
        <w:tc>
          <w:tcPr>
            <w:tcW w:w="194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jc w:val="center"/>
              <w:ind w:right="174"/>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2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1,691,190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2018</w:t>
            </w:r>
          </w:p>
        </w:tc>
        <w:tc>
          <w:tcPr>
            <w:tcW w:w="1940" w:type="dxa"/>
            <w:vAlign w:val="bottom"/>
          </w:tcPr>
          <w:p>
            <w:pPr>
              <w:jc w:val="right"/>
              <w:spacing w:after="0"/>
              <w:rPr>
                <w:sz w:val="20"/>
                <w:szCs w:val="20"/>
                <w:color w:val="auto"/>
              </w:rPr>
            </w:pPr>
            <w:r>
              <w:rPr>
                <w:rFonts w:ascii="Arial" w:cs="Arial" w:eastAsia="Arial" w:hAnsi="Arial"/>
                <w:sz w:val="18"/>
                <w:szCs w:val="18"/>
                <w:color w:val="auto"/>
              </w:rPr>
              <w:t>2,395,346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Repurchased</w:t>
            </w:r>
          </w:p>
        </w:tc>
        <w:tc>
          <w:tcPr>
            <w:tcW w:w="1940" w:type="dxa"/>
            <w:vAlign w:val="bottom"/>
          </w:tcPr>
          <w:p>
            <w:pPr>
              <w:jc w:val="right"/>
              <w:spacing w:after="0"/>
              <w:rPr>
                <w:sz w:val="20"/>
                <w:szCs w:val="20"/>
                <w:color w:val="auto"/>
              </w:rPr>
            </w:pPr>
            <w:r>
              <w:rPr>
                <w:rFonts w:ascii="Arial" w:cs="Arial" w:eastAsia="Arial" w:hAnsi="Arial"/>
                <w:sz w:val="18"/>
                <w:szCs w:val="18"/>
                <w:color w:val="auto"/>
              </w:rPr>
              <w:t>(144,859)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(881,470)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December 31, 2019</w:t>
            </w:r>
          </w:p>
        </w:tc>
        <w:tc>
          <w:tcPr>
            <w:tcW w:w="1940" w:type="dxa"/>
            <w:vAlign w:val="bottom"/>
          </w:tcPr>
          <w:p>
            <w:pPr>
              <w:jc w:val="right"/>
              <w:spacing w:after="0"/>
              <w:rPr>
                <w:sz w:val="20"/>
                <w:szCs w:val="20"/>
                <w:color w:val="auto"/>
              </w:rPr>
            </w:pPr>
            <w:r>
              <w:rPr>
                <w:rFonts w:ascii="Arial" w:cs="Arial" w:eastAsia="Arial" w:hAnsi="Arial"/>
                <w:sz w:val="18"/>
                <w:szCs w:val="18"/>
                <w:color w:val="auto"/>
              </w:rPr>
              <w:t>1,499,715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 (unaudited)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Repurchased (unaudited)</w:t>
            </w:r>
          </w:p>
        </w:tc>
        <w:tc>
          <w:tcPr>
            <w:tcW w:w="1940" w:type="dxa"/>
            <w:vAlign w:val="bottom"/>
          </w:tcPr>
          <w:p>
            <w:pPr>
              <w:jc w:val="right"/>
              <w:spacing w:after="0"/>
              <w:rPr>
                <w:sz w:val="20"/>
                <w:szCs w:val="20"/>
                <w:color w:val="auto"/>
              </w:rPr>
            </w:pPr>
            <w:r>
              <w:rPr>
                <w:rFonts w:ascii="Arial" w:cs="Arial" w:eastAsia="Arial" w:hAnsi="Arial"/>
                <w:sz w:val="18"/>
                <w:szCs w:val="18"/>
                <w:color w:val="auto"/>
              </w:rPr>
              <w:t>(215,240)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(unaudited)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Unvested at September 30, 2020 (unaudited)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1,192,560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fair value of the restricted shares of Class A common stock that vested during the years ended December 31, 2018 and 2019, was $0.2 million and $0.3 million, respectively, and was $0.4 million for nine months ended September 30, 2020 (unaudited).</w:t>
      </w:r>
    </w:p>
    <w:p>
      <w:pPr>
        <w:spacing w:after="0" w:line="11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Amounts due from the Company’s employees, directors and consultants for the exercise of stock options and related tax withholding of $0.7 million are recorded as other receivables, related parties on the balance sheet as of September 30, 2020 (unaudited), all of which were received by the Company in October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During the nine months ended September 30, 2020 (unaudited), the Company granted certain employees 335,194 RSUs under the 2020 RSU Plan that entitle the holder to receive shares of Class A common stock upon vesting. The Company has not recognized any stock-based compensation for these RSUs, which vest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21" w:right="339" w:bottom="1440" w:gutter="0" w:footer="0" w:header="0"/>
          <w:type w:val="continuous"/>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satisfaction of both a service condition and a performance condition that is satisfied upon the closing of the IPO and is not considered probable until such event occurs. Stock-based compensation will be recognized using the accelerated attribution method from the grant date upon achievement of the performance condition. 50% of the RSUs vest upon the one-year anniversary of the IPO and the remaining 50% vest upon the two-year anniversary of the IPO. The weighted-average grant date fair value of the RSUs was $3.39 per share.</w:t>
      </w:r>
    </w:p>
    <w:p>
      <w:pPr>
        <w:spacing w:after="0" w:line="133"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If the performance condition had been achieved as of September 30, 2020, the Company would have recognized $0.2 million in additional stock-based compensation related to the RSUs for the service period rendered from the date of grant through September 30, 2020.</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40" w:type="dxa"/>
            <w:vAlign w:val="bottom"/>
          </w:tcPr>
          <w:p>
            <w:pPr>
              <w:spacing w:after="0"/>
              <w:rPr>
                <w:sz w:val="17"/>
                <w:szCs w:val="17"/>
                <w:color w:val="auto"/>
              </w:rPr>
            </w:pPr>
          </w:p>
        </w:tc>
        <w:tc>
          <w:tcPr>
            <w:tcW w:w="260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840" w:type="dxa"/>
            <w:vAlign w:val="bottom"/>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187"/>
        </w:trPr>
        <w:tc>
          <w:tcPr>
            <w:tcW w:w="4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6"/>
                <w:szCs w:val="16"/>
                <w:color w:val="auto"/>
              </w:rPr>
            </w:pPr>
          </w:p>
        </w:tc>
      </w:tr>
      <w:tr>
        <w:trPr>
          <w:trHeight w:val="23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granted to employees and directors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Stock options granted to non-employees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231F20"/>
              </w:rPr>
              <w:t>194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 of Class A common stock</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242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484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w:t>
            </w:r>
          </w:p>
        </w:tc>
      </w:tr>
      <w:tr>
        <w:trPr>
          <w:trHeight w:val="21"/>
        </w:trPr>
        <w:tc>
          <w:tcPr>
            <w:tcW w:w="4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20" w:firstLine="324"/>
        <w:spacing w:after="0" w:line="277" w:lineRule="auto"/>
        <w:rPr>
          <w:sz w:val="20"/>
          <w:szCs w:val="20"/>
          <w:color w:val="auto"/>
        </w:rPr>
      </w:pPr>
      <w:r>
        <w:rPr>
          <w:rFonts w:ascii="Arial" w:cs="Arial" w:eastAsia="Arial" w:hAnsi="Arial"/>
          <w:sz w:val="18"/>
          <w:szCs w:val="18"/>
          <w:color w:val="auto"/>
        </w:rPr>
        <w:t>The following table summarizes the components of stock-based compensation recognized in the Company’s statements of operations and comprehensive loss (in thousands):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32385</wp:posOffset>
            </wp:positionV>
            <wp:extent cx="21856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9" w:lineRule="exact"/>
        <w:rPr>
          <w:sz w:val="20"/>
          <w:szCs w:val="20"/>
          <w:color w:val="auto"/>
        </w:rPr>
      </w:pPr>
    </w:p>
    <w:p>
      <w:pPr>
        <w:ind w:left="5100"/>
        <w:spacing w:after="0"/>
        <w:tabs>
          <w:tab w:leader="none" w:pos="68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46990</wp:posOffset>
            </wp:positionV>
            <wp:extent cx="21856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6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385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December 31, 2019 and September 30, 2020 (unaudited), the total unrecognized stock-based compensation related to unvested stock options and restricted stock awards was $3.8 million and $14.7 million, which the Company expects to recognize over a remaining weighted-average period of 2.71 years and 1.71 years, respectively.</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granted 59,577 shares of performance-based stock options in February 2018 through June 2019, of which 3,504 shares have vested or been determined to be probable to vest as of December 31, 2019. There is $0.1 million in unrecognized stock-based compensation associated with options not determined to be probable of vesting as of December 31, 2019.</w:t>
      </w:r>
    </w:p>
    <w:p>
      <w:pPr>
        <w:spacing w:after="0" w:line="126"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2018 and 2019 or during the nine months ended September 30, 2020 (unaudited).</w:t>
      </w:r>
    </w:p>
    <w:p>
      <w:pPr>
        <w:spacing w:after="0" w:line="126"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Facility Lease Agreement</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On March 1, 2018, the Company entered into an 18-month sublease agreement for its facility in South San Francisco, California. In March 2019, the Company extended the lease term until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type w:val="continuous"/>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firstLine="324"/>
        <w:spacing w:after="0" w:line="301" w:lineRule="auto"/>
        <w:rPr>
          <w:sz w:val="20"/>
          <w:szCs w:val="20"/>
          <w:color w:val="auto"/>
        </w:rPr>
      </w:pPr>
      <w:r>
        <w:rPr>
          <w:rFonts w:ascii="Arial" w:cs="Arial" w:eastAsia="Arial" w:hAnsi="Arial"/>
          <w:sz w:val="16"/>
          <w:szCs w:val="16"/>
          <w:color w:val="auto"/>
        </w:rPr>
        <w:t>On January 4, 2019, the Company entered into a new lease agreement for office and laboratory space in Redwood City, California. The lease term commenced in November 2019 and ends on September 30, 2029. As of December 31, 2019, the Company has moved into this facility and no longer occupies the facility in South San Francisco. In connection with the lease, the Company maintains a letter of credit issued to the lessor in the amount of $0.3 million, which is secured by restricted cash that is classified as non-current based on the term of the underlying lease.</w:t>
      </w:r>
    </w:p>
    <w:p>
      <w:pPr>
        <w:spacing w:after="0" w:line="103"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During the nine months ended September 30, 2020 (unaudited), the Company entered into an amendment to the lease agreement with respect to its facility in Redwood City, California in June 2020. The amendment is accounted for as a new operating lease. The amendment makes certain changes to the original lease, including (i) additional office and laboratory space in the same building (Expansion Premises) and (ii) an extension of the expiration date of the original lease to 127.5 months following the delivery date of the Expansion Premises, which is estimated to be July 1, 2021.</w:t>
      </w:r>
    </w:p>
    <w:p>
      <w:pPr>
        <w:spacing w:after="0" w:line="117"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temporary space. The Company is not required to pay additional rent for the temporary space, but is required to pay property taxes, insurance and normal maintenance costs with respect to the temporary space.</w:t>
      </w:r>
    </w:p>
    <w:p>
      <w:pPr>
        <w:spacing w:after="0" w:line="130"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Rent expense was $0.4 million and $0.6 million for the years ended December 31, 2018 and 2019, respectively, and was $0.4 million and $0.5 million for the nine months ended September 30, 2019 and 2020 (unaudited). The Company is required to pay property taxes, insurance, and normal maintenance costs for the facility and will be required to pay any increases over the base year of these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future minimum commitments under the Company’s non-cancelable facility operating lease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2020 (unaudited), future minimum commitments under the Company’s non-cancelable facility operating lease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(three months remaining)</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9"/>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w:t>
            </w: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December 31, 2018 and 2019, and September 30, 2020 (unaudited), the Company does not have any material indemnification claims that were probable or reasonably possible and consequently has not recorded related liabilities.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The Company is not currently a party to any material legal proceedings.</w:t>
      </w:r>
    </w:p>
    <w:p>
      <w:pPr>
        <w:spacing w:after="0" w:line="112"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PROGNOMIQ, INC. (UNAUDITED)</w:t>
      </w:r>
    </w:p>
    <w:p>
      <w:pPr>
        <w:spacing w:after="0" w:line="17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As discussed in Note 14, 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distribution in August 2020, and a subsequent $55.0 million equity financing of PrognomIQ by outside investors, the Company retained a non-controlling equity interest consisting of all the outstanding shares of PrognomIQ’s common stock and representing approximately 19% of total equity interests of PrognomIQ as of September 30, 2020. The Company has accounted for the transfer of certain assets to PrognomIQ as a common control transaction based on the carrying value of the net assets transferred and therefore there was no gain or loss recorded. The carrying value of the net assets transferred to PrognomIQ was nil, except for a cash contribution of $0.1 million.</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concluded that as of the time of the transaction and as of the $55.0 million equity financing of PrognomIQ by outside investors, which was determined to be a VIE reconsideration event,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In performing this analysis, the Company considered its explicit and implicit arrangements with PrognomIQ, a related party, and determined its maximum financial statement exposure related to the investment was its initial investment of $0.1 million.</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has determined that it has the ability to exercise significant influence over PrognomIQ and therefore has accounted for its investment in PrognomIQ using the equity method. During the nine months ended September 30, 2020, the carrying value of the Company’s investment in PrognomIQ was reduced to nil after recognizing net losses based on its percentage of ownership in PrognomIQ.</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connection with the transaction, Omid Farokhzad, the Company’s Chief Executive Officer and Chairman of the Board, was appointed as the chair of PrognomIQ’s board of directors. Additionally, Philip Ma resigned from his position as the Company’s Chief Business Officer and transitioned to the full-time Chief Executive Officer of PrognomIQ, effective October 15, 2020.</w:t>
      </w:r>
    </w:p>
    <w:p>
      <w:pPr>
        <w:spacing w:after="0" w:line="13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PrognomIQ constitutes a related party and as of September 30, 2020, the Company recorded $0.2 million in other receivables, related parties on the balance sheet representing amounts due for general transition services and support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21"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pro-rata distribution to its stockholders of most of the shares of capital stock of PrognomIQ resulted in a taxable gain of $6.4 million in August 2020. Due to the net loss incurred during the nine months ended September 30, 2020, the Company's net operating loss carryforwards, and the full valuation allowance recorded against the Company's net deferred tax assets, there is no income tax expense reflected on the statement of operations and comprehensive loss for the nine months ended September 30, 2020 related to this distribution.</w:t>
      </w:r>
    </w:p>
    <w:p>
      <w:pPr>
        <w:spacing w:after="0" w:line="129"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net loss per share (in thousands, except share and per share data):</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0485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5340"/>
        <w:spacing w:after="0"/>
        <w:tabs>
          <w:tab w:leader="none" w:pos="69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38100</wp:posOffset>
            </wp:positionV>
            <wp:extent cx="20485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31115</wp:posOffset>
            </wp:positionV>
            <wp:extent cx="20485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23495</wp:posOffset>
            </wp:positionV>
            <wp:extent cx="2048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7840" w:space="720"/>
            <w:col w:w="2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w w:val="93"/>
              </w:rPr>
              <w:t>Weighted-average common shares used in computing net loss</w:t>
            </w: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180"/>
              <w:spacing w:after="0" w:line="176" w:lineRule="exact"/>
              <w:rPr>
                <w:sz w:val="20"/>
                <w:szCs w:val="20"/>
                <w:color w:val="auto"/>
              </w:rPr>
            </w:pPr>
            <w:r>
              <w:rPr>
                <w:rFonts w:ascii="Arial" w:cs="Arial" w:eastAsia="Arial" w:hAnsi="Arial"/>
                <w:sz w:val="18"/>
                <w:szCs w:val="18"/>
                <w:color w:val="auto"/>
                <w:w w:val="98"/>
              </w:rPr>
              <w:t>per share attributable to common stockholders, basic and</w:t>
            </w: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3,973,329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6,536,307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1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957"/>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15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182"/>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3"/>
          </w:tcPr>
          <w:p>
            <w:pPr>
              <w:jc w:val="center"/>
              <w:ind w:left="957"/>
              <w:spacing w:after="0"/>
              <w:rPr>
                <w:sz w:val="20"/>
                <w:szCs w:val="20"/>
                <w:color w:val="auto"/>
              </w:rPr>
            </w:pPr>
            <w:r>
              <w:rPr>
                <w:rFonts w:ascii="Arial" w:cs="Arial" w:eastAsia="Arial" w:hAnsi="Arial"/>
                <w:sz w:val="14"/>
                <w:szCs w:val="14"/>
                <w:b w:val="1"/>
                <w:bCs w:val="1"/>
                <w:color w:val="auto"/>
                <w:w w:val="94"/>
              </w:rPr>
              <w:t>(unaudited)</w:t>
            </w:r>
          </w:p>
        </w:tc>
        <w:tc>
          <w:tcPr>
            <w:tcW w:w="106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10,994,225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22,173,216</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14,265,248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29,026,787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Class A common 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1,475,686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2,176,102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2,184,118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7,553,500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6,775,566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3,552,409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4,293,434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1,573,436</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335,194</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27,901,727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20,742,800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38,488,917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21" w:right="339" w:bottom="1440" w:gutter="0" w:footer="0" w:header="0"/>
          <w:type w:val="continuous"/>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 forma net loss attributable to common stockholders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Arial" w:cs="Arial" w:eastAsia="Arial" w:hAnsi="Arial"/>
                <w:sz w:val="18"/>
                <w:szCs w:val="18"/>
                <w:color w:val="auto"/>
              </w:rPr>
              <w:t>Weighted-average common shares used in computing net loss per share attributable to common</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6,952,419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9,709,501</w:t>
            </w:r>
          </w:p>
        </w:tc>
        <w:tc>
          <w:tcPr>
            <w:tcW w:w="0" w:type="dxa"/>
            <w:vAlign w:val="bottom"/>
          </w:tcPr>
          <w:p>
            <w:pPr>
              <w:spacing w:after="0"/>
              <w:rPr>
                <w:sz w:val="1"/>
                <w:szCs w:val="1"/>
                <w:color w:val="auto"/>
              </w:rPr>
            </w:pPr>
          </w:p>
        </w:tc>
      </w:tr>
      <w:tr>
        <w:trPr>
          <w:trHeight w:val="229"/>
        </w:trPr>
        <w:tc>
          <w:tcPr>
            <w:tcW w:w="8020" w:type="dxa"/>
            <w:vAlign w:val="bottom"/>
          </w:tcPr>
          <w:p>
            <w:pPr>
              <w:ind w:left="42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to reflect the assumed conversion of convertible preferred stock</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14,502,368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25,700,054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 forma weighted-average common shares used to compute net loss per share, basic and 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21,454,787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35,409,555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6"/>
                <w:szCs w:val="16"/>
                <w:color w:val="auto"/>
              </w:rPr>
            </w:pPr>
          </w:p>
        </w:tc>
      </w:tr>
      <w:tr>
        <w:trPr>
          <w:trHeight w:val="26"/>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r>
      <w:tr>
        <w:trPr>
          <w:trHeight w:val="184"/>
        </w:trPr>
        <w:tc>
          <w:tcPr>
            <w:tcW w:w="8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benefits at statutory rate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(1,169)</w:t>
            </w: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(3,347)</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(1,264)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8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21"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Deferred income tax reflects the tax effects of temporary differences between the carrying amounts of assets and liabilities for financial reporting purposes and the amounts used for income tax purposes. The categories that give rise to components of the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Accrued expenses and reserves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Fixed assets and intangibles</w:t>
            </w:r>
          </w:p>
        </w:tc>
        <w:tc>
          <w:tcPr>
            <w:tcW w:w="9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deferred tax liabilities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net deferred tax assets (liabilities)</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tax benefit of net operating losses, temporary differences, and credit carryforwards are recorded as an asset to the extent that management assesses that realization is “more likely than not.” Management assesses the available positive and negative evidence to estimate whether sufficient future taxable income will be generated to permit use of existing deferred. A significant piece of objective negative evidence evaluated was the cumulative loss incurred since our incorporation in 2017. Such objective evidence limits the ability to consider other subjective evidence, such as our projections for future growth. On the basis of this evaluation, as of December 31, 2018 and 2019, a full valuation allowance has been recorded against our net deferred tax assets. The amount of the net deferred tax assets considered realizable, could be adjusted as estimates of future taxable income during the carryforward period are reduced or increased or if objective negative evidence in the form of cumulative losses is no longer present and additional weight is given to subjective evidence such as our projections for growth. As of December 31, 2018 and 2019, the Company had net deferred tax assets of $1.4 million and $6.2 million, respectively. For the years ended December 31, 2018 and 2019, the net changes in the net valuation allowance were an increase of $1.4 million and an increase of $4.8 million, respectively.</w:t>
      </w:r>
    </w:p>
    <w:p>
      <w:pPr>
        <w:spacing w:after="0" w:line="13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As of December 31, 2018 and 2019, the Company had federal net operating loss carryforwards of approximately $5.0 million and $18.4 million, respectively, which do not expire. At December 31, 2018 and 2019, the Company had state net operating loss carryforwards of approximately $0.3 million and $16.7 million, respectively, which will begin to expire in 2031 for state tax purposes.</w:t>
      </w:r>
    </w:p>
    <w:p>
      <w:pPr>
        <w:spacing w:after="0" w:line="130"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As of December 31, 2018 and 2019, the Company had federal research and development credit carryforwards of approximately $0.2 million and $0.4 million, respectively, which begin to expire in 2037 and state research and development credit carryforwards of approximately $0.2 million and $0.5 million, respectively, which will carry forward indefinitely.</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Utilization of the Company’s federal and state net operating loss and tax credit carryforwards may be subject to an annual limitation in the event that there is a change in ownership as provided by Section 382 of the Internal Revenue Code and similar state codes. Such limitation could result in a deferral or expiration of the utilization of the net operating loss and tax credit carryforwards. The Company has not performed a Section 382 analysis of its prior ownership changes to date.</w:t>
      </w:r>
    </w:p>
    <w:p>
      <w:pPr>
        <w:spacing w:after="0" w:line="13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2018 and 2019, the Company had unrecognized tax benefits of approximately $0.1 million and $0.3 million, respectively. The amount of unrecognized tax benefits is not expected to significantly change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21"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next 12 months. No amounts would impact the effective tax rate on continuing operations as any change would offset with a corresponding adjustment to the valuation allowance. The beginning and ending unrecognized tax benefits amounts is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related to prior year provisions</w:t>
            </w:r>
          </w:p>
        </w:tc>
        <w:tc>
          <w:tcPr>
            <w:tcW w:w="10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related to current year provisions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It is the Company’s policy to include any assessed penalties and interest expense related to income taxes as a component of other expense and interest expense, respectively, as necessary. Management determined that no accrual for interest and penalties was required as of December 31, 2019.</w:t>
      </w:r>
    </w:p>
    <w:p>
      <w:pPr>
        <w:spacing w:after="0" w:line="7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All tax returns will remain open for examination by the federal and state taxing authorities for three and four years, respectively, from the date of utilization of any net operating loss carryforwards or research and development credits.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nine months ended September 30, 2019 and 2020 (unaudited), the Company did not record an income tax expense. The Company will continue to maintain a full valuation allowance against its deferred tax assets as the Company believes it is more likely than not that the related deferred tax asset will not be realized. As a result, the Company’s income tax expense will remain at nil as no items that are either estimated or discrete items would impact the tax expense for the period.</w:t>
      </w:r>
    </w:p>
    <w:p>
      <w:pPr>
        <w:spacing w:after="0" w:line="13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March 27, 2020, the Coronavirus Aid, Relief and Economic Security (CARES) Act was enacted and signed into law. U.S.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COVID-19 pandemic. The Company evaluated the impact of the CARES Act and determined that its adoption did not have a material impact to the income tax provision for the nine months ended September 30, 2020.</w:t>
      </w:r>
    </w:p>
    <w:p>
      <w:pPr>
        <w:spacing w:after="0" w:line="107"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evaluated events subsequent from December 31, 2019 through September 25, 2020, the date at which the financial statements as of and for the years ended December 31, 2018 and 2019 were available to be issued except for the Reverse Stock Split as to which the date is as of November 30, 2020.</w:t>
      </w:r>
    </w:p>
    <w:p>
      <w:pPr>
        <w:spacing w:after="0" w:line="13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March 2020, the Company entered into a sponsored research agreement with a pharmaceutical company under which the Company is required to execute certain research and development activities for total consideration of $0.5 million.</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In May 2020, the Company issued 6,853,571 shares of its Series D-1 convertible preferred stock at a price per share of $8.03 for gross proceeds of $55.0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December 2019, an outbreak of a novel strain of coronavirus (COVID-19) originated in Wuhan, China, and has since spread globally. On March 11, 2020, the World Health Organization characterized COVID-19 as a pandemic and, on March 13, 2020, the United States declared a national emergency with respect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21" w:right="3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As a result of COVID-19, the Company’s operations experienced disruptions and restrictions on employees’ ability to work,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are located in the areas impacted by COVID-19, which may limit the Company’s ability to achieve planned progress. COVID-19 has adversely affected the broader economy and financial markets, resulting in an economic downturn that could affect the Company’s financing prospects. Continued disruptions from COVID-19 could harm the Company’s operations and the Company cannot anticipate all the ways in which it could be adversely impacted by health epidemics such as COVID-19.</w:t>
      </w:r>
    </w:p>
    <w:p>
      <w:pPr>
        <w:spacing w:after="0" w:line="141"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As of the date of the issuance of these financial statements, the COVID-19 pandemic has mainly impacted the progress of research and development activities due to the limited ability of the Company’s employees to access laboratories during times of statewide quarantine and on some of its suppliers who have experienced a surge in demand for their products resulting in supply delays for critical hardware, instrumentation and medical and testing supplies used for product development. In addition, the Company temporarily suspended its recruiting and hiring activities during the second quarter of 2020 as a result of the COVID-19 pandemic. The Company continues to monitor and assess the effects of the COVID-19 pandemic on its business, financial condition, results of operations and cash flows.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Amendment</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June 2020, the Company entered into an amendment to the lease agreement with respect to its facility in Redwood City, California. The amendment makes certain changes to the original lease, including (i) the addition of approximately 13,638 square feet of office and laboratory space in the same building (Expansion Premises) and (ii) an extension of the expiration date of the original lease to 127.5 months following the delivery date of the expansion premises, which is estimated to be July 1, 2021.</w:t>
      </w:r>
    </w:p>
    <w:p>
      <w:pPr>
        <w:spacing w:after="0" w:line="133"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The Company is required to pay property taxes, insurance, and normal maintenance costs for the Expansion Premises, on the same terms as the existing facility. Under the amendment, the Company retains its original option to renew the lease for an additional five-year term, at then-current market rates.</w:t>
      </w:r>
    </w:p>
    <w:p>
      <w:pPr>
        <w:spacing w:after="0" w:line="13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During the period from the lease amendment commencement until the earlier of one month after occupancy of the Expansion Premises or September 2021, the Company will be provided with approximately 12,700 square feet of temporary space located in an adjacent building. The Company is not required to pay additional rent for the temporary space, but is required to pay property taxes, insurance and normal maintenance costs with respect to the temporary space.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PrognomIQ Transaction</w:t>
      </w:r>
    </w:p>
    <w:p>
      <w:pPr>
        <w:spacing w:after="0" w:line="171"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August 2020, the Company transferred certain assets related to disease testing to PrognomIQ, Inc. (PrognomIQ), a new wholly-owned subsidiary, in exchange for all of its outstanding equity interests. Following the transfer, the Company completed a pro-rata distribution to its stockholders of most of the shares of capital stock of PrognomIQ. Following the distribution and a subsequent $55.0 million equity financing of PrognomIQ, the Company holds approximately 19% of the outstanding capital stock in PrognomIQ. The PrognomIQ transaction will be accounted for as a common control transaction and will, therefore, be recorded using carryover basis. The Company does not expect it to have a material impact to the financial statements.</w:t>
      </w:r>
    </w:p>
    <w:p>
      <w:pPr>
        <w:spacing w:after="0" w:line="107" w:lineRule="exact"/>
        <w:rPr>
          <w:sz w:val="20"/>
          <w:szCs w:val="20"/>
          <w:color w:val="auto"/>
        </w:rPr>
      </w:pPr>
    </w:p>
    <w:p>
      <w:pPr>
        <w:ind w:right="700" w:firstLine="324"/>
        <w:spacing w:after="0" w:line="308" w:lineRule="auto"/>
        <w:rPr>
          <w:sz w:val="20"/>
          <w:szCs w:val="20"/>
          <w:color w:val="auto"/>
        </w:rPr>
      </w:pPr>
      <w:r>
        <w:rPr>
          <w:rFonts w:ascii="Arial" w:cs="Arial" w:eastAsia="Arial" w:hAnsi="Arial"/>
          <w:sz w:val="17"/>
          <w:szCs w:val="17"/>
          <w:color w:val="auto"/>
        </w:rPr>
        <w:t>Omid Farokhzad, Chief Executive Officer, serves as the Chair of PrognomIQ’s board of directors. Philip Ma resigned from his position as the Company’s Chief Business Officer and transitioned to the full-time Chief Executive Officer of PrognomIQ, effective October 15, 2020.</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Furthermore, pursuant to the anti-dilution provisions included in the Company's stock incentive plan, certain adjustments were made to the number and exercise price of the outstanding stock-based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121" w:right="35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(information as of September 30, 2020 and for the nine months ended September 30, 2019 and 2020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granted to the Company’s employees and directors to maintain the aggregate intrinsic value of the awards at the date of the spin-off. Except for these adjustments, the material terms of the awards remained unchanged, and the awards will continue to vest over their original vesting period. The Company is still evaluating the accounting for these adjustments and its impact on our results of operations and financial position.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103"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(UNAUDITED)</w:t>
      </w:r>
    </w:p>
    <w:p>
      <w:pPr>
        <w:spacing w:after="0" w:line="17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The Company evaluated subsequent events through October 30, 2020, the date at which the unaudited financial statements as of September 30, 2020 and for the nine months ended September 30, 2019 and 2020 were issued; except for the purchase agreement disclosed below as to which the date is November 12, 2020 except for the Reverse Stock Split as to which the date is as of November 30, 2020.</w:t>
      </w:r>
    </w:p>
    <w:p>
      <w:pPr>
        <w:spacing w:after="0" w:line="1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November 12, 2020, the Company entered into a purchase agreement with Fidelity Management &amp; Research Company LLC, SoftBank, certain funds and accounts advised by T. Rowe Price Associates, Inc. and aMoon Fund to purchase an aggregate of $135.0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November 2020, the Company’s board of directors approved an amended and restated certificate of incorporation to effect a reverse split of shares of the Company’s common stock and convertible preferred stock on a 1-for-2.14 basis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financial statements have been retrospectively adjusted to reflect the effect of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21" w:right="339" w:bottom="1440" w:gutter="0" w:footer="0" w:header="0"/>
        </w:sectPr>
      </w:pPr>
    </w:p>
    <w:bookmarkStart w:id="224" w:name="page225"/>
    <w:bookmarkEnd w:id="2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3,500,000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281305</wp:posOffset>
            </wp:positionV>
            <wp:extent cx="3000375" cy="9772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0037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auto"/>
        </w:rPr>
        <w:t>Seer, Inc.</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281305</wp:posOffset>
            </wp:positionV>
            <wp:extent cx="35744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1775460</wp:posOffset>
            </wp:positionH>
            <wp:positionV relativeFrom="paragraph">
              <wp:posOffset>40005</wp:posOffset>
            </wp:positionV>
            <wp:extent cx="35744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3200" w:val="left"/>
          <w:tab w:leader="none" w:pos="6500" w:val="left"/>
          <w:tab w:leader="none" w:pos="103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Morgan Stanley</w:t>
      </w:r>
      <w:r>
        <w:rPr>
          <w:sz w:val="20"/>
          <w:szCs w:val="20"/>
          <w:color w:val="auto"/>
        </w:rPr>
        <w:tab/>
      </w:r>
      <w:r>
        <w:rPr>
          <w:rFonts w:ascii="Arial" w:cs="Arial" w:eastAsia="Arial" w:hAnsi="Arial"/>
          <w:sz w:val="29"/>
          <w:szCs w:val="29"/>
          <w:b w:val="1"/>
          <w:bCs w:val="1"/>
          <w:color w:val="auto"/>
        </w:rPr>
        <w:t>BofA Securities</w:t>
      </w:r>
      <w:r>
        <w:rPr>
          <w:sz w:val="20"/>
          <w:szCs w:val="20"/>
          <w:color w:val="auto"/>
        </w:rPr>
        <w:tab/>
      </w:r>
      <w:r>
        <w:rPr>
          <w:rFonts w:ascii="Arial" w:cs="Arial" w:eastAsia="Arial" w:hAnsi="Arial"/>
          <w:sz w:val="26"/>
          <w:szCs w:val="26"/>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225" w:name="page226"/>
    <w:bookmarkEnd w:id="225"/>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and the filing fee of the Financial Industry Regulatory Authority, Inc., or FINRA.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Amount Paid Or To Be</w:t>
            </w:r>
          </w:p>
        </w:tc>
      </w:tr>
      <w:tr>
        <w:trPr>
          <w:trHeight w:val="186"/>
        </w:trPr>
        <w:tc>
          <w:tcPr>
            <w:tcW w:w="9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Paid</w:t>
            </w:r>
          </w:p>
        </w:tc>
      </w:tr>
      <w:tr>
        <w:trPr>
          <w:trHeight w:val="26"/>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34,867</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225,500</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Printing and engraving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Transfer agent and registrar fees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6"/>
        </w:trPr>
        <w:tc>
          <w:tcPr>
            <w:tcW w:w="96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765,367</w:t>
            </w:r>
          </w:p>
        </w:tc>
      </w:tr>
      <w:tr>
        <w:trPr>
          <w:trHeight w:val="27"/>
        </w:trPr>
        <w:tc>
          <w:tcPr>
            <w:tcW w:w="9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provides for the indemnification of the registrant’s directors and officers to the fullest extent permitted under the DGCL. In addition, the bylaws of the registrant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25"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3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liable for such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21" w:right="339" w:bottom="1440" w:gutter="0" w:footer="0" w:header="0"/>
        </w:sectPr>
      </w:pPr>
    </w:p>
    <w:bookmarkStart w:id="226" w:name="page227"/>
    <w:bookmarkEnd w:id="226"/>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30"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0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30"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January 1, 2018, we have issued the following unregistered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Issuances of Convertible Preferred Stock</w:t>
      </w:r>
    </w:p>
    <w:p>
      <w:pPr>
        <w:spacing w:after="0" w:line="171" w:lineRule="exact"/>
        <w:rPr>
          <w:sz w:val="20"/>
          <w:szCs w:val="20"/>
          <w:color w:val="auto"/>
        </w:rPr>
      </w:pPr>
    </w:p>
    <w:p>
      <w:pPr>
        <w:ind w:left="660" w:right="18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March 23, 2018, we sold 7,906,757 shares of Series B convertible preferred stock to eleven accredited investors at a price of $3.80 per share, for aggregate proceeds of approximately $30,000,000.</w:t>
      </w:r>
    </w:p>
    <w:p>
      <w:pPr>
        <w:spacing w:after="0" w:line="116" w:lineRule="exact"/>
        <w:rPr>
          <w:rFonts w:ascii="Arial" w:cs="Arial" w:eastAsia="Arial" w:hAnsi="Arial"/>
          <w:sz w:val="18"/>
          <w:szCs w:val="18"/>
          <w:color w:val="auto"/>
        </w:rPr>
      </w:pPr>
    </w:p>
    <w:p>
      <w:pPr>
        <w:ind w:left="660" w:right="480" w:hanging="328"/>
        <w:spacing w:after="0" w:line="308" w:lineRule="auto"/>
        <w:tabs>
          <w:tab w:leader="none" w:pos="6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On March 7, 2019 and April 12, 2019, we sold 1,869,154 and 1,401,869 shares of Series C convertible preferred stock, respectively, to eight accredited investors at a price of $5.35 per share, for total aggregate proceeds of approximately $17,500,000.</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May 7, 2019, we issued convertible promissory notes in the aggregate principal amount of $400,000 to two accredited investors.</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November 15, 2019 and December 13, 2019, we sold 7,120,588 and 787,380 shares of Series D convertible preferred stock, respectively, to 18 accredited investors at a price of $6.96 per share, for total aggregate proceeds of approximately $55,000,000, which consideration included $400,000 in cancellation of indebtedness.</w:t>
      </w:r>
    </w:p>
    <w:p>
      <w:pPr>
        <w:spacing w:after="0" w:line="129"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May 12, 2020, we sold 6,853,582 shares of Series D-1 convertible preferred stock to 21 accredited investors at a price of $8.03 per share, for aggregate proceeds of approximately $55,000,000.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RSU and Common Stock Issuances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September 1, 2017, we have issued the following unregistered securities:</w:t>
      </w:r>
    </w:p>
    <w:p>
      <w:pPr>
        <w:spacing w:after="0" w:line="171" w:lineRule="exact"/>
        <w:rPr>
          <w:sz w:val="20"/>
          <w:szCs w:val="20"/>
          <w:color w:val="auto"/>
        </w:rPr>
      </w:pPr>
    </w:p>
    <w:p>
      <w:pPr>
        <w:ind w:left="660" w:right="6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From September 20, 2017 to January 14, 2021, we granted to our directors, officers, employees, consultants and other service providers options to purchase an aggregate of 10,781,124 shares of our 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21" w:right="339" w:bottom="1440" w:gutter="0" w:footer="0" w:header="0"/>
        </w:sectPr>
      </w:pPr>
    </w:p>
    <w:bookmarkStart w:id="227" w:name="page228"/>
    <w:bookmarkEnd w:id="227"/>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under our equity compensation plans, at exercise prices ranging from approximately $0.02 to 7.96 per share.</w:t>
      </w:r>
    </w:p>
    <w:p>
      <w:pPr>
        <w:spacing w:after="0" w:line="171" w:lineRule="exact"/>
        <w:rPr>
          <w:sz w:val="20"/>
          <w:szCs w:val="20"/>
          <w:color w:val="auto"/>
        </w:rPr>
      </w:pPr>
    </w:p>
    <w:p>
      <w:pPr>
        <w:ind w:left="660" w:right="80" w:hanging="328"/>
        <w:spacing w:after="0" w:line="286" w:lineRule="auto"/>
        <w:tabs>
          <w:tab w:leader="none" w:pos="65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From September 20, 2017 to January 14, 2021 we issued and sold to our officers, directors, employees, consultants and other service providers an aggregate of 1,705,151 shares of our Class A common stock upon the exercise of options under our equity compensation plans at exercise prices ranging from $0.00002 to $3.47 per share, for a weighted-average exercise price of $0.77 per share.</w:t>
      </w:r>
    </w:p>
    <w:p>
      <w:pPr>
        <w:spacing w:after="0" w:line="111" w:lineRule="exact"/>
        <w:rPr>
          <w:rFonts w:ascii="Arial" w:cs="Arial" w:eastAsia="Arial" w:hAnsi="Arial"/>
          <w:sz w:val="17"/>
          <w:szCs w:val="17"/>
          <w:color w:val="auto"/>
        </w:rPr>
      </w:pPr>
    </w:p>
    <w:p>
      <w:pPr>
        <w:jc w:val="both"/>
        <w:ind w:left="660" w:right="120" w:hanging="328"/>
        <w:spacing w:after="0" w:line="263"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From September 20, 2017 to February 26, 2018, we issued and sold to our officers, directors, employees, consultants and other service providers an aggregate of 2,013,187 shares of our Class A common stock under our equity compensation plans at exercise prices ranging from $0.00002 to $0.03 per share.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From April 1, 2020 to November 12, 2020, we granted to our directors, officers, employees, consultants and other service providers an aggregate of 381,922 RSUs to be settled in shares of our Class A common stock under our equity compensation plans.</w:t>
      </w:r>
    </w:p>
    <w:p>
      <w:pPr>
        <w:spacing w:after="0" w:line="116" w:lineRule="exact"/>
        <w:rPr>
          <w:rFonts w:ascii="Arial" w:cs="Arial" w:eastAsia="Arial" w:hAnsi="Arial"/>
          <w:sz w:val="18"/>
          <w:szCs w:val="18"/>
          <w:color w:val="auto"/>
        </w:rPr>
      </w:pPr>
    </w:p>
    <w:p>
      <w:pPr>
        <w:ind w:left="660" w:right="20" w:hanging="328"/>
        <w:spacing w:after="0" w:line="301" w:lineRule="auto"/>
        <w:tabs>
          <w:tab w:leader="none" w:pos="65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On December 9, 2020, each of Fidelity Management &amp; Research Company LLC, accounts advised by T. Rowe Price Associates, Inc. and aMoon Fund purchased from us in a private placement shares of our Class A common stock at a price per share equal to the initial public offering price of $19.00 per share. Each of Fidelity Management &amp; Research Company LLC and certain funds and accounts advised by T. Rowe Price Associates, Inc. each purchased 2,105,263 shares of our Class A common stock and aMoon Fund purchased 789,473 shares of our Class A common stock.</w:t>
      </w:r>
    </w:p>
    <w:p>
      <w:pPr>
        <w:spacing w:after="0" w:line="1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Except as set forth below, 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171"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16" w:lineRule="exact"/>
        <w:rPr>
          <w:sz w:val="20"/>
          <w:szCs w:val="20"/>
          <w:color w:val="auto"/>
        </w:rPr>
      </w:pPr>
    </w:p>
    <w:p>
      <w:pPr>
        <w:ind w:left="640" w:hanging="308"/>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1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21" w:right="359" w:bottom="1440" w:gutter="0" w:footer="0" w:header="0"/>
        </w:sectPr>
      </w:pPr>
    </w:p>
    <w:bookmarkStart w:id="228" w:name="page229"/>
    <w:bookmarkEnd w:id="228"/>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hereby undertakes that:</w:t>
      </w:r>
    </w:p>
    <w:p>
      <w:pPr>
        <w:spacing w:after="0" w:line="171" w:lineRule="exact"/>
        <w:rPr>
          <w:sz w:val="20"/>
          <w:szCs w:val="20"/>
          <w:color w:val="auto"/>
        </w:rPr>
      </w:pPr>
    </w:p>
    <w:p>
      <w:pPr>
        <w:ind w:left="660" w:hanging="328"/>
        <w:spacing w:after="0" w:line="311" w:lineRule="auto"/>
        <w:tabs>
          <w:tab w:leader="none" w:pos="65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94" w:lineRule="exact"/>
        <w:rPr>
          <w:rFonts w:ascii="Arial" w:cs="Arial" w:eastAsia="Arial" w:hAnsi="Arial"/>
          <w:sz w:val="16"/>
          <w:szCs w:val="16"/>
          <w:color w:val="auto"/>
        </w:rPr>
      </w:pPr>
    </w:p>
    <w:p>
      <w:pPr>
        <w:ind w:left="660" w:right="60" w:hanging="328"/>
        <w:spacing w:after="0" w:line="263" w:lineRule="auto"/>
        <w:tabs>
          <w:tab w:leader="none" w:pos="65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320" w:top="121" w:right="379" w:bottom="1440" w:gutter="0" w:footer="0" w:header="0"/>
        </w:sectPr>
      </w:pPr>
    </w:p>
    <w:bookmarkStart w:id="229" w:name="page230"/>
    <w:bookmarkEnd w:id="229"/>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4"/>
          </w:tcPr>
          <w:p>
            <w:pPr>
              <w:ind w:left="140"/>
              <w:spacing w:after="0"/>
              <w:rPr>
                <w:sz w:val="20"/>
                <w:szCs w:val="20"/>
                <w:color w:val="auto"/>
              </w:rPr>
            </w:pPr>
            <w:r>
              <w:rPr>
                <w:rFonts w:ascii="Arial" w:cs="Arial" w:eastAsia="Arial" w:hAnsi="Arial"/>
                <w:sz w:val="13"/>
                <w:szCs w:val="13"/>
                <w:b w:val="1"/>
                <w:bCs w:val="1"/>
                <w:color w:val="auto"/>
              </w:rPr>
              <w:t>Incorporated By Reference</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9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4"/>
                <w:szCs w:val="14"/>
                <w:color w:val="auto"/>
              </w:rPr>
            </w:pPr>
          </w:p>
        </w:tc>
        <w:tc>
          <w:tcPr>
            <w:tcW w:w="4880" w:type="dxa"/>
            <w:vAlign w:val="bottom"/>
            <w:gridSpan w:val="23"/>
          </w:tcPr>
          <w:p>
            <w:pPr>
              <w:spacing w:after="0"/>
              <w:rPr>
                <w:sz w:val="20"/>
                <w:szCs w:val="20"/>
                <w:color w:val="auto"/>
              </w:rPr>
            </w:pPr>
            <w:r>
              <w:rPr>
                <w:rFonts w:ascii="Arial" w:cs="Arial" w:eastAsia="Arial" w:hAnsi="Arial"/>
                <w:sz w:val="13"/>
                <w:szCs w:val="13"/>
                <w:b w:val="1"/>
                <w:bCs w:val="1"/>
                <w:color w:val="auto"/>
              </w:rPr>
              <w:t>Description</w:t>
            </w: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Form</w:t>
            </w: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File No.</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Exhibit</w:t>
            </w:r>
          </w:p>
        </w:tc>
        <w:tc>
          <w:tcPr>
            <w:tcW w:w="1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Filing Date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Filed Herewith</w:t>
            </w:r>
          </w:p>
        </w:tc>
        <w:tc>
          <w:tcPr>
            <w:tcW w:w="0" w:type="dxa"/>
            <w:vAlign w:val="bottom"/>
          </w:tcPr>
          <w:p>
            <w:pPr>
              <w:spacing w:after="0"/>
              <w:rPr>
                <w:sz w:val="1"/>
                <w:szCs w:val="1"/>
                <w:color w:val="auto"/>
              </w:rPr>
            </w:pPr>
          </w:p>
        </w:tc>
      </w:tr>
      <w:tr>
        <w:trPr>
          <w:trHeight w:val="29"/>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0" w:type="dxa"/>
            <w:vAlign w:val="bottom"/>
          </w:tcPr>
          <w:p>
            <w:pPr>
              <w:ind w:left="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w:anchor="page233">
              <w:r>
                <w:rPr>
                  <w:rFonts w:ascii="Arial" w:cs="Arial" w:eastAsia="Arial" w:hAnsi="Arial"/>
                  <w:sz w:val="14"/>
                  <w:szCs w:val="14"/>
                  <w:u w:val="single" w:color="auto"/>
                  <w:color w:val="0000FF"/>
                </w:rPr>
                <w:t>Form of Underwriting Agreement.</w:t>
              </w:r>
            </w:hyperlink>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06">
              <w:r>
                <w:rPr>
                  <w:rFonts w:ascii="Arial" w:cs="Arial" w:eastAsia="Arial" w:hAnsi="Arial"/>
                  <w:sz w:val="14"/>
                  <w:szCs w:val="14"/>
                  <w:u w:val="single" w:color="auto"/>
                  <w:color w:val="0000FF"/>
                </w:rPr>
                <w:t>Amended and Restated Certificate of Incorporation of the Registrant.</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001-39747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8,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07">
              <w:r>
                <w:rPr>
                  <w:rFonts w:ascii="Arial" w:cs="Arial" w:eastAsia="Arial" w:hAnsi="Arial"/>
                  <w:sz w:val="14"/>
                  <w:szCs w:val="14"/>
                  <w:u w:val="single" w:color="auto"/>
                  <w:color w:val="0000FF"/>
                </w:rPr>
                <w:t>Amended and Restated Bylaws of the Registrant.</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060" w:type="dxa"/>
            <w:vAlign w:val="bottom"/>
          </w:tcPr>
          <w:p>
            <w:pPr>
              <w:jc w:val="center"/>
              <w:spacing w:after="0"/>
              <w:rPr>
                <w:sz w:val="20"/>
                <w:szCs w:val="20"/>
                <w:color w:val="auto"/>
              </w:rPr>
            </w:pPr>
            <w:r>
              <w:rPr>
                <w:rFonts w:ascii="Arial" w:cs="Arial" w:eastAsia="Arial" w:hAnsi="Arial"/>
                <w:sz w:val="14"/>
                <w:szCs w:val="14"/>
                <w:color w:val="auto"/>
                <w:w w:val="92"/>
              </w:rPr>
              <w:t>001-39747</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December 8,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08">
              <w:r>
                <w:rPr>
                  <w:rFonts w:ascii="Arial" w:cs="Arial" w:eastAsia="Arial" w:hAnsi="Arial"/>
                  <w:sz w:val="14"/>
                  <w:szCs w:val="14"/>
                  <w:u w:val="single" w:color="auto"/>
                  <w:color w:val="0000FF"/>
                </w:rPr>
                <w:t>Form of common stock certificate of the Registrant.</w:t>
              </w:r>
            </w:hyperlink>
          </w:p>
        </w:tc>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w w:val="94"/>
              </w:rPr>
            </w:pPr>
            <w:hyperlink w:anchor="page283">
              <w:r>
                <w:rPr>
                  <w:rFonts w:ascii="Arial" w:cs="Arial" w:eastAsia="Arial" w:hAnsi="Arial"/>
                  <w:sz w:val="14"/>
                  <w:szCs w:val="14"/>
                  <w:color w:val="0000FF"/>
                  <w:w w:val="94"/>
                </w:rPr>
                <w:t>Amended and Restated Investors’ Rights Agreement, by and among the Registrant</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w w:val="92"/>
              </w:rPr>
            </w:pPr>
            <w:hyperlink w:anchor="page283">
              <w:r>
                <w:rPr>
                  <w:rFonts w:ascii="Arial" w:cs="Arial" w:eastAsia="Arial" w:hAnsi="Arial"/>
                  <w:sz w:val="14"/>
                  <w:szCs w:val="14"/>
                  <w:color w:val="0000FF"/>
                  <w:w w:val="92"/>
                </w:rPr>
                <w:t>and certain holders of its capital stock dated December 8, 2020.</w:t>
              </w:r>
            </w:hyperlink>
          </w:p>
        </w:tc>
        <w:tc>
          <w:tcPr>
            <w:tcW w:w="11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840" w:type="dxa"/>
            <w:vAlign w:val="bottom"/>
          </w:tcPr>
          <w:p>
            <w:pPr>
              <w:ind w:left="2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w:anchor="page332">
              <w:r>
                <w:rPr>
                  <w:rFonts w:ascii="Arial" w:cs="Arial" w:eastAsia="Arial" w:hAnsi="Arial"/>
                  <w:sz w:val="14"/>
                  <w:szCs w:val="14"/>
                  <w:u w:val="single" w:color="auto"/>
                  <w:color w:val="0000FF"/>
                </w:rPr>
                <w:t>Opinion of Wilson Sonsini Goodrich &amp; Rosati, P.C.</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rPr>
            </w:pPr>
            <w:hyperlink r:id="rId109">
              <w:r>
                <w:rPr>
                  <w:rFonts w:ascii="Arial" w:cs="Arial" w:eastAsia="Arial" w:hAnsi="Arial"/>
                  <w:sz w:val="14"/>
                  <w:szCs w:val="14"/>
                  <w:color w:val="0000FF"/>
                </w:rPr>
                <w:t>Form of Indemnification Agreement between the Registrant and each of its</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10.1</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Borders>
              <w:top w:val="single" w:sz="8" w:color="0000FF"/>
            </w:tcBorders>
            <w:gridSpan w:val="12"/>
          </w:tcPr>
          <w:p>
            <w:pPr>
              <w:spacing w:after="0" w:line="142" w:lineRule="exact"/>
              <w:rPr>
                <w:rFonts w:ascii="Arial" w:cs="Arial" w:eastAsia="Arial" w:hAnsi="Arial"/>
                <w:sz w:val="14"/>
                <w:szCs w:val="14"/>
                <w:color w:val="0000FF"/>
              </w:rPr>
            </w:pPr>
            <w:hyperlink r:id="rId109">
              <w:r>
                <w:rPr>
                  <w:rFonts w:ascii="Arial" w:cs="Arial" w:eastAsia="Arial" w:hAnsi="Arial"/>
                  <w:sz w:val="14"/>
                  <w:szCs w:val="14"/>
                  <w:color w:val="0000FF"/>
                </w:rPr>
                <w:t>directors and executive officers.</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10">
              <w:r>
                <w:rPr>
                  <w:rFonts w:ascii="Arial" w:cs="Arial" w:eastAsia="Arial" w:hAnsi="Arial"/>
                  <w:sz w:val="14"/>
                  <w:szCs w:val="14"/>
                  <w:u w:val="single" w:color="auto"/>
                  <w:color w:val="0000FF"/>
                </w:rPr>
                <w:t>2020 Equity Incentive Plan and related form agreements.</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rPr>
            </w:pPr>
            <w:hyperlink r:id="rId111">
              <w:r>
                <w:rPr>
                  <w:rFonts w:ascii="Arial" w:cs="Arial" w:eastAsia="Arial" w:hAnsi="Arial"/>
                  <w:sz w:val="14"/>
                  <w:szCs w:val="14"/>
                  <w:color w:val="0000FF"/>
                </w:rPr>
                <w:t xml:space="preserve">2017 Stock </w:t>
              </w:r>
              <w:r>
                <w:rPr>
                  <w:rFonts w:ascii="Arial" w:cs="Arial" w:eastAsia="Arial" w:hAnsi="Arial"/>
                  <w:sz w:val="14"/>
                  <w:szCs w:val="14"/>
                  <w:u w:val="single" w:color="auto"/>
                  <w:color w:val="0000FF"/>
                </w:rPr>
                <w:t>Incentive Plan and related form agreements</w:t>
              </w:r>
              <w:r>
                <w:rPr>
                  <w:rFonts w:ascii="Arial" w:cs="Arial" w:eastAsia="Arial" w:hAnsi="Arial"/>
                  <w:sz w:val="14"/>
                  <w:szCs w:val="14"/>
                  <w:color w:val="0000FF"/>
                </w:rPr>
                <w:t>.</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8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12">
              <w:r>
                <w:rPr>
                  <w:rFonts w:ascii="Arial" w:cs="Arial" w:eastAsia="Arial" w:hAnsi="Arial"/>
                  <w:sz w:val="14"/>
                  <w:szCs w:val="14"/>
                  <w:u w:val="single" w:color="auto"/>
                  <w:color w:val="0000FF"/>
                </w:rPr>
                <w:t>2020 RSU Equity Incentive Plan and related form agreements.</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13">
              <w:r>
                <w:rPr>
                  <w:rFonts w:ascii="Arial" w:cs="Arial" w:eastAsia="Arial" w:hAnsi="Arial"/>
                  <w:sz w:val="14"/>
                  <w:szCs w:val="14"/>
                  <w:u w:val="single" w:color="auto"/>
                  <w:color w:val="0000FF"/>
                </w:rPr>
                <w:t>2020 Employee Stock Purchase Plan.</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840" w:type="dxa"/>
            <w:vAlign w:val="bottom"/>
          </w:tcPr>
          <w:p>
            <w:pPr>
              <w:ind w:left="2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w w:val="98"/>
              </w:rPr>
            </w:pPr>
            <w:hyperlink r:id="rId114">
              <w:r>
                <w:rPr>
                  <w:rFonts w:ascii="Arial" w:cs="Arial" w:eastAsia="Arial" w:hAnsi="Arial"/>
                  <w:sz w:val="14"/>
                  <w:szCs w:val="14"/>
                  <w:color w:val="0000FF"/>
                  <w:w w:val="98"/>
                </w:rPr>
                <w:t>Key Executive Change in Control and Severance Plan, and form of Participation</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10.6</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0"/>
              </w:rPr>
            </w:pPr>
            <w:hyperlink r:id="rId114">
              <w:r>
                <w:rPr>
                  <w:rFonts w:ascii="Arial" w:cs="Arial" w:eastAsia="Arial" w:hAnsi="Arial"/>
                  <w:sz w:val="14"/>
                  <w:szCs w:val="14"/>
                  <w:color w:val="0000FF"/>
                  <w:w w:val="90"/>
                </w:rPr>
                <w:t>Agreement thereunder.</w:t>
              </w:r>
            </w:hyperlink>
          </w:p>
        </w:tc>
        <w:tc>
          <w:tcPr>
            <w:tcW w:w="33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w w:val="96"/>
              </w:rPr>
            </w:pPr>
            <w:hyperlink r:id="rId115">
              <w:r>
                <w:rPr>
                  <w:rFonts w:ascii="Arial" w:cs="Arial" w:eastAsia="Arial" w:hAnsi="Arial"/>
                  <w:sz w:val="14"/>
                  <w:szCs w:val="14"/>
                  <w:color w:val="0000FF"/>
                  <w:w w:val="96"/>
                </w:rPr>
                <w:t>Confirmatory Offer Letter between the Registrant and Dr. Omid Farokhzad, dated</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10.7</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1"/>
              </w:rPr>
            </w:pPr>
            <w:hyperlink r:id="rId115">
              <w:r>
                <w:rPr>
                  <w:rFonts w:ascii="Arial" w:cs="Arial" w:eastAsia="Arial" w:hAnsi="Arial"/>
                  <w:sz w:val="14"/>
                  <w:szCs w:val="14"/>
                  <w:color w:val="0000FF"/>
                  <w:w w:val="91"/>
                </w:rPr>
                <w:t>November 30, 2020.</w:t>
              </w:r>
            </w:hyperlink>
          </w:p>
        </w:tc>
        <w:tc>
          <w:tcPr>
            <w:tcW w:w="3520" w:type="dxa"/>
            <w:vAlign w:val="bottom"/>
            <w:tcBorders>
              <w:top w:val="single" w:sz="8" w:color="0000FF"/>
            </w:tcBorders>
            <w:gridSpan w:val="15"/>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rPr>
            </w:pPr>
            <w:hyperlink r:id="rId116">
              <w:r>
                <w:rPr>
                  <w:rFonts w:ascii="Arial" w:cs="Arial" w:eastAsia="Arial" w:hAnsi="Arial"/>
                  <w:sz w:val="14"/>
                  <w:szCs w:val="14"/>
                  <w:color w:val="0000FF"/>
                </w:rPr>
                <w:t>Confirmatory Offer Letter between the Registrant and Omead Ostadan, dated</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10.8</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1"/>
              </w:rPr>
            </w:pPr>
            <w:hyperlink r:id="rId116">
              <w:r>
                <w:rPr>
                  <w:rFonts w:ascii="Arial" w:cs="Arial" w:eastAsia="Arial" w:hAnsi="Arial"/>
                  <w:sz w:val="14"/>
                  <w:szCs w:val="14"/>
                  <w:color w:val="0000FF"/>
                  <w:w w:val="91"/>
                </w:rPr>
                <w:t>November 30, 2020.</w:t>
              </w:r>
            </w:hyperlink>
          </w:p>
        </w:tc>
        <w:tc>
          <w:tcPr>
            <w:tcW w:w="3260" w:type="dxa"/>
            <w:vAlign w:val="bottom"/>
            <w:tcBorders>
              <w:top w:val="single" w:sz="8" w:color="0000FF"/>
            </w:tcBorders>
            <w:gridSpan w:val="11"/>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rPr>
            </w:pPr>
            <w:hyperlink r:id="rId117">
              <w:r>
                <w:rPr>
                  <w:rFonts w:ascii="Arial" w:cs="Arial" w:eastAsia="Arial" w:hAnsi="Arial"/>
                  <w:sz w:val="14"/>
                  <w:szCs w:val="14"/>
                  <w:color w:val="0000FF"/>
                </w:rPr>
                <w:t>Confirmatory Offer Letter between the Registrant and David Horn, dated</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5"/>
              </w:rPr>
              <w:t>10.9</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1"/>
              </w:rPr>
            </w:pPr>
            <w:hyperlink r:id="rId117">
              <w:r>
                <w:rPr>
                  <w:rFonts w:ascii="Arial" w:cs="Arial" w:eastAsia="Arial" w:hAnsi="Arial"/>
                  <w:sz w:val="14"/>
                  <w:szCs w:val="14"/>
                  <w:color w:val="0000FF"/>
                  <w:w w:val="91"/>
                </w:rPr>
                <w:t>November 30, 2020.</w:t>
              </w:r>
            </w:hyperlink>
          </w:p>
        </w:tc>
        <w:tc>
          <w:tcPr>
            <w:tcW w:w="302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w w:val="94"/>
              </w:rPr>
            </w:pPr>
            <w:hyperlink r:id="rId118">
              <w:r>
                <w:rPr>
                  <w:rFonts w:ascii="Arial" w:cs="Arial" w:eastAsia="Arial" w:hAnsi="Arial"/>
                  <w:sz w:val="14"/>
                  <w:szCs w:val="14"/>
                  <w:color w:val="0000FF"/>
                  <w:w w:val="94"/>
                </w:rPr>
                <w:t>CEO Change in Control and Severance Agreement between the Registrant and Dr.</w:t>
              </w:r>
            </w:hyperlink>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10.10</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w w:val="92"/>
              </w:rPr>
            </w:pPr>
            <w:hyperlink r:id="rId118">
              <w:r>
                <w:rPr>
                  <w:rFonts w:ascii="Arial" w:cs="Arial" w:eastAsia="Arial" w:hAnsi="Arial"/>
                  <w:sz w:val="14"/>
                  <w:szCs w:val="14"/>
                  <w:color w:val="0000FF"/>
                  <w:w w:val="92"/>
                </w:rPr>
                <w:t>Omid Farokhzad, dated November 30, 2020.</w:t>
              </w:r>
            </w:hyperlink>
          </w:p>
        </w:tc>
        <w:tc>
          <w:tcPr>
            <w:tcW w:w="2160" w:type="dxa"/>
            <w:vAlign w:val="bottom"/>
            <w:tcBorders>
              <w:top w:val="single" w:sz="8" w:color="0000FF"/>
            </w:tcBorders>
            <w:gridSpan w:val="1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840" w:type="dxa"/>
            <w:vAlign w:val="bottom"/>
          </w:tcPr>
          <w:p>
            <w:pPr>
              <w:ind w:left="20"/>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19">
              <w:r>
                <w:rPr>
                  <w:rFonts w:ascii="Arial" w:cs="Arial" w:eastAsia="Arial" w:hAnsi="Arial"/>
                  <w:sz w:val="14"/>
                  <w:szCs w:val="14"/>
                  <w:u w:val="single" w:color="auto"/>
                  <w:color w:val="0000FF"/>
                </w:rPr>
                <w:t>Executive Incentive Compensation Plan.</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10.11</w:t>
            </w: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r:id="rId120">
              <w:r>
                <w:rPr>
                  <w:rFonts w:ascii="Arial" w:cs="Arial" w:eastAsia="Arial" w:hAnsi="Arial"/>
                  <w:sz w:val="14"/>
                  <w:szCs w:val="14"/>
                  <w:u w:val="single" w:color="auto"/>
                  <w:color w:val="0000FF"/>
                </w:rPr>
                <w:t>Outside Director Compensation Policy.</w:t>
              </w:r>
            </w:hyperlink>
          </w:p>
        </w:tc>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30, 2020</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40" w:type="dxa"/>
            <w:vAlign w:val="bottom"/>
          </w:tcPr>
          <w:p>
            <w:pPr>
              <w:ind w:left="2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rPr>
            </w:pPr>
            <w:hyperlink r:id="rId121">
              <w:r>
                <w:rPr>
                  <w:rFonts w:ascii="Arial" w:cs="Arial" w:eastAsia="Arial" w:hAnsi="Arial"/>
                  <w:sz w:val="14"/>
                  <w:szCs w:val="14"/>
                  <w:color w:val="0000FF"/>
                </w:rPr>
                <w:t>Umbrella Development &amp; Supply Agreement between the Registrant and</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10.14</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tcBorders>
            <w:gridSpan w:val="11"/>
          </w:tcPr>
          <w:p>
            <w:pPr>
              <w:spacing w:after="0" w:line="142" w:lineRule="exact"/>
              <w:rPr>
                <w:rFonts w:ascii="Arial" w:cs="Arial" w:eastAsia="Arial" w:hAnsi="Arial"/>
                <w:sz w:val="14"/>
                <w:szCs w:val="14"/>
                <w:color w:val="0000FF"/>
              </w:rPr>
            </w:pPr>
            <w:hyperlink r:id="rId121">
              <w:r>
                <w:rPr>
                  <w:rFonts w:ascii="Arial" w:cs="Arial" w:eastAsia="Arial" w:hAnsi="Arial"/>
                  <w:sz w:val="14"/>
                  <w:szCs w:val="14"/>
                  <w:color w:val="0000FF"/>
                </w:rPr>
                <w:t>Hamilton Company, dated March 9, 2020.</w:t>
              </w:r>
            </w:hyperlink>
          </w:p>
        </w:tc>
        <w:tc>
          <w:tcPr>
            <w:tcW w:w="12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w w:val="94"/>
              </w:rPr>
            </w:pPr>
            <w:hyperlink r:id="rId122">
              <w:r>
                <w:rPr>
                  <w:rFonts w:ascii="Arial" w:cs="Arial" w:eastAsia="Arial" w:hAnsi="Arial"/>
                  <w:sz w:val="14"/>
                  <w:szCs w:val="14"/>
                  <w:color w:val="0000FF"/>
                  <w:w w:val="94"/>
                </w:rPr>
                <w:t>Exclusive Patent License Agreement between the Registrant and The Brigham and</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21"/>
                <w:szCs w:val="21"/>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10.15</w:t>
            </w:r>
          </w:p>
        </w:tc>
        <w:tc>
          <w:tcPr>
            <w:tcW w:w="80" w:type="dxa"/>
            <w:vAlign w:val="bottom"/>
          </w:tcPr>
          <w:p>
            <w:pPr>
              <w:spacing w:after="0"/>
              <w:rPr>
                <w:sz w:val="21"/>
                <w:szCs w:val="2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tcBorders>
            <w:gridSpan w:val="21"/>
          </w:tcPr>
          <w:p>
            <w:pPr>
              <w:spacing w:after="0" w:line="142" w:lineRule="exact"/>
              <w:rPr>
                <w:rFonts w:ascii="Arial" w:cs="Arial" w:eastAsia="Arial" w:hAnsi="Arial"/>
                <w:sz w:val="14"/>
                <w:szCs w:val="14"/>
                <w:color w:val="0000FF"/>
              </w:rPr>
            </w:pPr>
            <w:hyperlink r:id="rId122">
              <w:r>
                <w:rPr>
                  <w:rFonts w:ascii="Arial" w:cs="Arial" w:eastAsia="Arial" w:hAnsi="Arial"/>
                  <w:sz w:val="14"/>
                  <w:szCs w:val="14"/>
                  <w:color w:val="0000FF"/>
                </w:rPr>
                <w:t xml:space="preserve">Women’s Hospital, Inc., dated December 18, </w:t>
              </w:r>
              <w:r>
                <w:rPr>
                  <w:rFonts w:ascii="Arial" w:cs="Arial" w:eastAsia="Arial" w:hAnsi="Arial"/>
                  <w:sz w:val="14"/>
                  <w:szCs w:val="14"/>
                  <w:u w:val="single" w:color="auto"/>
                  <w:color w:val="0000FF"/>
                </w:rPr>
                <w:t>2017.</w:t>
              </w:r>
            </w:hyperlink>
          </w:p>
        </w:tc>
        <w:tc>
          <w:tcPr>
            <w:tcW w:w="100" w:type="dxa"/>
            <w:vAlign w:val="bottom"/>
            <w:gridSpan w:val="2"/>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23"/>
          </w:tcPr>
          <w:p>
            <w:pPr>
              <w:spacing w:after="0"/>
              <w:rPr>
                <w:rFonts w:ascii="Arial" w:cs="Arial" w:eastAsia="Arial" w:hAnsi="Arial"/>
                <w:sz w:val="14"/>
                <w:szCs w:val="14"/>
                <w:color w:val="0000FF"/>
              </w:rPr>
            </w:pPr>
            <w:hyperlink r:id="rId123">
              <w:r>
                <w:rPr>
                  <w:rFonts w:ascii="Arial" w:cs="Arial" w:eastAsia="Arial" w:hAnsi="Arial"/>
                  <w:sz w:val="14"/>
                  <w:szCs w:val="14"/>
                  <w:color w:val="0000FF"/>
                </w:rPr>
                <w:t>Class A Common Stock Purchase Agreement by and among the Registrant,</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3"/>
          </w:tcPr>
          <w:p>
            <w:pPr>
              <w:spacing w:after="0" w:line="142" w:lineRule="exact"/>
              <w:rPr>
                <w:rFonts w:ascii="Arial" w:cs="Arial" w:eastAsia="Arial" w:hAnsi="Arial"/>
                <w:sz w:val="14"/>
                <w:szCs w:val="14"/>
                <w:color w:val="0000FF"/>
                <w:w w:val="95"/>
              </w:rPr>
            </w:pPr>
            <w:hyperlink r:id="rId123">
              <w:r>
                <w:rPr>
                  <w:rFonts w:ascii="Arial" w:cs="Arial" w:eastAsia="Arial" w:hAnsi="Arial"/>
                  <w:sz w:val="14"/>
                  <w:szCs w:val="14"/>
                  <w:color w:val="0000FF"/>
                  <w:w w:val="95"/>
                </w:rPr>
                <w:t>Fidelity Management &amp; Research Company LLC, SoftBank, certain funds</w:t>
              </w:r>
            </w:hyperlink>
          </w:p>
        </w:tc>
        <w:tc>
          <w:tcPr>
            <w:tcW w:w="540" w:type="dxa"/>
            <w:vAlign w:val="bottom"/>
            <w:gridSpan w:val="10"/>
          </w:tcPr>
          <w:p>
            <w:pPr>
              <w:spacing w:after="0" w:line="142" w:lineRule="exact"/>
              <w:rPr>
                <w:rFonts w:ascii="Arial" w:cs="Arial" w:eastAsia="Arial" w:hAnsi="Arial"/>
                <w:sz w:val="14"/>
                <w:szCs w:val="14"/>
                <w:color w:val="0000FF"/>
              </w:rPr>
            </w:pPr>
            <w:hyperlink r:id="rId123">
              <w:r>
                <w:rPr>
                  <w:rFonts w:ascii="Arial" w:cs="Arial" w:eastAsia="Arial" w:hAnsi="Arial"/>
                  <w:sz w:val="14"/>
                  <w:szCs w:val="14"/>
                  <w:color w:val="0000FF"/>
                </w:rPr>
                <w:t>and</w:t>
              </w:r>
            </w:hyperlink>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15"/>
          </w:tcPr>
          <w:p>
            <w:pPr>
              <w:spacing w:after="0" w:line="142" w:lineRule="exact"/>
              <w:rPr>
                <w:rFonts w:ascii="Arial" w:cs="Arial" w:eastAsia="Arial" w:hAnsi="Arial"/>
                <w:sz w:val="14"/>
                <w:szCs w:val="14"/>
                <w:color w:val="0000FF"/>
                <w:w w:val="91"/>
              </w:rPr>
            </w:pPr>
            <w:hyperlink r:id="rId123">
              <w:r>
                <w:rPr>
                  <w:rFonts w:ascii="Arial" w:cs="Arial" w:eastAsia="Arial" w:hAnsi="Arial"/>
                  <w:sz w:val="14"/>
                  <w:szCs w:val="14"/>
                  <w:color w:val="0000FF"/>
                  <w:w w:val="91"/>
                </w:rPr>
                <w:t>accounts advised by T. Rowe Price Associates, Inc. and aMoon Fund, dated as</w:t>
              </w:r>
            </w:hyperlink>
          </w:p>
        </w:tc>
        <w:tc>
          <w:tcPr>
            <w:tcW w:w="360" w:type="dxa"/>
            <w:vAlign w:val="bottom"/>
            <w:gridSpan w:val="8"/>
          </w:tcPr>
          <w:p>
            <w:pPr>
              <w:ind w:left="20"/>
              <w:spacing w:after="0" w:line="142" w:lineRule="exact"/>
              <w:rPr>
                <w:rFonts w:ascii="Arial" w:cs="Arial" w:eastAsia="Arial" w:hAnsi="Arial"/>
                <w:sz w:val="14"/>
                <w:szCs w:val="14"/>
                <w:color w:val="0000FF"/>
              </w:rPr>
            </w:pPr>
            <w:hyperlink r:id="rId123">
              <w:r>
                <w:rPr>
                  <w:rFonts w:ascii="Arial" w:cs="Arial" w:eastAsia="Arial" w:hAnsi="Arial"/>
                  <w:sz w:val="14"/>
                  <w:szCs w:val="14"/>
                  <w:color w:val="0000FF"/>
                </w:rPr>
                <w:t>of</w:t>
              </w:r>
            </w:hyperlink>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S-1</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3"/>
              </w:rPr>
              <w:t>333-250035</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1"/>
              </w:rPr>
              <w:t>10.16</w:t>
            </w:r>
          </w:p>
        </w:tc>
        <w:tc>
          <w:tcPr>
            <w:tcW w:w="8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November 12, 2020</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23">
              <w:r>
                <w:rPr>
                  <w:rFonts w:ascii="Arial" w:cs="Arial" w:eastAsia="Arial" w:hAnsi="Arial"/>
                  <w:sz w:val="14"/>
                  <w:szCs w:val="14"/>
                  <w:color w:val="0000FF"/>
                </w:rPr>
                <w:t xml:space="preserve">November 12, </w:t>
              </w:r>
              <w:r>
                <w:rPr>
                  <w:rFonts w:ascii="Arial" w:cs="Arial" w:eastAsia="Arial" w:hAnsi="Arial"/>
                  <w:sz w:val="14"/>
                  <w:szCs w:val="14"/>
                  <w:u w:val="single" w:color="auto"/>
                  <w:color w:val="0000FF"/>
                </w:rPr>
                <w:t>2020.</w:t>
              </w:r>
            </w:hyperlink>
          </w:p>
        </w:tc>
        <w:tc>
          <w:tcPr>
            <w:tcW w:w="220" w:type="dxa"/>
            <w:vAlign w:val="bottom"/>
            <w:gridSpan w:val="6"/>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20" w:type="dxa"/>
            <w:vAlign w:val="bottom"/>
            <w:gridSpan w:val="2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840" w:type="dxa"/>
            <w:vAlign w:val="bottom"/>
          </w:tcPr>
          <w:p>
            <w:pPr>
              <w:ind w:left="2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23"/>
          </w:tcPr>
          <w:p>
            <w:pPr>
              <w:spacing w:after="0"/>
              <w:rPr>
                <w:rFonts w:ascii="Arial" w:cs="Arial" w:eastAsia="Arial" w:hAnsi="Arial"/>
                <w:sz w:val="14"/>
                <w:szCs w:val="14"/>
                <w:u w:val="single" w:color="auto"/>
                <w:color w:val="0000FF"/>
              </w:rPr>
            </w:pPr>
            <w:hyperlink w:anchor="page334">
              <w:r>
                <w:rPr>
                  <w:rFonts w:ascii="Arial" w:cs="Arial" w:eastAsia="Arial" w:hAnsi="Arial"/>
                  <w:sz w:val="14"/>
                  <w:szCs w:val="14"/>
                  <w:u w:val="single" w:color="auto"/>
                  <w:color w:val="0000FF"/>
                </w:rPr>
                <w:t>List of subsidiaries of Registrant</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20"/>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80" w:type="dxa"/>
            <w:vAlign w:val="bottom"/>
            <w:gridSpan w:val="23"/>
          </w:tcPr>
          <w:p>
            <w:pPr>
              <w:spacing w:after="0"/>
              <w:rPr>
                <w:rFonts w:ascii="Arial" w:cs="Arial" w:eastAsia="Arial" w:hAnsi="Arial"/>
                <w:sz w:val="14"/>
                <w:szCs w:val="14"/>
                <w:u w:val="single" w:color="auto"/>
                <w:color w:val="0000FF"/>
                <w:w w:val="96"/>
              </w:rPr>
            </w:pPr>
            <w:hyperlink w:anchor="page335">
              <w:r>
                <w:rPr>
                  <w:rFonts w:ascii="Arial" w:cs="Arial" w:eastAsia="Arial" w:hAnsi="Arial"/>
                  <w:sz w:val="14"/>
                  <w:szCs w:val="14"/>
                  <w:u w:val="single" w:color="auto"/>
                  <w:color w:val="0000FF"/>
                  <w:w w:val="96"/>
                </w:rPr>
                <w:t>Consent of Deloitte &amp; Touche LLP, independent registered public accounting firm.</w:t>
              </w:r>
            </w:hyperlink>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21" w:right="339" w:bottom="1440" w:gutter="0" w:footer="0" w:header="0"/>
        </w:sectPr>
      </w:pPr>
    </w:p>
    <w:bookmarkStart w:id="230" w:name="page231"/>
    <w:bookmarkEnd w:id="230"/>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0"/>
              <w:spacing w:after="0"/>
              <w:rPr>
                <w:sz w:val="20"/>
                <w:szCs w:val="20"/>
                <w:color w:val="auto"/>
              </w:rPr>
            </w:pPr>
            <w:r>
              <w:rPr>
                <w:rFonts w:ascii="Arial" w:cs="Arial" w:eastAsia="Arial" w:hAnsi="Arial"/>
                <w:sz w:val="14"/>
                <w:szCs w:val="14"/>
                <w:color w:val="auto"/>
              </w:rPr>
              <w:t>23.2</w:t>
            </w:r>
          </w:p>
        </w:tc>
        <w:tc>
          <w:tcPr>
            <w:tcW w:w="4760" w:type="dxa"/>
            <w:vAlign w:val="bottom"/>
            <w:tcBorders>
              <w:bottom w:val="single" w:sz="8" w:color="0000FF"/>
            </w:tcBorders>
            <w:gridSpan w:val="2"/>
          </w:tcPr>
          <w:p>
            <w:pPr>
              <w:spacing w:after="0"/>
              <w:rPr>
                <w:rFonts w:ascii="Arial" w:cs="Arial" w:eastAsia="Arial" w:hAnsi="Arial"/>
                <w:sz w:val="14"/>
                <w:szCs w:val="14"/>
                <w:color w:val="0000FF"/>
                <w:w w:val="94"/>
              </w:rPr>
            </w:pPr>
            <w:hyperlink w:anchor="page332">
              <w:r>
                <w:rPr>
                  <w:rFonts w:ascii="Arial" w:cs="Arial" w:eastAsia="Arial" w:hAnsi="Arial"/>
                  <w:sz w:val="14"/>
                  <w:szCs w:val="14"/>
                  <w:color w:val="0000FF"/>
                  <w:w w:val="94"/>
                </w:rPr>
                <w:t>Consent of Wilson Sonsini Goodrich &amp; Rosati, Professional Corporation (included</w:t>
              </w:r>
            </w:hyperlink>
          </w:p>
        </w:tc>
        <w:tc>
          <w:tcPr>
            <w:tcW w:w="5000" w:type="dxa"/>
            <w:vAlign w:val="bottom"/>
            <w:vMerge w:val="restart"/>
          </w:tcPr>
          <w:p>
            <w:pPr>
              <w:ind w:left="4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880" w:type="dxa"/>
            <w:vAlign w:val="bottom"/>
            <w:tcBorders>
              <w:bottom w:val="single" w:sz="8" w:color="0000FF"/>
            </w:tcBorders>
          </w:tcPr>
          <w:p>
            <w:pPr>
              <w:spacing w:after="0" w:line="142" w:lineRule="exact"/>
              <w:rPr>
                <w:rFonts w:ascii="Arial" w:cs="Arial" w:eastAsia="Arial" w:hAnsi="Arial"/>
                <w:sz w:val="14"/>
                <w:szCs w:val="14"/>
                <w:color w:val="0000FF"/>
                <w:w w:val="96"/>
              </w:rPr>
            </w:pPr>
            <w:hyperlink w:anchor="page332">
              <w:r>
                <w:rPr>
                  <w:rFonts w:ascii="Arial" w:cs="Arial" w:eastAsia="Arial" w:hAnsi="Arial"/>
                  <w:sz w:val="14"/>
                  <w:szCs w:val="14"/>
                  <w:color w:val="0000FF"/>
                  <w:w w:val="96"/>
                </w:rPr>
                <w:t>in Exhibit 5.1).</w:t>
              </w:r>
            </w:hyperlink>
          </w:p>
        </w:tc>
        <w:tc>
          <w:tcPr>
            <w:tcW w:w="3880" w:type="dxa"/>
            <w:vAlign w:val="bottom"/>
          </w:tcPr>
          <w:p>
            <w:pPr>
              <w:spacing w:after="0"/>
              <w:rPr>
                <w:sz w:val="12"/>
                <w:szCs w:val="12"/>
                <w:color w:val="auto"/>
              </w:rPr>
            </w:pPr>
          </w:p>
        </w:tc>
        <w:tc>
          <w:tcPr>
            <w:tcW w:w="5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940" w:type="dxa"/>
            <w:vAlign w:val="bottom"/>
          </w:tcPr>
          <w:p>
            <w:pPr>
              <w:ind w:left="20"/>
              <w:spacing w:after="0"/>
              <w:rPr>
                <w:sz w:val="20"/>
                <w:szCs w:val="20"/>
                <w:color w:val="auto"/>
              </w:rPr>
            </w:pPr>
            <w:r>
              <w:rPr>
                <w:rFonts w:ascii="Arial" w:cs="Arial" w:eastAsia="Arial" w:hAnsi="Arial"/>
                <w:sz w:val="14"/>
                <w:szCs w:val="14"/>
                <w:color w:val="auto"/>
              </w:rPr>
              <w:t>24.1</w:t>
            </w:r>
          </w:p>
        </w:tc>
        <w:tc>
          <w:tcPr>
            <w:tcW w:w="4760" w:type="dxa"/>
            <w:vAlign w:val="bottom"/>
            <w:gridSpan w:val="2"/>
          </w:tcPr>
          <w:p>
            <w:pPr>
              <w:spacing w:after="0"/>
              <w:rPr>
                <w:rFonts w:ascii="Arial" w:cs="Arial" w:eastAsia="Arial" w:hAnsi="Arial"/>
                <w:sz w:val="14"/>
                <w:szCs w:val="14"/>
                <w:u w:val="single" w:color="auto"/>
                <w:color w:val="0000FF"/>
              </w:rPr>
            </w:pPr>
            <w:hyperlink w:anchor="page231">
              <w:r>
                <w:rPr>
                  <w:rFonts w:ascii="Arial" w:cs="Arial" w:eastAsia="Arial" w:hAnsi="Arial"/>
                  <w:sz w:val="14"/>
                  <w:szCs w:val="14"/>
                  <w:u w:val="single" w:color="auto"/>
                  <w:color w:val="0000FF"/>
                </w:rPr>
                <w:t>Power of Attorney.</w:t>
              </w:r>
            </w:hyperlink>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940" w:type="dxa"/>
            <w:vAlign w:val="bottom"/>
          </w:tcPr>
          <w:p>
            <w:pPr>
              <w:spacing w:after="0"/>
              <w:rPr>
                <w:sz w:val="20"/>
                <w:szCs w:val="20"/>
                <w:color w:val="auto"/>
              </w:rPr>
            </w:pPr>
            <w:r>
              <w:rPr>
                <w:rFonts w:ascii="Arial" w:cs="Arial" w:eastAsia="Arial" w:hAnsi="Arial"/>
                <w:sz w:val="18"/>
                <w:szCs w:val="18"/>
                <w:color w:val="auto"/>
                <w:w w:val="91"/>
              </w:rPr>
              <w:t>__________</w:t>
            </w:r>
          </w:p>
        </w:tc>
        <w:tc>
          <w:tcPr>
            <w:tcW w:w="8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 w:lineRule="exact"/>
        <w:rPr>
          <w:sz w:val="20"/>
          <w:szCs w:val="20"/>
          <w:color w:val="auto"/>
        </w:rPr>
      </w:pPr>
    </w:p>
    <w:p>
      <w:pPr>
        <w:ind w:left="340" w:hanging="332"/>
        <w:spacing w:after="0" w:line="255"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Portions of the exhibit, marked by brackets and asterisk [***], have been omitted because the omitted information (i) is not material and (ii)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00"/>
          </w:cols>
          <w:pgMar w:left="320" w:top="121" w:right="679" w:bottom="1440" w:gutter="0" w:footer="0" w:header="0"/>
        </w:sectPr>
      </w:pPr>
    </w:p>
    <w:bookmarkStart w:id="231" w:name="page232"/>
    <w:bookmarkEnd w:id="231"/>
    <w:p>
      <w:pPr>
        <w:ind w:left="3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Redwood City, State of California, on January 25, 2021.</w:t>
      </w:r>
    </w:p>
    <w:p>
      <w:pPr>
        <w:spacing w:after="0" w:line="142"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337" w:lineRule="exact"/>
        <w:rPr>
          <w:sz w:val="20"/>
          <w:szCs w:val="20"/>
          <w:color w:val="auto"/>
        </w:rPr>
      </w:pPr>
    </w:p>
    <w:p>
      <w:pPr>
        <w:ind w:left="588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Omid Farokhzad, M.D. and David Horn as his or her true and lawful attorneys-in-fact and agents, with full power of substitution and substitution, for him or her and in his or her name, place and stead, in any and all capacities (including his or her capacity as a director and/or officer of Seer,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2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6"/>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2"/>
              </w:rPr>
              <w:t>/s/ Omid Farokhzad, M.D.</w:t>
            </w:r>
          </w:p>
        </w:tc>
        <w:tc>
          <w:tcPr>
            <w:tcW w:w="100" w:type="dxa"/>
            <w:vAlign w:val="bottom"/>
          </w:tcPr>
          <w:p>
            <w:pPr>
              <w:spacing w:after="0"/>
              <w:rPr>
                <w:sz w:val="22"/>
                <w:szCs w:val="22"/>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00"/>
              <w:spacing w:after="0" w:line="149" w:lineRule="exact"/>
              <w:rPr>
                <w:sz w:val="20"/>
                <w:szCs w:val="20"/>
                <w:color w:val="auto"/>
              </w:rPr>
            </w:pPr>
            <w:r>
              <w:rPr>
                <w:rFonts w:ascii="Arial" w:cs="Arial" w:eastAsia="Arial" w:hAnsi="Arial"/>
                <w:sz w:val="17"/>
                <w:szCs w:val="17"/>
                <w:color w:val="auto"/>
                <w:w w:val="97"/>
              </w:rPr>
              <w:t>Chair of the Board of Directors</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2"/>
              </w:rPr>
              <w:t>Omid Farokhzad, M.D.</w:t>
            </w:r>
          </w:p>
        </w:tc>
        <w:tc>
          <w:tcPr>
            <w:tcW w:w="100" w:type="dxa"/>
            <w:vAlign w:val="bottom"/>
          </w:tcPr>
          <w:p>
            <w:pPr>
              <w:spacing w:after="0"/>
              <w:rPr>
                <w:sz w:val="20"/>
                <w:szCs w:val="20"/>
                <w:color w:val="auto"/>
              </w:rPr>
            </w:pPr>
          </w:p>
        </w:tc>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3"/>
              </w:rPr>
              <w:t>/s/ David R. Horn</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153"/>
        </w:trPr>
        <w:tc>
          <w:tcPr>
            <w:tcW w:w="3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2"/>
          </w:tcPr>
          <w:p>
            <w:pPr>
              <w:jc w:val="center"/>
              <w:ind w:right="120"/>
              <w:spacing w:after="0" w:line="14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3"/>
              </w:rPr>
              <w:t>David R. Horn</w:t>
            </w:r>
          </w:p>
        </w:tc>
        <w:tc>
          <w:tcPr>
            <w:tcW w:w="100" w:type="dxa"/>
            <w:vAlign w:val="bottom"/>
          </w:tcPr>
          <w:p>
            <w:pPr>
              <w:spacing w:after="0"/>
              <w:rPr>
                <w:sz w:val="20"/>
                <w:szCs w:val="2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Hallal</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Lead Independent 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5"/>
              </w:rPr>
              <w:t>David Hallal</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Catherine Friedman</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0"/>
              </w:rPr>
              <w:t>Catherine Friedman</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Langer, Sc.D.</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Robert Langer, Sc.D.</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Terrance McGuire</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0"/>
              </w:rPr>
              <w:t>Terrance McGuire</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Omead Ostadan</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7"/>
              </w:rPr>
              <w:t>Omead Ostadan</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Singer</w:t>
            </w:r>
          </w:p>
        </w:tc>
        <w:tc>
          <w:tcPr>
            <w:tcW w:w="100" w:type="dxa"/>
            <w:vAlign w:val="bottom"/>
          </w:tcPr>
          <w:p>
            <w:pPr>
              <w:spacing w:after="0"/>
              <w:rPr>
                <w:sz w:val="24"/>
                <w:szCs w:val="24"/>
                <w:color w:val="auto"/>
              </w:rPr>
            </w:pPr>
          </w:p>
        </w:tc>
        <w:tc>
          <w:tcPr>
            <w:tcW w:w="37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25, 2021</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3"/>
              </w:rPr>
              <w:t>David Singer</w:t>
            </w:r>
          </w:p>
        </w:tc>
        <w:tc>
          <w:tcPr>
            <w:tcW w:w="10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320" w:top="12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SEER, INC.</w:t>
      </w:r>
    </w:p>
    <w:p>
      <w:pPr>
        <w:spacing w:after="0" w:line="220" w:lineRule="exact"/>
        <w:rPr>
          <w:sz w:val="20"/>
          <w:szCs w:val="20"/>
          <w:color w:val="auto"/>
        </w:rPr>
      </w:pPr>
    </w:p>
    <w:p>
      <w:pPr>
        <w:ind w:left="4540" w:right="3100" w:hanging="1438"/>
        <w:spacing w:after="0" w:line="448" w:lineRule="auto"/>
        <w:tabs>
          <w:tab w:leader="none" w:pos="343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Shares of Class A Common Stock, par value $0.00001 Underwriting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2021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several Underwriters listed</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 Schedule 1 hereto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 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383 Madison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10179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 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 BofA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One Bryant Park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Seer, Inc., a Delaware corporation (the “Company”), proposes to issue and sell to the several underwriters listed in Schedule 1 hereto (the “Underwriters”), for whom you are acting as representatives (the “Representatives”), an aggregate of [●] shares of Class A common stock, par value $0.00001 per share, of the Company, and certain stockholders of the Company named in Schedule 2 hereto (the “Selling Stockholders”) propose to sell to the several underwriters an aggregate of [●] shares of Class A common stock, par value $0.00001 per share, of the Company (collectively, the “Underwritten Shares”). In addition, the Selling Stockholders propose to sell, at the option of the Underwriters up to an additional [●] shares of Class A common stock of the Company (collectively, the “Option Shares”). The Underwritten Shares and the Option Shares are herein referred to as the “Shares”. The shares of Class A common stock of the Company to be outstanding after giving effect to the sale of the Shares are referred to herein as the “Stock”.</w:t>
      </w:r>
    </w:p>
    <w:p>
      <w:pPr>
        <w:spacing w:after="0" w:line="179"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The Company and the Selling Stockholders hereby confirm their agreement with the several Underwriters concerning the purchase and sale of the Shares, as follows:</w:t>
      </w:r>
    </w:p>
    <w:p>
      <w:pPr>
        <w:spacing w:after="0" w:line="175" w:lineRule="exact"/>
        <w:rPr>
          <w:sz w:val="20"/>
          <w:szCs w:val="20"/>
          <w:color w:val="auto"/>
        </w:rPr>
      </w:pPr>
    </w:p>
    <w:p>
      <w:pPr>
        <w:ind w:right="180" w:firstLine="656"/>
        <w:spacing w:after="0" w:line="253" w:lineRule="auto"/>
        <w:tabs>
          <w:tab w:leader="none" w:pos="1296"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Registration Statement</w:t>
      </w:r>
      <w:r>
        <w:rPr>
          <w:rFonts w:ascii="Arial" w:cs="Arial" w:eastAsia="Arial" w:hAnsi="Arial"/>
          <w:sz w:val="22"/>
          <w:szCs w:val="22"/>
          <w:color w:val="auto"/>
        </w:rPr>
        <w:t>. The Company has prepared and filed with the Securities and Exchange Commission (the “Commission”) under the Securities Act of 1933, as amended, and the rules and regulations of the Commission thereunder (collectively, the “Securities Act”), a</w:t>
      </w:r>
    </w:p>
    <w:p>
      <w:pPr>
        <w:sectPr>
          <w:pgSz w:w="11900" w:h="16838" w:orient="portrait"/>
          <w:cols w:equalWidth="0" w:num="1">
            <w:col w:w="11240"/>
          </w:cols>
          <w:pgMar w:left="320" w:top="121" w:right="339" w:bottom="1440" w:gutter="0" w:footer="0" w:header="0"/>
        </w:sectPr>
      </w:pPr>
    </w:p>
    <w:bookmarkStart w:id="233" w:name="page234"/>
    <w:bookmarkEnd w:id="233"/>
    <w:p>
      <w:pPr>
        <w:ind w:right="60"/>
        <w:spacing w:after="0" w:line="287" w:lineRule="auto"/>
        <w:rPr>
          <w:sz w:val="20"/>
          <w:szCs w:val="20"/>
          <w:color w:val="auto"/>
        </w:rPr>
      </w:pPr>
      <w:r>
        <w:rPr>
          <w:rFonts w:ascii="Arial" w:cs="Arial" w:eastAsia="Arial" w:hAnsi="Arial"/>
          <w:sz w:val="19"/>
          <w:szCs w:val="19"/>
          <w:color w:val="auto"/>
        </w:rPr>
        <w:t>registration statement (File No. 333-[●]),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5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9"/>
          <w:szCs w:val="19"/>
          <w:color w:val="auto"/>
        </w:rPr>
        <w:t>At or prior to the Applicable Time (as defined below), the Company had prepared the following information (collectively with the pricing information set forth on Annex A, the “Pricing Disclosure Package”): a Preliminary Prospectus dated [●], 2021 and each “free-writing prospectus” (as defined pursuant to Rule 405 under the Securities Act) listed on Annex A hereto.</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Time” means [●] P.M., New York City time, on [●], 2021.</w:t>
      </w:r>
    </w:p>
    <w:p>
      <w:pPr>
        <w:spacing w:after="0" w:line="220"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Purchase of the Shares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7" w:lineRule="auto"/>
        <w:tabs>
          <w:tab w:leader="none" w:pos="1293"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Company agrees to issue and sell, and each of the Selling Stockholders agrees, severally and not jointly, to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 a price per share of $[●] (the “Company Purchase Price”) from the Company the respective number of Underwritten Shares set forth opposite such Underwriter’s name in Schedule 1 hereto and at a price per share of $[●] (the “Selling Stockholder Purchase Price”) from each of the Selling Stockholders the number of Underwritten Shares (to be adjusted by you so as to eliminate fractional shares) determined by multiplying the aggregate number of Underwritten Shares to be sold by each of the Selling Stockholders as set forth opposite their respective names in Schedule 2 hereto by a fraction, the numerator of which is the aggregate number of Underwritten Shares to be purchased by such Underwriter from all of the Selling Stockholders as set forth opposite the name of such Underwriter in Schedule 1 hereto and the denominator of which is the aggregate number of Underwritten Shares to be purchased by all the Underwriters from all of the Selling Stockholders hereunder.</w:t>
      </w:r>
    </w:p>
    <w:p>
      <w:pPr>
        <w:spacing w:after="0" w:line="200" w:lineRule="exact"/>
        <w:rPr>
          <w:sz w:val="20"/>
          <w:szCs w:val="20"/>
          <w:color w:val="auto"/>
        </w:rPr>
      </w:pPr>
    </w:p>
    <w:p>
      <w:pPr>
        <w:spacing w:after="0" w:line="220"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In addition, each of the Selling Stockholders agrees, severally and not jointly, as and to the extent indicated in Schedule 2 hereto, to sell the Option Shares to the several Underwriters as provided in this Agreement, and the Underwriters, on the basis of the representations, warranties</w:t>
      </w:r>
    </w:p>
    <w:p>
      <w:pPr>
        <w:sectPr>
          <w:pgSz w:w="11900" w:h="16838" w:orient="portrait"/>
          <w:cols w:equalWidth="0" w:num="1">
            <w:col w:w="11220"/>
          </w:cols>
          <w:pgMar w:left="320" w:top="1428" w:right="359" w:bottom="1440" w:gutter="0" w:footer="0" w:header="0"/>
        </w:sectPr>
      </w:pPr>
    </w:p>
    <w:bookmarkStart w:id="234" w:name="page235"/>
    <w:bookmarkEnd w:id="234"/>
    <w:p>
      <w:pPr>
        <w:jc w:val="both"/>
        <w:ind w:right="20"/>
        <w:spacing w:after="0" w:line="250" w:lineRule="auto"/>
        <w:rPr>
          <w:sz w:val="20"/>
          <w:szCs w:val="20"/>
          <w:color w:val="auto"/>
        </w:rPr>
      </w:pPr>
      <w:r>
        <w:rPr>
          <w:rFonts w:ascii="Arial" w:cs="Arial" w:eastAsia="Arial" w:hAnsi="Arial"/>
          <w:sz w:val="22"/>
          <w:szCs w:val="22"/>
          <w:color w:val="auto"/>
        </w:rPr>
        <w:t>and agreements set forth herein and subject to the conditions set forth herein, shall have the option to purchase, severally and not jointly, from the Selling Stockholders the Option Shares at the Selling Stockholder Purchase Price less an amount per share equal to any dividends or distributions declared by the Company and payable on the Underwritten Shares but not payable on the Option Shares.</w:t>
      </w:r>
    </w:p>
    <w:p>
      <w:pPr>
        <w:spacing w:after="0" w:line="188" w:lineRule="exact"/>
        <w:rPr>
          <w:sz w:val="20"/>
          <w:szCs w:val="20"/>
          <w:color w:val="auto"/>
        </w:rPr>
      </w:pPr>
    </w:p>
    <w:p>
      <w:pPr>
        <w:ind w:right="60" w:firstLine="648"/>
        <w:spacing w:after="0" w:line="292" w:lineRule="auto"/>
        <w:rPr>
          <w:sz w:val="20"/>
          <w:szCs w:val="20"/>
          <w:color w:val="auto"/>
        </w:rPr>
      </w:pPr>
      <w:r>
        <w:rPr>
          <w:rFonts w:ascii="Arial" w:cs="Arial" w:eastAsia="Arial" w:hAnsi="Arial"/>
          <w:sz w:val="19"/>
          <w:szCs w:val="19"/>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12 hereof) bears to the aggregate number of Underwritten Shares being purchased from the Company and the Selling Stockholders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each Selling Stockholder as set forth in Schedule 2 hereto.</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Underwriters may exercise the option to purchase Option Shares at any time in whole, or from time to time in part, on or before the thirtieth day following the date of the Prospectus, by written notice from the Representatives to the Company and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183" w:lineRule="exact"/>
        <w:rPr>
          <w:sz w:val="20"/>
          <w:szCs w:val="20"/>
          <w:color w:val="auto"/>
        </w:rPr>
      </w:pPr>
    </w:p>
    <w:p>
      <w:pPr>
        <w:ind w:firstLine="656"/>
        <w:spacing w:after="0" w:line="250" w:lineRule="auto"/>
        <w:tabs>
          <w:tab w:leader="none" w:pos="129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Company and the Selling Stockholders understand that the Underwriters intend to make a public offering of the Shares, and initially to offer the Shares on the terms set forth in the Pricing Disclosure Package. The Company and the Selling Stockholders acknowledge and agree that the Underwriters may offer and sell Shares to or through any affiliate of an Underwriter.</w:t>
      </w:r>
    </w:p>
    <w:p>
      <w:pPr>
        <w:spacing w:after="0" w:line="187" w:lineRule="exact"/>
        <w:rPr>
          <w:rFonts w:ascii="Arial" w:cs="Arial" w:eastAsia="Arial" w:hAnsi="Arial"/>
          <w:sz w:val="22"/>
          <w:szCs w:val="22"/>
          <w:color w:val="auto"/>
        </w:rPr>
      </w:pPr>
    </w:p>
    <w:p>
      <w:pPr>
        <w:ind w:right="40" w:firstLine="656"/>
        <w:spacing w:after="0" w:line="290" w:lineRule="auto"/>
        <w:tabs>
          <w:tab w:leader="none" w:pos="1293" w:val="left"/>
        </w:tabs>
        <w:numPr>
          <w:ilvl w:val="0"/>
          <w:numId w:val="147"/>
        </w:numPr>
        <w:rPr>
          <w:rFonts w:ascii="Arial" w:cs="Arial" w:eastAsia="Arial" w:hAnsi="Arial"/>
          <w:sz w:val="19"/>
          <w:szCs w:val="19"/>
          <w:color w:val="auto"/>
        </w:rPr>
      </w:pPr>
      <w:r>
        <w:rPr>
          <w:rFonts w:ascii="Arial" w:cs="Arial" w:eastAsia="Arial" w:hAnsi="Arial"/>
          <w:sz w:val="19"/>
          <w:szCs w:val="19"/>
          <w:color w:val="auto"/>
        </w:rPr>
        <w:t>Payment for the Shares shall be made by wire transfer in immediately available funds to the accounts specified by the Company and the Attorneys-in-Fact, or any of them (with regard to payment to the Selling Stockholders), to the Representatives in the case of the Underwritten Shares, at the offices of Davis Polk &amp; Wardwell LLP, 1600 El Camino Real, Menlo Park, California 94025 at 10:00 A.M. New York City time on [●], 2021, or at such other time or place on the same or such other date, not later than the fifth business day thereafter, as the Representatives, the Attorneys-in-Fact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w:t>
      </w:r>
    </w:p>
    <w:p>
      <w:pPr>
        <w:sectPr>
          <w:pgSz w:w="11900" w:h="16838" w:orient="portrait"/>
          <w:cols w:equalWidth="0" w:num="1">
            <w:col w:w="11240"/>
          </w:cols>
          <w:pgMar w:left="320" w:top="1428" w:right="339" w:bottom="1440" w:gutter="0" w:footer="0" w:header="0"/>
        </w:sectPr>
      </w:pPr>
    </w:p>
    <w:bookmarkStart w:id="235" w:name="page236"/>
    <w:bookmarkEnd w:id="235"/>
    <w:p>
      <w:pPr>
        <w:ind w:right="900"/>
        <w:spacing w:after="0" w:line="263" w:lineRule="auto"/>
        <w:rPr>
          <w:sz w:val="20"/>
          <w:szCs w:val="20"/>
          <w:color w:val="auto"/>
        </w:rPr>
      </w:pPr>
      <w:r>
        <w:rPr>
          <w:rFonts w:ascii="Arial" w:cs="Arial" w:eastAsia="Arial" w:hAnsi="Arial"/>
          <w:sz w:val="22"/>
          <w:szCs w:val="22"/>
          <w:color w:val="auto"/>
        </w:rPr>
        <w:t>and the time and date for such payment for the Option Shares, if other than the Closing Date, is herein referred to as the “Additional Closing Date”.</w:t>
      </w:r>
    </w:p>
    <w:p>
      <w:pPr>
        <w:spacing w:after="0" w:line="17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and the Selling Stockholders, as applicable. Delivery of the Shares shall be made through the facilities of The Depository Trust Company (“DTC”) unless the Representatives shall otherwise instruct.</w:t>
      </w:r>
    </w:p>
    <w:p>
      <w:pPr>
        <w:spacing w:after="0" w:line="147" w:lineRule="exact"/>
        <w:rPr>
          <w:sz w:val="20"/>
          <w:szCs w:val="20"/>
          <w:color w:val="auto"/>
        </w:rPr>
      </w:pPr>
    </w:p>
    <w:p>
      <w:pPr>
        <w:ind w:right="20" w:firstLine="656"/>
        <w:spacing w:after="0" w:line="284" w:lineRule="auto"/>
        <w:tabs>
          <w:tab w:leader="none" w:pos="129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Each of the Company and the Selling Stockholders acknowledge and agree that the Representatives and the other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The Company and the Selling Stockholders further acknowledge and agree that in connection with the offering of the Shares, none of the activities of the Underwriters in connection with the transactions contemplated herein constitutes a recommendation, investment advice, or solicitation of any action by the Underwriters with respect to any entity or natural person. Additionally, neither the Representatives nor any other Underwriter are advising the Company, the Selling Stockholders or any other person as to any legal, tax, investment, accounting or regulatory matters in any jurisdiction. The Company and the Selling Stockholders shall consult with their own advisors concerning such matters and shall be responsible for making their own independent investigation and appraisal of the transactions contemplated hereby, and neither the Representatives nor the other Underwriters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Underwriters and shall not be on behalf of the Company or the Selling Stockholders. Moreover, each Selling Stockholder acknowledges and agrees that, although the Representatives may be required or choose to provide certain Selling Stockholders with certain Regulation Best Interest and Form CRS disclosures in connection with the offering of Shares, the Representatives and the other Underwriters are not making a recommendation to any Selling Stockholder to participate in the offering of Shares contemplated hereby, enter into a “lock-up” agreement, or sell any Shares at the price determined in the offering of Shares contemplated hereby, and nothing set forth in such disclosures is intended to suggest that the Representatives or any Underwriter is making such a recommendation.</w:t>
      </w:r>
    </w:p>
    <w:p>
      <w:pPr>
        <w:spacing w:after="0" w:line="175" w:lineRule="exact"/>
        <w:rPr>
          <w:sz w:val="20"/>
          <w:szCs w:val="20"/>
          <w:color w:val="auto"/>
        </w:rPr>
      </w:pPr>
    </w:p>
    <w:p>
      <w:pPr>
        <w:ind w:right="180" w:firstLine="656"/>
        <w:spacing w:after="0" w:line="263" w:lineRule="auto"/>
        <w:tabs>
          <w:tab w:leader="none" w:pos="1296"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each Underwriter and the Selling Stockholders that:</w:t>
      </w:r>
    </w:p>
    <w:p>
      <w:pPr>
        <w:spacing w:after="0" w:line="174" w:lineRule="exact"/>
        <w:rPr>
          <w:rFonts w:ascii="Arial" w:cs="Arial" w:eastAsia="Arial" w:hAnsi="Arial"/>
          <w:sz w:val="22"/>
          <w:szCs w:val="22"/>
          <w:color w:val="auto"/>
        </w:rPr>
      </w:pPr>
    </w:p>
    <w:p>
      <w:pPr>
        <w:ind w:left="660" w:right="120" w:firstLine="644"/>
        <w:spacing w:after="0" w:line="253" w:lineRule="auto"/>
        <w:tabs>
          <w:tab w:leader="none" w:pos="1953" w:val="left"/>
        </w:tabs>
        <w:numPr>
          <w:ilvl w:val="1"/>
          <w:numId w:val="149"/>
        </w:numPr>
        <w:rPr>
          <w:rFonts w:ascii="Arial" w:cs="Arial" w:eastAsia="Arial" w:hAnsi="Arial"/>
          <w:sz w:val="22"/>
          <w:szCs w:val="22"/>
          <w:color w:val="auto"/>
        </w:rPr>
      </w:pPr>
      <w:r>
        <w:rPr>
          <w:rFonts w:ascii="Arial" w:cs="Arial" w:eastAsia="Arial" w:hAnsi="Arial"/>
          <w:sz w:val="22"/>
          <w:szCs w:val="22"/>
          <w:i w:val="1"/>
          <w:iCs w:val="1"/>
          <w:color w:val="auto"/>
        </w:rPr>
        <w:t xml:space="preserve">Preliminary Prospectus. </w:t>
      </w:r>
      <w:r>
        <w:rPr>
          <w:rFonts w:ascii="Arial" w:cs="Arial" w:eastAsia="Arial" w:hAnsi="Arial"/>
          <w:sz w:val="22"/>
          <w:szCs w:val="22"/>
          <w:color w:val="auto"/>
        </w:rPr>
        <w:t>No order preventing or suspending the use of any Preliminary Prospectus has</w:t>
      </w:r>
      <w:r>
        <w:rPr>
          <w:rFonts w:ascii="Arial" w:cs="Arial" w:eastAsia="Arial" w:hAnsi="Arial"/>
          <w:sz w:val="22"/>
          <w:szCs w:val="22"/>
          <w:i w:val="1"/>
          <w:iCs w:val="1"/>
          <w:color w:val="auto"/>
        </w:rPr>
        <w:t xml:space="preserve"> </w:t>
      </w:r>
      <w:r>
        <w:rPr>
          <w:rFonts w:ascii="Arial" w:cs="Arial" w:eastAsia="Arial" w:hAnsi="Arial"/>
          <w:sz w:val="22"/>
          <w:szCs w:val="22"/>
          <w:color w:val="auto"/>
        </w:rPr>
        <w:t>been issued by the Commission, and each Preliminary Prospectus included in the Pricing Disclosure Package, at the time of filing thereof,</w:t>
      </w:r>
    </w:p>
    <w:p>
      <w:pPr>
        <w:sectPr>
          <w:pgSz w:w="11900" w:h="16838" w:orient="portrait"/>
          <w:cols w:equalWidth="0" w:num="1">
            <w:col w:w="11240"/>
          </w:cols>
          <w:pgMar w:left="320" w:top="1428" w:right="339" w:bottom="1440" w:gutter="0" w:footer="0" w:header="0"/>
        </w:sectPr>
      </w:pPr>
    </w:p>
    <w:bookmarkStart w:id="236" w:name="page237"/>
    <w:bookmarkEnd w:id="236"/>
    <w:p>
      <w:pPr>
        <w:ind w:right="80"/>
        <w:spacing w:after="0" w:line="292" w:lineRule="auto"/>
        <w:rPr>
          <w:sz w:val="20"/>
          <w:szCs w:val="20"/>
          <w:color w:val="auto"/>
        </w:rPr>
      </w:pPr>
      <w:r>
        <w:rPr>
          <w:rFonts w:ascii="Arial" w:cs="Arial" w:eastAsia="Arial" w:hAnsi="Arial"/>
          <w:sz w:val="19"/>
          <w:szCs w:val="19"/>
          <w:color w:val="auto"/>
        </w:rPr>
        <w:t xml:space="preserve">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9(c) hereof.</w:t>
      </w:r>
    </w:p>
    <w:p>
      <w:pPr>
        <w:spacing w:after="0" w:line="151" w:lineRule="exact"/>
        <w:rPr>
          <w:sz w:val="20"/>
          <w:szCs w:val="20"/>
          <w:color w:val="auto"/>
        </w:rPr>
      </w:pPr>
    </w:p>
    <w:p>
      <w:pPr>
        <w:ind w:firstLine="644"/>
        <w:spacing w:after="0" w:line="288" w:lineRule="auto"/>
        <w:tabs>
          <w:tab w:leader="none" w:pos="1291" w:val="left"/>
        </w:tabs>
        <w:numPr>
          <w:ilvl w:val="0"/>
          <w:numId w:val="150"/>
        </w:numPr>
        <w:rPr>
          <w:rFonts w:ascii="Arial" w:cs="Arial" w:eastAsia="Arial" w:hAnsi="Arial"/>
          <w:sz w:val="19"/>
          <w:szCs w:val="19"/>
          <w:color w:val="auto"/>
        </w:rPr>
      </w:pPr>
      <w:r>
        <w:rPr>
          <w:rFonts w:ascii="Arial" w:cs="Arial" w:eastAsia="Arial" w:hAnsi="Arial"/>
          <w:sz w:val="19"/>
          <w:szCs w:val="19"/>
          <w:i w:val="1"/>
          <w:iCs w:val="1"/>
          <w:color w:val="auto"/>
        </w:rPr>
        <w:t>Pricing Disclosure Package</w:t>
      </w:r>
      <w:r>
        <w:rPr>
          <w:rFonts w:ascii="Arial" w:cs="Arial" w:eastAsia="Arial" w:hAnsi="Arial"/>
          <w:sz w:val="19"/>
          <w:szCs w:val="19"/>
          <w:color w:val="auto"/>
        </w:rPr>
        <w:t>. The Pricing Disclosure Package as of the Applicable Time did not, and as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59" w:lineRule="exact"/>
        <w:rPr>
          <w:rFonts w:ascii="Arial" w:cs="Arial" w:eastAsia="Arial" w:hAnsi="Arial"/>
          <w:sz w:val="19"/>
          <w:szCs w:val="19"/>
          <w:color w:val="auto"/>
        </w:rPr>
      </w:pPr>
    </w:p>
    <w:p>
      <w:pPr>
        <w:ind w:firstLine="644"/>
        <w:spacing w:after="0" w:line="286" w:lineRule="auto"/>
        <w:tabs>
          <w:tab w:leader="none" w:pos="1293" w:val="left"/>
        </w:tabs>
        <w:numPr>
          <w:ilvl w:val="0"/>
          <w:numId w:val="150"/>
        </w:numPr>
        <w:rPr>
          <w:rFonts w:ascii="Arial" w:cs="Arial" w:eastAsia="Arial" w:hAnsi="Arial"/>
          <w:sz w:val="19"/>
          <w:szCs w:val="19"/>
          <w:color w:val="auto"/>
        </w:rPr>
      </w:pPr>
      <w:r>
        <w:rPr>
          <w:rFonts w:ascii="Arial" w:cs="Arial" w:eastAsia="Arial" w:hAnsi="Arial"/>
          <w:sz w:val="19"/>
          <w:szCs w:val="19"/>
          <w:i w:val="1"/>
          <w:iCs w:val="1"/>
          <w:color w:val="auto"/>
        </w:rPr>
        <w:t xml:space="preserve">Issuer Free Writing Prospectus. </w:t>
      </w:r>
      <w:r>
        <w:rPr>
          <w:rFonts w:ascii="Arial" w:cs="Arial" w:eastAsia="Arial" w:hAnsi="Arial"/>
          <w:sz w:val="19"/>
          <w:szCs w:val="19"/>
          <w:color w:val="auto"/>
        </w:rPr>
        <w:t>Other than the Registration Statement, the Preliminary Prospectus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w:t>
      </w:r>
    </w:p>
    <w:p>
      <w:pPr>
        <w:sectPr>
          <w:pgSz w:w="11900" w:h="16838" w:orient="portrait"/>
          <w:cols w:equalWidth="0" w:num="1">
            <w:col w:w="10560"/>
          </w:cols>
          <w:pgMar w:left="980" w:top="1428" w:right="359" w:bottom="1440" w:gutter="0" w:footer="0" w:header="0"/>
        </w:sectPr>
      </w:pPr>
    </w:p>
    <w:bookmarkStart w:id="237" w:name="page238"/>
    <w:bookmarkEnd w:id="237"/>
    <w:p>
      <w:pPr>
        <w:ind w:right="40"/>
        <w:spacing w:after="0" w:line="292" w:lineRule="auto"/>
        <w:rPr>
          <w:sz w:val="20"/>
          <w:szCs w:val="20"/>
          <w:color w:val="auto"/>
        </w:rPr>
      </w:pPr>
      <w:r>
        <w:rPr>
          <w:rFonts w:ascii="Arial" w:cs="Arial" w:eastAsia="Arial" w:hAnsi="Arial"/>
          <w:sz w:val="19"/>
          <w:szCs w:val="19"/>
          <w:color w:val="auto"/>
        </w:rPr>
        <w:t xml:space="preserve">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w:t>
      </w:r>
    </w:p>
    <w:p>
      <w:pPr>
        <w:spacing w:after="0" w:line="151" w:lineRule="exact"/>
        <w:rPr>
          <w:sz w:val="20"/>
          <w:szCs w:val="20"/>
          <w:color w:val="auto"/>
        </w:rPr>
      </w:pPr>
    </w:p>
    <w:p>
      <w:pPr>
        <w:ind w:firstLine="644"/>
        <w:spacing w:after="0" w:line="253" w:lineRule="auto"/>
        <w:tabs>
          <w:tab w:leader="none" w:pos="1291" w:val="left"/>
        </w:tabs>
        <w:numPr>
          <w:ilvl w:val="0"/>
          <w:numId w:val="151"/>
        </w:numPr>
        <w:rPr>
          <w:rFonts w:ascii="Arial" w:cs="Arial" w:eastAsia="Arial" w:hAnsi="Arial"/>
          <w:sz w:val="22"/>
          <w:szCs w:val="22"/>
          <w:color w:val="auto"/>
        </w:rPr>
      </w:pPr>
      <w:r>
        <w:rPr>
          <w:rFonts w:ascii="Arial" w:cs="Arial" w:eastAsia="Arial" w:hAnsi="Arial"/>
          <w:sz w:val="22"/>
          <w:szCs w:val="22"/>
          <w:i w:val="1"/>
          <w:iCs w:val="1"/>
          <w:color w:val="auto"/>
        </w:rPr>
        <w:t>Emerging Growth Company</w:t>
      </w:r>
      <w:r>
        <w:rPr>
          <w:rFonts w:ascii="Arial" w:cs="Arial" w:eastAsia="Arial" w:hAnsi="Arial"/>
          <w:sz w:val="22"/>
          <w:szCs w:val="22"/>
          <w:color w:val="auto"/>
        </w:rPr>
        <w:t>. From the time of initial confidential submission of the Registration Statement</w:t>
      </w:r>
      <w:r>
        <w:rPr>
          <w:rFonts w:ascii="Arial" w:cs="Arial" w:eastAsia="Arial" w:hAnsi="Arial"/>
          <w:sz w:val="22"/>
          <w:szCs w:val="22"/>
          <w:i w:val="1"/>
          <w:iCs w:val="1"/>
          <w:color w:val="auto"/>
        </w:rPr>
        <w:t xml:space="preserve"> </w:t>
      </w:r>
      <w:r>
        <w:rPr>
          <w:rFonts w:ascii="Arial" w:cs="Arial" w:eastAsia="Arial" w:hAnsi="Arial"/>
          <w:sz w:val="22"/>
          <w:szCs w:val="22"/>
          <w:color w:val="auto"/>
        </w:rPr>
        <w:t>to the Commission through the date hereof, the Company has been and is an “emerging growth company,” as defined in Section 2(a) of the Securities Act (an “Emerging Growth Company”).</w:t>
      </w:r>
    </w:p>
    <w:p>
      <w:pPr>
        <w:spacing w:after="0" w:line="185" w:lineRule="exact"/>
        <w:rPr>
          <w:rFonts w:ascii="Arial" w:cs="Arial" w:eastAsia="Arial" w:hAnsi="Arial"/>
          <w:sz w:val="22"/>
          <w:szCs w:val="22"/>
          <w:color w:val="auto"/>
        </w:rPr>
      </w:pPr>
    </w:p>
    <w:p>
      <w:pPr>
        <w:ind w:right="280" w:firstLine="644"/>
        <w:spacing w:after="0" w:line="343" w:lineRule="auto"/>
        <w:tabs>
          <w:tab w:leader="none" w:pos="1293" w:val="left"/>
        </w:tabs>
        <w:numPr>
          <w:ilvl w:val="0"/>
          <w:numId w:val="151"/>
        </w:numPr>
        <w:rPr>
          <w:rFonts w:ascii="Arial" w:cs="Arial" w:eastAsia="Arial" w:hAnsi="Arial"/>
          <w:sz w:val="19"/>
          <w:szCs w:val="19"/>
          <w:color w:val="auto"/>
        </w:rPr>
      </w:pPr>
      <w:r>
        <w:rPr>
          <w:rFonts w:ascii="Arial" w:cs="Arial" w:eastAsia="Arial" w:hAnsi="Arial"/>
          <w:sz w:val="19"/>
          <w:szCs w:val="19"/>
          <w:i w:val="1"/>
          <w:iCs w:val="1"/>
          <w:color w:val="auto"/>
        </w:rPr>
        <w:t xml:space="preserve">Testing the Waters Materials. </w:t>
      </w:r>
      <w:r>
        <w:rPr>
          <w:rFonts w:ascii="Arial" w:cs="Arial" w:eastAsia="Arial" w:hAnsi="Arial"/>
          <w:sz w:val="19"/>
          <w:szCs w:val="19"/>
          <w:color w:val="auto"/>
        </w:rPr>
        <w:t>The Company has not engaged in any oral or written communication with</w:t>
      </w:r>
      <w:r>
        <w:rPr>
          <w:rFonts w:ascii="Arial" w:cs="Arial" w:eastAsia="Arial" w:hAnsi="Arial"/>
          <w:sz w:val="19"/>
          <w:szCs w:val="19"/>
          <w:i w:val="1"/>
          <w:iCs w:val="1"/>
          <w:color w:val="auto"/>
        </w:rPr>
        <w:t xml:space="preserve"> </w:t>
      </w:r>
      <w:r>
        <w:rPr>
          <w:rFonts w:ascii="Arial" w:cs="Arial" w:eastAsia="Arial" w:hAnsi="Arial"/>
          <w:sz w:val="19"/>
          <w:szCs w:val="19"/>
          <w:color w:val="auto"/>
        </w:rPr>
        <w:t>potential investors undertaken in reliance on either Section 5(d) of, or Rule 163B under, the Securities Act.</w:t>
      </w:r>
    </w:p>
    <w:p>
      <w:pPr>
        <w:spacing w:after="0" w:line="104" w:lineRule="exact"/>
        <w:rPr>
          <w:rFonts w:ascii="Arial" w:cs="Arial" w:eastAsia="Arial" w:hAnsi="Arial"/>
          <w:sz w:val="19"/>
          <w:szCs w:val="19"/>
          <w:color w:val="auto"/>
        </w:rPr>
      </w:pPr>
    </w:p>
    <w:p>
      <w:pPr>
        <w:ind w:right="60" w:firstLine="644"/>
        <w:spacing w:after="0" w:line="285" w:lineRule="auto"/>
        <w:tabs>
          <w:tab w:leader="none" w:pos="1296" w:val="left"/>
        </w:tabs>
        <w:numPr>
          <w:ilvl w:val="0"/>
          <w:numId w:val="151"/>
        </w:numPr>
        <w:rPr>
          <w:rFonts w:ascii="Arial" w:cs="Arial" w:eastAsia="Arial" w:hAnsi="Arial"/>
          <w:sz w:val="19"/>
          <w:szCs w:val="19"/>
          <w:color w:val="auto"/>
        </w:rPr>
      </w:pPr>
      <w:r>
        <w:rPr>
          <w:rFonts w:ascii="Arial" w:cs="Arial" w:eastAsia="Arial" w:hAnsi="Arial"/>
          <w:sz w:val="19"/>
          <w:szCs w:val="19"/>
          <w:i w:val="1"/>
          <w:iCs w:val="1"/>
          <w:color w:val="auto"/>
        </w:rPr>
        <w:t xml:space="preserve">Registration Statement and Prospectus. </w:t>
      </w:r>
      <w:r>
        <w:rPr>
          <w:rFonts w:ascii="Arial" w:cs="Arial" w:eastAsia="Arial" w:hAnsi="Arial"/>
          <w:sz w:val="19"/>
          <w:szCs w:val="19"/>
          <w:color w:val="auto"/>
        </w:rPr>
        <w:t>The Registration Statement has been declared effective by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right="620" w:firstLine="644"/>
        <w:spacing w:after="0" w:line="263" w:lineRule="auto"/>
        <w:tabs>
          <w:tab w:leader="none" w:pos="1291" w:val="left"/>
        </w:tabs>
        <w:numPr>
          <w:ilvl w:val="0"/>
          <w:numId w:val="151"/>
        </w:numPr>
        <w:rPr>
          <w:rFonts w:ascii="Arial" w:cs="Arial" w:eastAsia="Arial" w:hAnsi="Arial"/>
          <w:sz w:val="22"/>
          <w:szCs w:val="22"/>
          <w:color w:val="auto"/>
        </w:rPr>
      </w:pPr>
      <w:r>
        <w:rPr>
          <w:rFonts w:ascii="Arial" w:cs="Arial" w:eastAsia="Arial" w:hAnsi="Arial"/>
          <w:sz w:val="22"/>
          <w:szCs w:val="22"/>
          <w:i w:val="1"/>
          <w:iCs w:val="1"/>
          <w:color w:val="auto"/>
        </w:rPr>
        <w:t xml:space="preserve">Financial Statements. </w:t>
      </w:r>
      <w:r>
        <w:rPr>
          <w:rFonts w:ascii="Arial" w:cs="Arial" w:eastAsia="Arial" w:hAnsi="Arial"/>
          <w:sz w:val="22"/>
          <w:szCs w:val="22"/>
          <w:color w:val="auto"/>
        </w:rPr>
        <w:t>The financial statements (including the related notes thereto)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included in the Registration Statement, the Pricing</w:t>
      </w:r>
    </w:p>
    <w:p>
      <w:pPr>
        <w:sectPr>
          <w:pgSz w:w="11900" w:h="16838" w:orient="portrait"/>
          <w:cols w:equalWidth="0" w:num="1">
            <w:col w:w="10540"/>
          </w:cols>
          <w:pgMar w:left="980" w:top="1428" w:right="379" w:bottom="1440" w:gutter="0" w:footer="0" w:header="0"/>
        </w:sectPr>
      </w:pPr>
    </w:p>
    <w:bookmarkStart w:id="238" w:name="page239"/>
    <w:bookmarkEnd w:id="238"/>
    <w:p>
      <w:pPr>
        <w:ind w:right="120"/>
        <w:spacing w:after="0" w:line="290" w:lineRule="auto"/>
        <w:rPr>
          <w:sz w:val="20"/>
          <w:szCs w:val="20"/>
          <w:color w:val="auto"/>
        </w:rPr>
      </w:pPr>
      <w:r>
        <w:rPr>
          <w:rFonts w:ascii="Arial" w:cs="Arial" w:eastAsia="Arial" w:hAnsi="Arial"/>
          <w:sz w:val="19"/>
          <w:szCs w:val="19"/>
          <w:color w:val="auto"/>
        </w:rPr>
        <w:t>Disclosure Package and the Prospectus comply in all material respects with the applicable requirements of the Securities Act and present fairly the financial position of the Company as of the dates indicated and the results of their operations and the changes in their cash flows for the periods specified; such financial statements have been prepared in all material respects in conformity with generally accepted accounting principles (“GAAP”)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presents fairly, in all material respects, the information shown thereby.</w:t>
      </w:r>
    </w:p>
    <w:p>
      <w:pPr>
        <w:spacing w:after="0" w:line="156" w:lineRule="exact"/>
        <w:rPr>
          <w:sz w:val="20"/>
          <w:szCs w:val="20"/>
          <w:color w:val="auto"/>
        </w:rPr>
      </w:pPr>
    </w:p>
    <w:p>
      <w:pPr>
        <w:ind w:firstLine="644"/>
        <w:spacing w:after="0" w:line="286" w:lineRule="auto"/>
        <w:tabs>
          <w:tab w:leader="none" w:pos="1291"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 xml:space="preserve">No Material Adverse Change. </w:t>
      </w:r>
      <w:r>
        <w:rPr>
          <w:rFonts w:ascii="Arial" w:cs="Arial" w:eastAsia="Arial" w:hAnsi="Arial"/>
          <w:sz w:val="19"/>
          <w:szCs w:val="19"/>
          <w:color w:val="auto"/>
        </w:rPr>
        <w:t>Since the date of the most recent financial statements of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included in 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644"/>
        <w:spacing w:after="0" w:line="290" w:lineRule="auto"/>
        <w:tabs>
          <w:tab w:leader="none" w:pos="1284" w:val="left"/>
        </w:tabs>
        <w:numPr>
          <w:ilvl w:val="0"/>
          <w:numId w:val="152"/>
        </w:numPr>
        <w:rPr>
          <w:rFonts w:ascii="Arial" w:cs="Arial" w:eastAsia="Arial" w:hAnsi="Arial"/>
          <w:sz w:val="19"/>
          <w:szCs w:val="19"/>
          <w:color w:val="auto"/>
        </w:rPr>
      </w:pPr>
      <w:r>
        <w:rPr>
          <w:rFonts w:ascii="Arial" w:cs="Arial" w:eastAsia="Arial" w:hAnsi="Arial"/>
          <w:sz w:val="19"/>
          <w:szCs w:val="19"/>
          <w:i w:val="1"/>
          <w:iCs w:val="1"/>
          <w:color w:val="auto"/>
        </w:rPr>
        <w:t xml:space="preserve">Organization and Good Standing. </w:t>
      </w:r>
      <w:r>
        <w:rPr>
          <w:rFonts w:ascii="Arial" w:cs="Arial" w:eastAsia="Arial" w:hAnsi="Arial"/>
          <w:sz w:val="19"/>
          <w:szCs w:val="19"/>
          <w:color w:val="auto"/>
        </w:rPr>
        <w:t>The Company and each of its subsidiaries have been duly organized and</w:t>
      </w:r>
      <w:r>
        <w:rPr>
          <w:rFonts w:ascii="Arial" w:cs="Arial" w:eastAsia="Arial" w:hAnsi="Arial"/>
          <w:sz w:val="19"/>
          <w:szCs w:val="19"/>
          <w:i w:val="1"/>
          <w:iCs w:val="1"/>
          <w:color w:val="auto"/>
        </w:rPr>
        <w:t xml:space="preserve"> </w:t>
      </w:r>
      <w:r>
        <w:rPr>
          <w:rFonts w:ascii="Arial" w:cs="Arial" w:eastAsia="Arial" w:hAnsi="Arial"/>
          <w:sz w:val="19"/>
          <w:szCs w:val="19"/>
          <w:color w:val="auto"/>
        </w:rPr>
        <w:t>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w:t>
      </w:r>
    </w:p>
    <w:p>
      <w:pPr>
        <w:sectPr>
          <w:pgSz w:w="11900" w:h="16838" w:orient="portrait"/>
          <w:cols w:equalWidth="0" w:num="1">
            <w:col w:w="10560"/>
          </w:cols>
          <w:pgMar w:left="980" w:top="1428" w:right="359" w:bottom="1440" w:gutter="0" w:footer="0" w:header="0"/>
        </w:sectPr>
      </w:pPr>
    </w:p>
    <w:bookmarkStart w:id="239" w:name="page240"/>
    <w:bookmarkEnd w:id="239"/>
    <w:p>
      <w:pPr>
        <w:ind w:right="100"/>
        <w:spacing w:after="0" w:line="302" w:lineRule="auto"/>
        <w:rPr>
          <w:sz w:val="20"/>
          <w:szCs w:val="20"/>
          <w:color w:val="auto"/>
        </w:rPr>
      </w:pPr>
      <w:r>
        <w:rPr>
          <w:rFonts w:ascii="Arial" w:cs="Arial" w:eastAsia="Arial" w:hAnsi="Arial"/>
          <w:sz w:val="19"/>
          <w:szCs w:val="19"/>
          <w:color w:val="auto"/>
        </w:rPr>
        <w:t>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 The subsidiaries listed in Schedule 3 to this Agreement are the only significant subsidiaries of the Company.</w:t>
      </w:r>
    </w:p>
    <w:p>
      <w:pPr>
        <w:spacing w:after="0" w:line="142" w:lineRule="exact"/>
        <w:rPr>
          <w:sz w:val="20"/>
          <w:szCs w:val="20"/>
          <w:color w:val="auto"/>
        </w:rPr>
      </w:pPr>
    </w:p>
    <w:p>
      <w:pPr>
        <w:ind w:firstLine="644"/>
        <w:spacing w:after="0" w:line="285" w:lineRule="auto"/>
        <w:tabs>
          <w:tab w:leader="none" w:pos="1284" w:val="left"/>
        </w:tabs>
        <w:numPr>
          <w:ilvl w:val="0"/>
          <w:numId w:val="153"/>
        </w:numPr>
        <w:rPr>
          <w:rFonts w:ascii="Arial" w:cs="Arial" w:eastAsia="Arial" w:hAnsi="Arial"/>
          <w:sz w:val="19"/>
          <w:szCs w:val="19"/>
          <w:color w:val="auto"/>
        </w:rPr>
      </w:pPr>
      <w:r>
        <w:rPr>
          <w:rFonts w:ascii="Arial" w:cs="Arial" w:eastAsia="Arial" w:hAnsi="Arial"/>
          <w:sz w:val="19"/>
          <w:szCs w:val="19"/>
          <w:i w:val="1"/>
          <w:iCs w:val="1"/>
          <w:color w:val="auto"/>
        </w:rPr>
        <w:t xml:space="preserve">Capitalization. </w:t>
      </w:r>
      <w:r>
        <w:rPr>
          <w:rFonts w:ascii="Arial" w:cs="Arial" w:eastAsia="Arial" w:hAnsi="Arial"/>
          <w:sz w:val="19"/>
          <w:szCs w:val="19"/>
          <w:color w:val="auto"/>
        </w:rPr>
        <w:t>The Company has an authorized capitalization as set forth in the Registration Statement,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Pricing Disclosure Package and the Prospectus under the heading “Capitalization”; all the outstanding shares of capital stock of the Company (including the Shares to be sold by the Selling Stockholders) have been duly and validly authorized and issued and are fully paid and non-assessable and are not subject to any pre-emptive or similar rights that have not been duly waived or satisfied; except as described in or expressly contemplated by the Registration Statement, the Pricing Disclosure Package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68" w:lineRule="exact"/>
        <w:rPr>
          <w:rFonts w:ascii="Arial" w:cs="Arial" w:eastAsia="Arial" w:hAnsi="Arial"/>
          <w:sz w:val="19"/>
          <w:szCs w:val="19"/>
          <w:color w:val="auto"/>
        </w:rPr>
      </w:pPr>
    </w:p>
    <w:p>
      <w:pPr>
        <w:ind w:right="40" w:firstLine="644"/>
        <w:spacing w:after="0" w:line="287" w:lineRule="auto"/>
        <w:tabs>
          <w:tab w:leader="none" w:pos="1291" w:val="left"/>
        </w:tabs>
        <w:numPr>
          <w:ilvl w:val="0"/>
          <w:numId w:val="153"/>
        </w:numPr>
        <w:rPr>
          <w:rFonts w:ascii="Arial" w:cs="Arial" w:eastAsia="Arial" w:hAnsi="Arial"/>
          <w:sz w:val="19"/>
          <w:szCs w:val="19"/>
          <w:color w:val="auto"/>
        </w:rPr>
      </w:pPr>
      <w:r>
        <w:rPr>
          <w:rFonts w:ascii="Arial" w:cs="Arial" w:eastAsia="Arial" w:hAnsi="Arial"/>
          <w:sz w:val="19"/>
          <w:szCs w:val="19"/>
          <w:i w:val="1"/>
          <w:iCs w:val="1"/>
          <w:color w:val="auto"/>
        </w:rPr>
        <w:t xml:space="preserve">Stock Options. </w:t>
      </w:r>
      <w:r>
        <w:rPr>
          <w:rFonts w:ascii="Arial" w:cs="Arial" w:eastAsia="Arial" w:hAnsi="Arial"/>
          <w:sz w:val="19"/>
          <w:szCs w:val="19"/>
          <w:color w:val="auto"/>
        </w:rPr>
        <w:t>With respect to the stock options (the “Stock Options”) granted pursuant to the stock-based</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plans of the Company and its subsidiaries (the “Company Stock Plans”), (i) each Stock Option intended to qualify as an “incentive stock option” under Section 422 of the Code so qualifies to the extent that such Stock Option (a) satisfies the holding period requirements of Code Section 422(a)(1), and (b) together with all such Stock Options granted to the respective recipient, satisfies the $100,000 per individual per year limit of Code Section 422(d),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w:t>
      </w:r>
    </w:p>
    <w:p>
      <w:pPr>
        <w:sectPr>
          <w:pgSz w:w="11900" w:h="16838" w:orient="portrait"/>
          <w:cols w:equalWidth="0" w:num="1">
            <w:col w:w="10520"/>
          </w:cols>
          <w:pgMar w:left="980" w:top="1428" w:right="399" w:bottom="1440" w:gutter="0" w:footer="0" w:header="0"/>
        </w:sectPr>
      </w:pPr>
    </w:p>
    <w:bookmarkStart w:id="240" w:name="page241"/>
    <w:bookmarkEnd w:id="240"/>
    <w:p>
      <w:pPr>
        <w:ind w:right="120"/>
        <w:spacing w:after="0" w:line="261" w:lineRule="auto"/>
        <w:rPr>
          <w:sz w:val="20"/>
          <w:szCs w:val="20"/>
          <w:color w:val="auto"/>
        </w:rPr>
      </w:pPr>
      <w:r>
        <w:rPr>
          <w:rFonts w:ascii="Arial" w:cs="Arial" w:eastAsia="Arial" w:hAnsi="Arial"/>
          <w:sz w:val="21"/>
          <w:szCs w:val="21"/>
          <w:color w:val="auto"/>
        </w:rPr>
        <w:t>including the rules of the Nasdaq Global Select Market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179" w:lineRule="exact"/>
        <w:rPr>
          <w:sz w:val="20"/>
          <w:szCs w:val="20"/>
          <w:color w:val="auto"/>
        </w:rPr>
      </w:pPr>
    </w:p>
    <w:p>
      <w:pPr>
        <w:ind w:firstLine="644"/>
        <w:spacing w:after="0" w:line="250" w:lineRule="auto"/>
        <w:tabs>
          <w:tab w:leader="none" w:pos="1284"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 xml:space="preserve">Due Authorization. </w:t>
      </w:r>
      <w:r>
        <w:rPr>
          <w:rFonts w:ascii="Arial" w:cs="Arial" w:eastAsia="Arial" w:hAnsi="Arial"/>
          <w:sz w:val="22"/>
          <w:szCs w:val="22"/>
          <w:color w:val="auto"/>
        </w:rPr>
        <w:t>The Company has full right, power and authority to execute and deliver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87" w:lineRule="exact"/>
        <w:rPr>
          <w:rFonts w:ascii="Arial" w:cs="Arial" w:eastAsia="Arial" w:hAnsi="Arial"/>
          <w:sz w:val="22"/>
          <w:szCs w:val="22"/>
          <w:color w:val="auto"/>
        </w:rPr>
      </w:pPr>
    </w:p>
    <w:p>
      <w:pPr>
        <w:ind w:left="1280" w:hanging="636"/>
        <w:spacing w:after="0"/>
        <w:tabs>
          <w:tab w:leader="none" w:pos="1280" w:val="left"/>
        </w:tabs>
        <w:numPr>
          <w:ilvl w:val="0"/>
          <w:numId w:val="154"/>
        </w:numPr>
        <w:rPr>
          <w:rFonts w:ascii="Arial" w:cs="Arial" w:eastAsia="Arial" w:hAnsi="Arial"/>
          <w:sz w:val="21"/>
          <w:szCs w:val="21"/>
          <w:color w:val="auto"/>
        </w:rPr>
      </w:pPr>
      <w:r>
        <w:rPr>
          <w:rFonts w:ascii="Arial" w:cs="Arial" w:eastAsia="Arial" w:hAnsi="Arial"/>
          <w:sz w:val="21"/>
          <w:szCs w:val="21"/>
          <w:i w:val="1"/>
          <w:iCs w:val="1"/>
          <w:color w:val="auto"/>
        </w:rPr>
        <w:t xml:space="preserve">Underwriting Agreement. </w:t>
      </w:r>
      <w:r>
        <w:rPr>
          <w:rFonts w:ascii="Arial" w:cs="Arial" w:eastAsia="Arial" w:hAnsi="Arial"/>
          <w:sz w:val="21"/>
          <w:szCs w:val="21"/>
          <w:color w:val="auto"/>
        </w:rPr>
        <w:t>This Agreement has been duly authorized, executed and delivered by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201" w:lineRule="exact"/>
        <w:rPr>
          <w:rFonts w:ascii="Arial" w:cs="Arial" w:eastAsia="Arial" w:hAnsi="Arial"/>
          <w:sz w:val="21"/>
          <w:szCs w:val="21"/>
          <w:color w:val="auto"/>
        </w:rPr>
      </w:pPr>
    </w:p>
    <w:p>
      <w:pPr>
        <w:ind w:right="80" w:firstLine="644"/>
        <w:spacing w:after="0" w:line="248" w:lineRule="auto"/>
        <w:tabs>
          <w:tab w:leader="none" w:pos="1291"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 xml:space="preserve">The Shares. </w:t>
      </w:r>
      <w:r>
        <w:rPr>
          <w:rFonts w:ascii="Arial" w:cs="Arial" w:eastAsia="Arial" w:hAnsi="Arial"/>
          <w:sz w:val="22"/>
          <w:szCs w:val="22"/>
          <w:color w:val="auto"/>
        </w:rPr>
        <w:t>The Shares to be issued and sold by the Company hereunder have been duly authorized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and, when issued and delivered and paid for as provided herein, will be duly and validly issued, will be fully paid and nonassessable and will conform to in all material respects the descriptions thereof in the Registration Statement, the Pricing Disclosure Package and the Prospectus; and the issuance of the Shares is not subject to any preemptive or similar rights.</w:t>
      </w:r>
    </w:p>
    <w:p>
      <w:pPr>
        <w:spacing w:after="0" w:line="191" w:lineRule="exact"/>
        <w:rPr>
          <w:rFonts w:ascii="Arial" w:cs="Arial" w:eastAsia="Arial" w:hAnsi="Arial"/>
          <w:sz w:val="22"/>
          <w:szCs w:val="22"/>
          <w:color w:val="auto"/>
        </w:rPr>
      </w:pPr>
    </w:p>
    <w:p>
      <w:pPr>
        <w:ind w:right="500" w:firstLine="644"/>
        <w:spacing w:after="0" w:line="343" w:lineRule="auto"/>
        <w:tabs>
          <w:tab w:leader="none" w:pos="1291" w:val="left"/>
        </w:tabs>
        <w:numPr>
          <w:ilvl w:val="0"/>
          <w:numId w:val="154"/>
        </w:numPr>
        <w:rPr>
          <w:rFonts w:ascii="Arial" w:cs="Arial" w:eastAsia="Arial" w:hAnsi="Arial"/>
          <w:sz w:val="19"/>
          <w:szCs w:val="19"/>
          <w:color w:val="auto"/>
        </w:rPr>
      </w:pPr>
      <w:r>
        <w:rPr>
          <w:rFonts w:ascii="Arial" w:cs="Arial" w:eastAsia="Arial" w:hAnsi="Arial"/>
          <w:sz w:val="19"/>
          <w:szCs w:val="19"/>
          <w:i w:val="1"/>
          <w:iCs w:val="1"/>
          <w:color w:val="auto"/>
        </w:rPr>
        <w:t xml:space="preserve">Descriptions of the Underwriting Agreement. </w:t>
      </w:r>
      <w:r>
        <w:rPr>
          <w:rFonts w:ascii="Arial" w:cs="Arial" w:eastAsia="Arial" w:hAnsi="Arial"/>
          <w:sz w:val="19"/>
          <w:szCs w:val="19"/>
          <w:color w:val="auto"/>
        </w:rPr>
        <w:t>This Agreement conforms in all material respects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description thereof contained in the Registration Statement, the Pricing Disclosure Package and the Prospectus.</w:t>
      </w:r>
    </w:p>
    <w:p>
      <w:pPr>
        <w:spacing w:after="0" w:line="104" w:lineRule="exact"/>
        <w:rPr>
          <w:rFonts w:ascii="Arial" w:cs="Arial" w:eastAsia="Arial" w:hAnsi="Arial"/>
          <w:sz w:val="19"/>
          <w:szCs w:val="19"/>
          <w:color w:val="auto"/>
        </w:rPr>
      </w:pPr>
    </w:p>
    <w:p>
      <w:pPr>
        <w:ind w:firstLine="644"/>
        <w:spacing w:after="0" w:line="289" w:lineRule="auto"/>
        <w:tabs>
          <w:tab w:leader="none" w:pos="1291" w:val="left"/>
        </w:tabs>
        <w:numPr>
          <w:ilvl w:val="0"/>
          <w:numId w:val="154"/>
        </w:numPr>
        <w:rPr>
          <w:rFonts w:ascii="Arial" w:cs="Arial" w:eastAsia="Arial" w:hAnsi="Arial"/>
          <w:sz w:val="19"/>
          <w:szCs w:val="19"/>
          <w:color w:val="auto"/>
        </w:rPr>
      </w:pPr>
      <w:r>
        <w:rPr>
          <w:rFonts w:ascii="Arial" w:cs="Arial" w:eastAsia="Arial" w:hAnsi="Arial"/>
          <w:sz w:val="19"/>
          <w:szCs w:val="19"/>
          <w:i w:val="1"/>
          <w:iCs w:val="1"/>
          <w:color w:val="auto"/>
        </w:rPr>
        <w:t xml:space="preserve">No Violation or Default. </w:t>
      </w:r>
      <w:r>
        <w:rPr>
          <w:rFonts w:ascii="Arial" w:cs="Arial" w:eastAsia="Arial" w:hAnsi="Arial"/>
          <w:sz w:val="19"/>
          <w:szCs w:val="19"/>
          <w:color w:val="auto"/>
        </w:rPr>
        <w:t>Neither the Company nor any of its subsidiaries is (i) in violation of its charter or</w:t>
      </w:r>
      <w:r>
        <w:rPr>
          <w:rFonts w:ascii="Arial" w:cs="Arial" w:eastAsia="Arial" w:hAnsi="Arial"/>
          <w:sz w:val="19"/>
          <w:szCs w:val="19"/>
          <w:i w:val="1"/>
          <w:iCs w:val="1"/>
          <w:color w:val="auto"/>
        </w:rPr>
        <w:t xml:space="preserve"> </w:t>
      </w:r>
      <w:r>
        <w:rPr>
          <w:rFonts w:ascii="Arial" w:cs="Arial" w:eastAsia="Arial" w:hAnsi="Arial"/>
          <w:sz w:val="19"/>
          <w:szCs w:val="19"/>
          <w:color w:val="auto"/>
        </w:rPr>
        <w:t>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applicable law or statute or any judgment, order, rule or regulation of any court or arbitrator or governmental or regulatory authority having jurisdiction over the Company and its subsidiaries, except, in the case of clauses (ii) and (iii) above, for any such default or violation that would not, individually or in the aggregate, reasonably be expected to have a Material Adverse Effect.</w:t>
      </w:r>
    </w:p>
    <w:p>
      <w:pPr>
        <w:spacing w:after="0" w:line="156" w:lineRule="exact"/>
        <w:rPr>
          <w:rFonts w:ascii="Arial" w:cs="Arial" w:eastAsia="Arial" w:hAnsi="Arial"/>
          <w:sz w:val="19"/>
          <w:szCs w:val="19"/>
          <w:color w:val="auto"/>
        </w:rPr>
      </w:pPr>
    </w:p>
    <w:p>
      <w:pPr>
        <w:jc w:val="both"/>
        <w:ind w:right="220" w:firstLine="644"/>
        <w:spacing w:after="0" w:line="253" w:lineRule="auto"/>
        <w:tabs>
          <w:tab w:leader="none" w:pos="1291"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 xml:space="preserve">No Conflicts. </w:t>
      </w:r>
      <w:r>
        <w:rPr>
          <w:rFonts w:ascii="Arial" w:cs="Arial" w:eastAsia="Arial" w:hAnsi="Arial"/>
          <w:sz w:val="22"/>
          <w:szCs w:val="22"/>
          <w:color w:val="auto"/>
        </w:rPr>
        <w:t>The execution, delivery and performance by the Company of this Agreement, the issuance</w:t>
      </w:r>
      <w:r>
        <w:rPr>
          <w:rFonts w:ascii="Arial" w:cs="Arial" w:eastAsia="Arial" w:hAnsi="Arial"/>
          <w:sz w:val="22"/>
          <w:szCs w:val="22"/>
          <w:i w:val="1"/>
          <w:iCs w:val="1"/>
          <w:color w:val="auto"/>
        </w:rPr>
        <w:t xml:space="preserve"> </w:t>
      </w:r>
      <w:r>
        <w:rPr>
          <w:rFonts w:ascii="Arial" w:cs="Arial" w:eastAsia="Arial" w:hAnsi="Arial"/>
          <w:sz w:val="22"/>
          <w:szCs w:val="22"/>
          <w:color w:val="auto"/>
        </w:rPr>
        <w:t>and sale of the Shares by the Company and the consummation of the transactions by the Company contemplated by this Agreement or</w:t>
      </w:r>
    </w:p>
    <w:p>
      <w:pPr>
        <w:sectPr>
          <w:pgSz w:w="11900" w:h="16838" w:orient="portrait"/>
          <w:cols w:equalWidth="0" w:num="1">
            <w:col w:w="10560"/>
          </w:cols>
          <w:pgMar w:left="980" w:top="1428" w:right="359" w:bottom="1440" w:gutter="0" w:footer="0" w:header="0"/>
        </w:sectPr>
      </w:pPr>
    </w:p>
    <w:bookmarkStart w:id="241" w:name="page242"/>
    <w:bookmarkEnd w:id="241"/>
    <w:p>
      <w:pPr>
        <w:ind w:right="60"/>
        <w:spacing w:after="0" w:line="287" w:lineRule="auto"/>
        <w:rPr>
          <w:sz w:val="20"/>
          <w:szCs w:val="20"/>
          <w:color w:val="auto"/>
        </w:rPr>
      </w:pPr>
      <w:r>
        <w:rPr>
          <w:rFonts w:ascii="Arial" w:cs="Arial" w:eastAsia="Arial" w:hAnsi="Arial"/>
          <w:sz w:val="19"/>
          <w:szCs w:val="19"/>
          <w:color w:val="auto"/>
        </w:rPr>
        <w:t>the Pricing Disclosure Package and the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applicable law or statute or any judgment, order, rule or regulation of any court or arbitrator or governmental or regulatory authority having jurisdiction over the Company and its subsidiaries, except, in the case of clauses (i) and (iii) above, for any such conflict, breach, violation, default, lien, charge or encumbrance that would not, individually or in the aggregate, reasonably be expected to have a Material Adverse Effect.</w:t>
      </w:r>
    </w:p>
    <w:p>
      <w:pPr>
        <w:spacing w:after="0" w:line="163" w:lineRule="exact"/>
        <w:rPr>
          <w:sz w:val="20"/>
          <w:szCs w:val="20"/>
          <w:color w:val="auto"/>
        </w:rPr>
      </w:pPr>
    </w:p>
    <w:p>
      <w:pPr>
        <w:ind w:right="80" w:firstLine="644"/>
        <w:spacing w:after="0" w:line="260" w:lineRule="auto"/>
        <w:tabs>
          <w:tab w:leader="none" w:pos="1296" w:val="left"/>
        </w:tabs>
        <w:numPr>
          <w:ilvl w:val="0"/>
          <w:numId w:val="155"/>
        </w:numPr>
        <w:rPr>
          <w:rFonts w:ascii="Arial" w:cs="Arial" w:eastAsia="Arial" w:hAnsi="Arial"/>
          <w:sz w:val="21"/>
          <w:szCs w:val="21"/>
          <w:color w:val="auto"/>
        </w:rPr>
      </w:pPr>
      <w:r>
        <w:rPr>
          <w:rFonts w:ascii="Arial" w:cs="Arial" w:eastAsia="Arial" w:hAnsi="Arial"/>
          <w:sz w:val="21"/>
          <w:szCs w:val="21"/>
          <w:i w:val="1"/>
          <w:iCs w:val="1"/>
          <w:color w:val="auto"/>
        </w:rPr>
        <w:t xml:space="preserve">No Consents Required. </w:t>
      </w:r>
      <w:r>
        <w:rPr>
          <w:rFonts w:ascii="Arial" w:cs="Arial" w:eastAsia="Arial" w:hAnsi="Arial"/>
          <w:sz w:val="21"/>
          <w:szCs w:val="21"/>
          <w:color w:val="auto"/>
        </w:rPr>
        <w:t>No consent, approval, authorization, order, registration or qualification of or with</w:t>
      </w:r>
      <w:r>
        <w:rPr>
          <w:rFonts w:ascii="Arial" w:cs="Arial" w:eastAsia="Arial" w:hAnsi="Arial"/>
          <w:sz w:val="21"/>
          <w:szCs w:val="21"/>
          <w:i w:val="1"/>
          <w:iCs w:val="1"/>
          <w:color w:val="auto"/>
        </w:rPr>
        <w:t xml:space="preserve"> </w:t>
      </w:r>
      <w:r>
        <w:rPr>
          <w:rFonts w:ascii="Arial" w:cs="Arial" w:eastAsia="Arial" w:hAnsi="Arial"/>
          <w:sz w:val="21"/>
          <w:szCs w:val="21"/>
          <w:color w:val="auto"/>
        </w:rPr>
        <w:t>any court or arbitrator or governmental or regulatory authority is required for the execution, delivery and performance by the Company of this Agreement, the issuance and sale of the Shares and the consummation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Underwriters.</w:t>
      </w:r>
    </w:p>
    <w:p>
      <w:pPr>
        <w:spacing w:after="0" w:line="180" w:lineRule="exact"/>
        <w:rPr>
          <w:rFonts w:ascii="Arial" w:cs="Arial" w:eastAsia="Arial" w:hAnsi="Arial"/>
          <w:sz w:val="21"/>
          <w:szCs w:val="21"/>
          <w:color w:val="auto"/>
        </w:rPr>
      </w:pPr>
    </w:p>
    <w:p>
      <w:pPr>
        <w:ind w:firstLine="644"/>
        <w:spacing w:after="0" w:line="287" w:lineRule="auto"/>
        <w:tabs>
          <w:tab w:leader="none" w:pos="1294" w:val="left"/>
        </w:tabs>
        <w:numPr>
          <w:ilvl w:val="0"/>
          <w:numId w:val="155"/>
        </w:numPr>
        <w:rPr>
          <w:rFonts w:ascii="Arial" w:cs="Arial" w:eastAsia="Arial" w:hAnsi="Arial"/>
          <w:sz w:val="19"/>
          <w:szCs w:val="19"/>
          <w:color w:val="auto"/>
        </w:rPr>
      </w:pPr>
      <w:r>
        <w:rPr>
          <w:rFonts w:ascii="Arial" w:cs="Arial" w:eastAsia="Arial" w:hAnsi="Arial"/>
          <w:sz w:val="19"/>
          <w:szCs w:val="19"/>
          <w:i w:val="1"/>
          <w:iCs w:val="1"/>
          <w:color w:val="auto"/>
        </w:rPr>
        <w:t xml:space="preserve">Legal Proceedings. </w:t>
      </w:r>
      <w:r>
        <w:rPr>
          <w:rFonts w:ascii="Arial" w:cs="Arial" w:eastAsia="Arial" w:hAnsi="Arial"/>
          <w:sz w:val="19"/>
          <w:szCs w:val="19"/>
          <w:color w:val="auto"/>
        </w:rPr>
        <w:t>There are no legal, governmental or regulatory investigations, actions, demands,</w:t>
      </w:r>
      <w:r>
        <w:rPr>
          <w:rFonts w:ascii="Arial" w:cs="Arial" w:eastAsia="Arial" w:hAnsi="Arial"/>
          <w:sz w:val="19"/>
          <w:szCs w:val="19"/>
          <w:i w:val="1"/>
          <w:iCs w:val="1"/>
          <w:color w:val="auto"/>
        </w:rPr>
        <w:t xml:space="preserve"> </w:t>
      </w:r>
      <w:r>
        <w:rPr>
          <w:rFonts w:ascii="Arial" w:cs="Arial" w:eastAsia="Arial" w:hAnsi="Arial"/>
          <w:sz w:val="19"/>
          <w:szCs w:val="19"/>
          <w:color w:val="auto"/>
        </w:rPr>
        <w:t>claims, suits, arbitrations, inquiries or proceedings (“Actions”) pending to which the Company or any of its subsidiaries is or may be a party or to which any property of the Company or any of its subsidiaries is or may be the subject that, individually or in the aggregate, if determined adversely to the Company or any of its subsidiaries, could 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58" w:lineRule="exact"/>
        <w:rPr>
          <w:rFonts w:ascii="Arial" w:cs="Arial" w:eastAsia="Arial" w:hAnsi="Arial"/>
          <w:sz w:val="19"/>
          <w:szCs w:val="19"/>
          <w:color w:val="auto"/>
        </w:rPr>
      </w:pPr>
    </w:p>
    <w:p>
      <w:pPr>
        <w:ind w:right="260" w:firstLine="644"/>
        <w:spacing w:after="0" w:line="263" w:lineRule="auto"/>
        <w:tabs>
          <w:tab w:leader="none" w:pos="1284" w:val="left"/>
        </w:tabs>
        <w:numPr>
          <w:ilvl w:val="0"/>
          <w:numId w:val="155"/>
        </w:numPr>
        <w:rPr>
          <w:rFonts w:ascii="Arial" w:cs="Arial" w:eastAsia="Arial" w:hAnsi="Arial"/>
          <w:sz w:val="22"/>
          <w:szCs w:val="22"/>
          <w:color w:val="auto"/>
        </w:rPr>
      </w:pPr>
      <w:r>
        <w:rPr>
          <w:rFonts w:ascii="Arial" w:cs="Arial" w:eastAsia="Arial" w:hAnsi="Arial"/>
          <w:sz w:val="22"/>
          <w:szCs w:val="22"/>
          <w:i w:val="1"/>
          <w:iCs w:val="1"/>
          <w:color w:val="auto"/>
        </w:rPr>
        <w:t>Independent Accountants</w:t>
      </w:r>
      <w:r>
        <w:rPr>
          <w:rFonts w:ascii="Arial" w:cs="Arial" w:eastAsia="Arial" w:hAnsi="Arial"/>
          <w:sz w:val="22"/>
          <w:szCs w:val="22"/>
          <w:color w:val="auto"/>
        </w:rPr>
        <w:t>. Deloitte &amp; Touche LLP, who have certified certain financial statements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and its subsidiaries is an independent</w:t>
      </w:r>
    </w:p>
    <w:p>
      <w:pPr>
        <w:sectPr>
          <w:pgSz w:w="11900" w:h="16838" w:orient="portrait"/>
          <w:cols w:equalWidth="0" w:num="1">
            <w:col w:w="10540"/>
          </w:cols>
          <w:pgMar w:left="980" w:top="1428" w:right="379" w:bottom="1440" w:gutter="0" w:footer="0" w:header="0"/>
        </w:sectPr>
      </w:pPr>
    </w:p>
    <w:bookmarkStart w:id="242" w:name="page243"/>
    <w:bookmarkEnd w:id="242"/>
    <w:p>
      <w:pPr>
        <w:ind w:right="400"/>
        <w:spacing w:after="0" w:line="253" w:lineRule="auto"/>
        <w:rPr>
          <w:sz w:val="20"/>
          <w:szCs w:val="20"/>
          <w:color w:val="auto"/>
        </w:rPr>
      </w:pPr>
      <w:r>
        <w:rPr>
          <w:rFonts w:ascii="Arial" w:cs="Arial" w:eastAsia="Arial" w:hAnsi="Arial"/>
          <w:sz w:val="22"/>
          <w:szCs w:val="22"/>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85" w:lineRule="exact"/>
        <w:rPr>
          <w:sz w:val="20"/>
          <w:szCs w:val="20"/>
          <w:color w:val="auto"/>
        </w:rPr>
      </w:pPr>
    </w:p>
    <w:p>
      <w:pPr>
        <w:ind w:firstLine="644"/>
        <w:spacing w:after="0" w:line="261" w:lineRule="auto"/>
        <w:tabs>
          <w:tab w:leader="none" w:pos="1291" w:val="left"/>
        </w:tabs>
        <w:numPr>
          <w:ilvl w:val="0"/>
          <w:numId w:val="156"/>
        </w:numPr>
        <w:rPr>
          <w:rFonts w:ascii="Arial" w:cs="Arial" w:eastAsia="Arial" w:hAnsi="Arial"/>
          <w:sz w:val="21"/>
          <w:szCs w:val="21"/>
          <w:color w:val="auto"/>
        </w:rPr>
      </w:pPr>
      <w:r>
        <w:rPr>
          <w:rFonts w:ascii="Arial" w:cs="Arial" w:eastAsia="Arial" w:hAnsi="Arial"/>
          <w:sz w:val="21"/>
          <w:szCs w:val="21"/>
          <w:i w:val="1"/>
          <w:iCs w:val="1"/>
          <w:color w:val="auto"/>
        </w:rPr>
        <w:t>Title to Real and Personal Property</w:t>
      </w:r>
      <w:r>
        <w:rPr>
          <w:rFonts w:ascii="Arial" w:cs="Arial" w:eastAsia="Arial" w:hAnsi="Arial"/>
          <w:sz w:val="21"/>
          <w:szCs w:val="21"/>
          <w:color w:val="auto"/>
        </w:rPr>
        <w:t>. The Company and its subsidiaries have good and marketable title in</w:t>
      </w:r>
      <w:r>
        <w:rPr>
          <w:rFonts w:ascii="Arial" w:cs="Arial" w:eastAsia="Arial" w:hAnsi="Arial"/>
          <w:sz w:val="21"/>
          <w:szCs w:val="21"/>
          <w:i w:val="1"/>
          <w:iCs w:val="1"/>
          <w:color w:val="auto"/>
        </w:rPr>
        <w:t xml:space="preserve"> </w:t>
      </w:r>
      <w:r>
        <w:rPr>
          <w:rFonts w:ascii="Arial" w:cs="Arial" w:eastAsia="Arial" w:hAnsi="Arial"/>
          <w:sz w:val="21"/>
          <w:szCs w:val="21"/>
          <w:color w:val="auto"/>
        </w:rPr>
        <w:t>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179" w:lineRule="exact"/>
        <w:rPr>
          <w:rFonts w:ascii="Arial" w:cs="Arial" w:eastAsia="Arial" w:hAnsi="Arial"/>
          <w:sz w:val="21"/>
          <w:szCs w:val="21"/>
          <w:color w:val="auto"/>
        </w:rPr>
      </w:pPr>
    </w:p>
    <w:p>
      <w:pPr>
        <w:ind w:right="20" w:firstLine="644"/>
        <w:spacing w:after="0" w:line="284" w:lineRule="auto"/>
        <w:tabs>
          <w:tab w:leader="none" w:pos="1291" w:val="left"/>
        </w:tabs>
        <w:numPr>
          <w:ilvl w:val="0"/>
          <w:numId w:val="156"/>
        </w:numPr>
        <w:rPr>
          <w:rFonts w:ascii="Arial" w:cs="Arial" w:eastAsia="Arial" w:hAnsi="Arial"/>
          <w:sz w:val="19"/>
          <w:szCs w:val="19"/>
          <w:color w:val="auto"/>
        </w:rPr>
      </w:pPr>
      <w:r>
        <w:rPr>
          <w:rFonts w:ascii="Arial" w:cs="Arial" w:eastAsia="Arial" w:hAnsi="Arial"/>
          <w:sz w:val="19"/>
          <w:szCs w:val="19"/>
          <w:i w:val="1"/>
          <w:iCs w:val="1"/>
          <w:color w:val="auto"/>
        </w:rPr>
        <w:t>Intellectual Property</w:t>
      </w:r>
      <w:r>
        <w:rPr>
          <w:rFonts w:ascii="Arial" w:cs="Arial" w:eastAsia="Arial" w:hAnsi="Arial"/>
          <w:sz w:val="19"/>
          <w:szCs w:val="19"/>
          <w:color w:val="auto"/>
        </w:rPr>
        <w:t>. Except as would not reasonably be expected, individually or in the aggregate, to</w:t>
      </w:r>
      <w:r>
        <w:rPr>
          <w:rFonts w:ascii="Arial" w:cs="Arial" w:eastAsia="Arial" w:hAnsi="Arial"/>
          <w:sz w:val="19"/>
          <w:szCs w:val="19"/>
          <w:i w:val="1"/>
          <w:iCs w:val="1"/>
          <w:color w:val="auto"/>
        </w:rPr>
        <w:t xml:space="preserve"> </w:t>
      </w:r>
      <w:r>
        <w:rPr>
          <w:rFonts w:ascii="Arial" w:cs="Arial" w:eastAsia="Arial" w:hAnsi="Arial"/>
          <w:sz w:val="19"/>
          <w:szCs w:val="19"/>
          <w:color w:val="auto"/>
        </w:rPr>
        <w:t>have a Material Adverse Effect, (i) the Company and its subsidiaries own or have valid and enforceable rights to use all patents, trademarks, service marks, trade names, domain names and other source indicators, copyrights and copyrightable works, licenses know-how, trade secrets, or other unpatented or unpatentable proprietary or confidential information, systems, or procedures, and all other similar intellectual property or proprietary rights (including all registrations and applications for the registration of, and all goodwill associated with, the foregoing) (collectively, “Intellectual Property”) used in or necessary for the conduct of their respective businesses now operated by them or as proposed to be operated in the Registration Statement, the Pricing Disclosure Package or the Prospectus, except as disclosed in the Registration Statement, the Pricing Disclosure Package or the Prospectus; (ii) to the knowledge of the Company, the Company’s and its subsidiaries’ conduct of their respective businesses has not infringed, misappropriated or otherwise violated any Intellectual Property of any third party and none of the products, including the Proteograph Product Suite, of the Company and its subsidiaries, if commercially sold or offered for commercial sale, would infringe, misappropriate or otherwise violate any Intellectual Property of any third party, except as disclosed in the Registration Statement, the Pricing Disclosure Package or the Prospectus; (iii) the Company and its subsidiaries have not received any written notice of, any pending or, to the knowledge of the Company, threatened claims alleging infringement, misappropriation or other violations of any Intellectual Property of any third party, or challenging the validity, enforceability, scope or ownership of any Intellectual Property owned by or exclusively licensed to the Company or its subsidiaries other than in the ordinary course of prosecution, except as disclosed in the Registration Statement, the Pricing Disclosure Package or the Prospectus; (iv) to the knowledge of the Company, the Intellectual Property owned by or exclusively licensed to the Company and its subsidiaries is not being infringed, misappropriated or otherwise violated by any third party; (v) none of the Intellectual Property owned by or exclusively licensed to the Company or any of its subsidiaries has been adjudged invalid or unenforceable and, to the knowledge of the Company, all such Intellectual Property is valid and enforceable; and (vi) the Company and its subsidiaries have taken reasonable steps in accordance with normal industry practice to maintain the confidentiality of its</w:t>
      </w:r>
    </w:p>
    <w:p>
      <w:pPr>
        <w:sectPr>
          <w:pgSz w:w="11900" w:h="16838" w:orient="portrait"/>
          <w:cols w:equalWidth="0" w:num="1">
            <w:col w:w="10520"/>
          </w:cols>
          <w:pgMar w:left="980" w:top="1428" w:right="399" w:bottom="1440" w:gutter="0" w:footer="0" w:header="0"/>
        </w:sectPr>
      </w:pPr>
    </w:p>
    <w:bookmarkStart w:id="243" w:name="page244"/>
    <w:bookmarkEnd w:id="243"/>
    <w:p>
      <w:pPr>
        <w:ind w:left="4"/>
        <w:spacing w:after="0"/>
        <w:rPr>
          <w:sz w:val="20"/>
          <w:szCs w:val="20"/>
          <w:color w:val="auto"/>
        </w:rPr>
      </w:pPr>
      <w:r>
        <w:rPr>
          <w:rFonts w:ascii="Arial" w:cs="Arial" w:eastAsia="Arial" w:hAnsi="Arial"/>
          <w:sz w:val="19"/>
          <w:szCs w:val="19"/>
          <w:color w:val="auto"/>
        </w:rPr>
        <w:t>Intellectual Property, and to the knowledge of the Company, there has not been any unauthorized disclosure of the same.</w:t>
      </w:r>
    </w:p>
    <w:p>
      <w:pPr>
        <w:spacing w:after="0" w:line="254" w:lineRule="exact"/>
        <w:rPr>
          <w:sz w:val="20"/>
          <w:szCs w:val="20"/>
          <w:color w:val="auto"/>
        </w:rPr>
      </w:pPr>
    </w:p>
    <w:p>
      <w:pPr>
        <w:ind w:left="4" w:right="40" w:firstLine="644"/>
        <w:spacing w:after="0" w:line="284" w:lineRule="auto"/>
        <w:tabs>
          <w:tab w:leader="none" w:pos="1289" w:val="left"/>
        </w:tabs>
        <w:numPr>
          <w:ilvl w:val="1"/>
          <w:numId w:val="157"/>
        </w:numPr>
        <w:rPr>
          <w:rFonts w:ascii="Arial" w:cs="Arial" w:eastAsia="Arial" w:hAnsi="Arial"/>
          <w:sz w:val="19"/>
          <w:szCs w:val="19"/>
          <w:color w:val="auto"/>
        </w:rPr>
      </w:pPr>
      <w:r>
        <w:rPr>
          <w:rFonts w:ascii="Arial" w:cs="Arial" w:eastAsia="Arial" w:hAnsi="Arial"/>
          <w:sz w:val="19"/>
          <w:szCs w:val="19"/>
          <w:i w:val="1"/>
          <w:iCs w:val="1"/>
          <w:color w:val="auto"/>
        </w:rPr>
        <w:t>Open Source Software</w:t>
      </w:r>
      <w:r>
        <w:rPr>
          <w:rFonts w:ascii="Arial" w:cs="Arial" w:eastAsia="Arial" w:hAnsi="Arial"/>
          <w:sz w:val="19"/>
          <w:szCs w:val="19"/>
          <w:color w:val="auto"/>
        </w:rPr>
        <w:t>. The Company and its subsidiaries use and have used any and all software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materials distributed under a “free,” “open source,” or similar licensing model (including but not limited to the MIT License, Apache License, GNU General Public License, GNU Lesser General Public License and GNU Affero General Public License) (“Open Source Software”) in material compliance with all license terms applicable to such Open Source Software. Neither the Company nor any of its subsidiaries uses or distributes or has used or distributed any Open Source Software in any manner that requires or has required (i) the Company or any of its subsidiaries to permit reverse engineering of any software code or other technology owned by the Company or any of its subsidiaries that is material to the Company’s or any of its subsidiaries’ business (“Material Company Code”) or (ii) any Material Company Code to be</w:t>
      </w:r>
    </w:p>
    <w:p>
      <w:pPr>
        <w:spacing w:after="0" w:line="1" w:lineRule="exact"/>
        <w:rPr>
          <w:rFonts w:ascii="Arial" w:cs="Arial" w:eastAsia="Arial" w:hAnsi="Arial"/>
          <w:sz w:val="19"/>
          <w:szCs w:val="19"/>
          <w:color w:val="auto"/>
        </w:rPr>
      </w:pPr>
    </w:p>
    <w:p>
      <w:pPr>
        <w:ind w:left="4" w:right="880" w:hanging="4"/>
        <w:spacing w:after="0" w:line="246" w:lineRule="auto"/>
        <w:tabs>
          <w:tab w:leader="none" w:pos="35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disclosed or distributed in source code form, (B) licensed for the purpose of making derivative works or (C) redistributed at no charge.</w:t>
      </w:r>
    </w:p>
    <w:p>
      <w:pPr>
        <w:spacing w:after="0" w:line="192" w:lineRule="exact"/>
        <w:rPr>
          <w:rFonts w:ascii="Arial" w:cs="Arial" w:eastAsia="Arial" w:hAnsi="Arial"/>
          <w:sz w:val="22"/>
          <w:szCs w:val="22"/>
          <w:color w:val="auto"/>
        </w:rPr>
      </w:pPr>
    </w:p>
    <w:p>
      <w:pPr>
        <w:ind w:left="4" w:right="20" w:firstLine="644"/>
        <w:spacing w:after="0" w:line="248" w:lineRule="auto"/>
        <w:tabs>
          <w:tab w:leader="none" w:pos="1295" w:val="left"/>
        </w:tabs>
        <w:numPr>
          <w:ilvl w:val="1"/>
          <w:numId w:val="158"/>
        </w:numPr>
        <w:rPr>
          <w:rFonts w:ascii="Arial" w:cs="Arial" w:eastAsia="Arial" w:hAnsi="Arial"/>
          <w:sz w:val="22"/>
          <w:szCs w:val="22"/>
          <w:color w:val="auto"/>
        </w:rPr>
      </w:pPr>
      <w:r>
        <w:rPr>
          <w:rFonts w:ascii="Arial" w:cs="Arial" w:eastAsia="Arial" w:hAnsi="Arial"/>
          <w:sz w:val="22"/>
          <w:szCs w:val="22"/>
          <w:i w:val="1"/>
          <w:iCs w:val="1"/>
          <w:color w:val="auto"/>
        </w:rPr>
        <w:t>No Undisclosed Relationships</w:t>
      </w:r>
      <w:r>
        <w:rPr>
          <w:rFonts w:ascii="Arial" w:cs="Arial" w:eastAsia="Arial" w:hAnsi="Arial"/>
          <w:sz w:val="22"/>
          <w:szCs w:val="22"/>
          <w:color w:val="auto"/>
        </w:rPr>
        <w:t>. No relationship, direct or indirect, exists between or among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91" w:lineRule="exact"/>
        <w:rPr>
          <w:rFonts w:ascii="Arial" w:cs="Arial" w:eastAsia="Arial" w:hAnsi="Arial"/>
          <w:sz w:val="22"/>
          <w:szCs w:val="22"/>
          <w:color w:val="auto"/>
        </w:rPr>
      </w:pPr>
    </w:p>
    <w:p>
      <w:pPr>
        <w:ind w:left="4" w:firstLine="644"/>
        <w:spacing w:after="0" w:line="297" w:lineRule="auto"/>
        <w:tabs>
          <w:tab w:leader="none" w:pos="1295" w:val="left"/>
        </w:tabs>
        <w:numPr>
          <w:ilvl w:val="1"/>
          <w:numId w:val="158"/>
        </w:numPr>
        <w:rPr>
          <w:rFonts w:ascii="Arial" w:cs="Arial" w:eastAsia="Arial" w:hAnsi="Arial"/>
          <w:sz w:val="19"/>
          <w:szCs w:val="19"/>
          <w:color w:val="auto"/>
        </w:rPr>
      </w:pPr>
      <w:r>
        <w:rPr>
          <w:rFonts w:ascii="Arial" w:cs="Arial" w:eastAsia="Arial" w:hAnsi="Arial"/>
          <w:sz w:val="19"/>
          <w:szCs w:val="19"/>
          <w:i w:val="1"/>
          <w:iCs w:val="1"/>
          <w:color w:val="auto"/>
        </w:rPr>
        <w:t>Investment Company Act</w:t>
      </w:r>
      <w:r>
        <w:rPr>
          <w:rFonts w:ascii="Arial" w:cs="Arial" w:eastAsia="Arial" w:hAnsi="Arial"/>
          <w:sz w:val="19"/>
          <w:szCs w:val="19"/>
          <w:color w:val="auto"/>
        </w:rPr>
        <w:t>. The Company is not and, after giving effect to the offering and sale of the Shares</w:t>
      </w:r>
      <w:r>
        <w:rPr>
          <w:rFonts w:ascii="Arial" w:cs="Arial" w:eastAsia="Arial" w:hAnsi="Arial"/>
          <w:sz w:val="19"/>
          <w:szCs w:val="19"/>
          <w:i w:val="1"/>
          <w:iCs w:val="1"/>
          <w:color w:val="auto"/>
        </w:rPr>
        <w:t xml:space="preserve"> </w:t>
      </w:r>
      <w:r>
        <w:rPr>
          <w:rFonts w:ascii="Arial" w:cs="Arial" w:eastAsia="Arial" w:hAnsi="Arial"/>
          <w:sz w:val="19"/>
          <w:szCs w:val="19"/>
          <w:color w:val="auto"/>
        </w:rPr>
        <w:t>and the application of the proceeds thereof received by the 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146" w:lineRule="exact"/>
        <w:rPr>
          <w:rFonts w:ascii="Arial" w:cs="Arial" w:eastAsia="Arial" w:hAnsi="Arial"/>
          <w:sz w:val="19"/>
          <w:szCs w:val="19"/>
          <w:color w:val="auto"/>
        </w:rPr>
      </w:pPr>
    </w:p>
    <w:p>
      <w:pPr>
        <w:ind w:left="4" w:right="40" w:firstLine="644"/>
        <w:spacing w:after="0" w:line="246" w:lineRule="auto"/>
        <w:tabs>
          <w:tab w:leader="none" w:pos="1297" w:val="left"/>
        </w:tabs>
        <w:numPr>
          <w:ilvl w:val="1"/>
          <w:numId w:val="158"/>
        </w:numPr>
        <w:rPr>
          <w:rFonts w:ascii="Arial" w:cs="Arial" w:eastAsia="Arial" w:hAnsi="Arial"/>
          <w:sz w:val="22"/>
          <w:szCs w:val="22"/>
          <w:color w:val="auto"/>
        </w:rPr>
      </w:pPr>
      <w:r>
        <w:rPr>
          <w:rFonts w:ascii="Arial" w:cs="Arial" w:eastAsia="Arial" w:hAnsi="Arial"/>
          <w:sz w:val="22"/>
          <w:szCs w:val="22"/>
          <w:i w:val="1"/>
          <w:iCs w:val="1"/>
          <w:color w:val="auto"/>
        </w:rPr>
        <w:t xml:space="preserve">Taxes. </w:t>
      </w:r>
      <w:r>
        <w:rPr>
          <w:rFonts w:ascii="Arial" w:cs="Arial" w:eastAsia="Arial" w:hAnsi="Arial"/>
          <w:sz w:val="22"/>
          <w:szCs w:val="22"/>
          <w:color w:val="auto"/>
        </w:rPr>
        <w:t>The Company and its subsidiaries have paid all federal, state, local and foreign taxes and filed all</w:t>
      </w:r>
      <w:r>
        <w:rPr>
          <w:rFonts w:ascii="Arial" w:cs="Arial" w:eastAsia="Arial" w:hAnsi="Arial"/>
          <w:sz w:val="22"/>
          <w:szCs w:val="22"/>
          <w:i w:val="1"/>
          <w:iCs w:val="1"/>
          <w:color w:val="auto"/>
        </w:rPr>
        <w:t xml:space="preserve"> </w:t>
      </w:r>
      <w:r>
        <w:rPr>
          <w:rFonts w:ascii="Arial" w:cs="Arial" w:eastAsia="Arial" w:hAnsi="Arial"/>
          <w:sz w:val="22"/>
          <w:szCs w:val="22"/>
          <w:color w:val="auto"/>
        </w:rPr>
        <w:t>tax returns required to be paid or filed through the date hereof; except where such failure to pay or file would not reasonably be expected, individually or in the aggregate, to have a Material Adverse Effect; and except as otherwise disclosed in each of the Registration Statement, the Pricing Disclosure Package and the Prospectus or as would not reasonably be expected, individually or in the aggregate, to have a Material Adverse Effect, there is no tax deficiency that has been, or could reasonably be expected to be, asserted against the Company or any of its subsidiaries or any of their respective properties or assets.</w:t>
      </w:r>
    </w:p>
    <w:p>
      <w:pPr>
        <w:spacing w:after="0" w:line="196" w:lineRule="exact"/>
        <w:rPr>
          <w:sz w:val="20"/>
          <w:szCs w:val="20"/>
          <w:color w:val="auto"/>
        </w:rPr>
      </w:pPr>
    </w:p>
    <w:p>
      <w:pPr>
        <w:ind w:left="4" w:right="120" w:firstLine="644"/>
        <w:spacing w:after="0" w:line="312" w:lineRule="auto"/>
        <w:tabs>
          <w:tab w:leader="none" w:pos="1298" w:val="left"/>
        </w:tabs>
        <w:numPr>
          <w:ilvl w:val="0"/>
          <w:numId w:val="159"/>
        </w:numPr>
        <w:rPr>
          <w:rFonts w:ascii="Arial" w:cs="Arial" w:eastAsia="Arial" w:hAnsi="Arial"/>
          <w:sz w:val="19"/>
          <w:szCs w:val="19"/>
          <w:color w:val="auto"/>
        </w:rPr>
      </w:pPr>
      <w:r>
        <w:rPr>
          <w:rFonts w:ascii="Arial" w:cs="Arial" w:eastAsia="Arial" w:hAnsi="Arial"/>
          <w:sz w:val="19"/>
          <w:szCs w:val="19"/>
          <w:i w:val="1"/>
          <w:iCs w:val="1"/>
          <w:color w:val="auto"/>
        </w:rPr>
        <w:t xml:space="preserve">Licenses and Permits. </w:t>
      </w:r>
      <w:r>
        <w:rPr>
          <w:rFonts w:ascii="Arial" w:cs="Arial" w:eastAsia="Arial" w:hAnsi="Arial"/>
          <w:sz w:val="19"/>
          <w:szCs w:val="19"/>
          <w:color w:val="auto"/>
        </w:rPr>
        <w:t>The Company and its subsidiaries possess all licenses, sub-licenses, certificates,</w:t>
      </w:r>
      <w:r>
        <w:rPr>
          <w:rFonts w:ascii="Arial" w:cs="Arial" w:eastAsia="Arial" w:hAnsi="Arial"/>
          <w:sz w:val="19"/>
          <w:szCs w:val="19"/>
          <w:i w:val="1"/>
          <w:iCs w:val="1"/>
          <w:color w:val="auto"/>
        </w:rPr>
        <w:t xml:space="preserve"> </w:t>
      </w:r>
      <w:r>
        <w:rPr>
          <w:rFonts w:ascii="Arial" w:cs="Arial" w:eastAsia="Arial" w:hAnsi="Arial"/>
          <w:sz w:val="19"/>
          <w:szCs w:val="19"/>
          <w:color w:val="auto"/>
        </w:rPr>
        <w:t>permits and other authorizations issued by, and have made all declarations and filings with, the appropriate federal, state, local or foreign governmental or regulatory authorities that are necessary for the ownership or lease of</w:t>
      </w:r>
    </w:p>
    <w:p>
      <w:pPr>
        <w:sectPr>
          <w:pgSz w:w="11900" w:h="16838" w:orient="portrait"/>
          <w:cols w:equalWidth="0" w:num="1">
            <w:col w:w="10564"/>
          </w:cols>
          <w:pgMar w:left="976" w:top="1428" w:right="359" w:bottom="1440" w:gutter="0" w:footer="0" w:header="0"/>
        </w:sectPr>
      </w:pPr>
    </w:p>
    <w:bookmarkStart w:id="244" w:name="page245"/>
    <w:bookmarkEnd w:id="244"/>
    <w:p>
      <w:pPr>
        <w:ind w:right="40"/>
        <w:spacing w:after="0" w:line="260" w:lineRule="auto"/>
        <w:rPr>
          <w:sz w:val="20"/>
          <w:szCs w:val="20"/>
          <w:color w:val="auto"/>
        </w:rPr>
      </w:pPr>
      <w:r>
        <w:rPr>
          <w:rFonts w:ascii="Arial" w:cs="Arial" w:eastAsia="Arial" w:hAnsi="Arial"/>
          <w:sz w:val="21"/>
          <w:szCs w:val="21"/>
          <w:color w:val="auto"/>
        </w:rPr>
        <w:t>their respective properties or the conduct of their respective businesses as described in each of the Registration Statement, the Pricing Disclosure Package and the Prospectus, except where the failure to possess or make the same would not, individually or in the aggregate, have a Material Adverse Effect; and except as described in each of the Registration Statement, the Pricing Disclosure Package and the Prospectus,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spacing w:after="0" w:line="180" w:lineRule="exact"/>
        <w:rPr>
          <w:sz w:val="20"/>
          <w:szCs w:val="20"/>
          <w:color w:val="auto"/>
        </w:rPr>
      </w:pPr>
    </w:p>
    <w:p>
      <w:pPr>
        <w:ind w:right="60" w:firstLine="644"/>
        <w:spacing w:after="0" w:line="247" w:lineRule="auto"/>
        <w:tabs>
          <w:tab w:leader="none" w:pos="1291" w:val="left"/>
        </w:tabs>
        <w:numPr>
          <w:ilvl w:val="0"/>
          <w:numId w:val="160"/>
        </w:numPr>
        <w:rPr>
          <w:rFonts w:ascii="Arial" w:cs="Arial" w:eastAsia="Arial" w:hAnsi="Arial"/>
          <w:sz w:val="22"/>
          <w:szCs w:val="22"/>
          <w:color w:val="auto"/>
        </w:rPr>
      </w:pPr>
      <w:r>
        <w:rPr>
          <w:rFonts w:ascii="Arial" w:cs="Arial" w:eastAsia="Arial" w:hAnsi="Arial"/>
          <w:sz w:val="22"/>
          <w:szCs w:val="22"/>
          <w:i w:val="1"/>
          <w:iCs w:val="1"/>
          <w:color w:val="auto"/>
        </w:rPr>
        <w:t xml:space="preserve">No Labor Disputes. </w:t>
      </w:r>
      <w:r>
        <w:rPr>
          <w:rFonts w:ascii="Arial" w:cs="Arial" w:eastAsia="Arial" w:hAnsi="Arial"/>
          <w:sz w:val="22"/>
          <w:szCs w:val="22"/>
          <w:color w:val="auto"/>
        </w:rPr>
        <w:t>No labor disturbance by or dispute with employees of the Company or any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has received any notice of cancellation or termination with respect to any collective bargaining agreement to which it is a party.</w:t>
      </w:r>
    </w:p>
    <w:p>
      <w:pPr>
        <w:spacing w:after="0" w:line="192" w:lineRule="exact"/>
        <w:rPr>
          <w:rFonts w:ascii="Arial" w:cs="Arial" w:eastAsia="Arial" w:hAnsi="Arial"/>
          <w:sz w:val="22"/>
          <w:szCs w:val="22"/>
          <w:color w:val="auto"/>
        </w:rPr>
      </w:pPr>
    </w:p>
    <w:p>
      <w:pPr>
        <w:ind w:firstLine="644"/>
        <w:spacing w:after="0" w:line="285" w:lineRule="auto"/>
        <w:tabs>
          <w:tab w:leader="none" w:pos="1294" w:val="left"/>
        </w:tabs>
        <w:numPr>
          <w:ilvl w:val="0"/>
          <w:numId w:val="160"/>
        </w:numPr>
        <w:rPr>
          <w:rFonts w:ascii="Arial" w:cs="Arial" w:eastAsia="Arial" w:hAnsi="Arial"/>
          <w:sz w:val="19"/>
          <w:szCs w:val="19"/>
          <w:color w:val="auto"/>
        </w:rPr>
      </w:pPr>
      <w:r>
        <w:rPr>
          <w:rFonts w:ascii="Arial" w:cs="Arial" w:eastAsia="Arial" w:hAnsi="Arial"/>
          <w:sz w:val="19"/>
          <w:szCs w:val="19"/>
          <w:i w:val="1"/>
          <w:iCs w:val="1"/>
          <w:color w:val="auto"/>
        </w:rPr>
        <w:t>Certain Environmental Matters</w:t>
      </w:r>
      <w:r>
        <w:rPr>
          <w:rFonts w:ascii="Arial" w:cs="Arial" w:eastAsia="Arial" w:hAnsi="Arial"/>
          <w:sz w:val="19"/>
          <w:szCs w:val="19"/>
          <w:color w:val="auto"/>
        </w:rPr>
        <w:t>. (i) The Company and its subsidiaries (x) are in compliance with all, and</w:t>
      </w:r>
      <w:r>
        <w:rPr>
          <w:rFonts w:ascii="Arial" w:cs="Arial" w:eastAsia="Arial" w:hAnsi="Arial"/>
          <w:sz w:val="19"/>
          <w:szCs w:val="19"/>
          <w:i w:val="1"/>
          <w:iCs w:val="1"/>
          <w:color w:val="auto"/>
        </w:rPr>
        <w:t xml:space="preserve"> </w:t>
      </w:r>
      <w:r>
        <w:rPr>
          <w:rFonts w:ascii="Arial" w:cs="Arial" w:eastAsia="Arial" w:hAnsi="Arial"/>
          <w:sz w:val="19"/>
          <w:szCs w:val="19"/>
          <w:color w:val="auto"/>
        </w:rPr>
        <w:t>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applicable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w:t>
      </w:r>
    </w:p>
    <w:p>
      <w:pPr>
        <w:sectPr>
          <w:pgSz w:w="11900" w:h="16838" w:orient="portrait"/>
          <w:cols w:equalWidth="0" w:num="1">
            <w:col w:w="10560"/>
          </w:cols>
          <w:pgMar w:left="980" w:top="1428" w:right="359" w:bottom="1440" w:gutter="0" w:footer="0" w:header="0"/>
        </w:sectPr>
      </w:pPr>
    </w:p>
    <w:bookmarkStart w:id="245" w:name="page246"/>
    <w:bookmarkEnd w:id="245"/>
    <w:p>
      <w:pPr>
        <w:ind w:left="284" w:hanging="284"/>
        <w:spacing w:after="0"/>
        <w:tabs>
          <w:tab w:leader="none" w:pos="28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none of the Company or its subsidiaries anticipates material capital expenditures relating to any Environmental Laws.</w:t>
      </w:r>
    </w:p>
    <w:p>
      <w:pPr>
        <w:spacing w:after="0" w:line="254" w:lineRule="exact"/>
        <w:rPr>
          <w:rFonts w:ascii="Arial" w:cs="Arial" w:eastAsia="Arial" w:hAnsi="Arial"/>
          <w:sz w:val="19"/>
          <w:szCs w:val="19"/>
          <w:color w:val="auto"/>
        </w:rPr>
      </w:pPr>
    </w:p>
    <w:p>
      <w:pPr>
        <w:ind w:left="4" w:right="80" w:firstLine="644"/>
        <w:spacing w:after="0" w:line="286" w:lineRule="auto"/>
        <w:tabs>
          <w:tab w:leader="none" w:pos="1295" w:val="left"/>
        </w:tabs>
        <w:numPr>
          <w:ilvl w:val="1"/>
          <w:numId w:val="161"/>
        </w:numPr>
        <w:rPr>
          <w:rFonts w:ascii="Arial" w:cs="Arial" w:eastAsia="Arial" w:hAnsi="Arial"/>
          <w:sz w:val="19"/>
          <w:szCs w:val="19"/>
          <w:color w:val="auto"/>
        </w:rPr>
      </w:pPr>
      <w:r>
        <w:rPr>
          <w:rFonts w:ascii="Arial" w:cs="Arial" w:eastAsia="Arial" w:hAnsi="Arial"/>
          <w:sz w:val="19"/>
          <w:szCs w:val="19"/>
          <w:i w:val="1"/>
          <w:iCs w:val="1"/>
          <w:color w:val="auto"/>
        </w:rPr>
        <w:t>Hazardous Materials</w:t>
      </w:r>
      <w:r>
        <w:rPr>
          <w:rFonts w:ascii="Arial" w:cs="Arial" w:eastAsia="Arial" w:hAnsi="Arial"/>
          <w:sz w:val="19"/>
          <w:szCs w:val="19"/>
          <w:color w:val="auto"/>
        </w:rPr>
        <w:t>. There has been no storage, generation, transportation, use, handling, treatment,</w:t>
      </w:r>
      <w:r>
        <w:rPr>
          <w:rFonts w:ascii="Arial" w:cs="Arial" w:eastAsia="Arial" w:hAnsi="Arial"/>
          <w:sz w:val="19"/>
          <w:szCs w:val="19"/>
          <w:i w:val="1"/>
          <w:iCs w:val="1"/>
          <w:color w:val="auto"/>
        </w:rPr>
        <w:t xml:space="preserve"> </w:t>
      </w:r>
      <w:r>
        <w:rPr>
          <w:rFonts w:ascii="Arial" w:cs="Arial" w:eastAsia="Arial" w:hAnsi="Arial"/>
          <w:sz w:val="19"/>
          <w:szCs w:val="19"/>
          <w:color w:val="auto"/>
        </w:rPr>
        <w:t>Release or threat of Release of Hazardous Materials by, relating to or caused by the Company or the Company’s subsidiaries (or, to the knowledge of the Company, any other entity (including any predecessor) for whose acts or omissions the Company or any of the Company’s subsidiaries is or would reasonably be expected to be liable) at, on, under or from any property or facility now or previously owned, operated or leased by the Company or the Company’s subsidiaries, or at, on, under or from any other property or facility, in material violation of any Environmental Laws or in a manner or amount or to a location that could reasonably be expected to result in any material liability under any Environmental Law. “Hazardous Materials” means any material, chemical, substance, waste, pollutant, contaminant, compound, mixture, or constituent thereof, in any form or amount, including petroleum (including crude oil or any fraction thereof) and petroleum products, natural gas liquids, asbestos and asbestos-containing materials, naturally occurring radioactive materials, brine, and drilling mud, regulated or which can give rise to liability under any Environmental Law. “Release”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4" w:right="20" w:firstLine="644"/>
        <w:spacing w:after="0" w:line="284" w:lineRule="auto"/>
        <w:tabs>
          <w:tab w:leader="none" w:pos="1298" w:val="left"/>
        </w:tabs>
        <w:numPr>
          <w:ilvl w:val="1"/>
          <w:numId w:val="161"/>
        </w:numPr>
        <w:rPr>
          <w:rFonts w:ascii="Arial" w:cs="Arial" w:eastAsia="Arial" w:hAnsi="Arial"/>
          <w:sz w:val="19"/>
          <w:szCs w:val="19"/>
          <w:color w:val="auto"/>
        </w:rPr>
      </w:pPr>
      <w:r>
        <w:rPr>
          <w:rFonts w:ascii="Arial" w:cs="Arial" w:eastAsia="Arial" w:hAnsi="Arial"/>
          <w:sz w:val="19"/>
          <w:szCs w:val="19"/>
          <w:i w:val="1"/>
          <w:iCs w:val="1"/>
          <w:color w:val="auto"/>
        </w:rPr>
        <w:t>Compliance with ERISA</w:t>
      </w:r>
      <w:r>
        <w:rPr>
          <w:rFonts w:ascii="Arial" w:cs="Arial" w:eastAsia="Arial" w:hAnsi="Arial"/>
          <w:sz w:val="19"/>
          <w:szCs w:val="19"/>
          <w:color w:val="auto"/>
        </w:rPr>
        <w:t>. (i) Each employee benefit plan, within the meaning of Section 3(3) of the</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in all material respects with its terms and the requirements of any applicable statutes, orders, rules and regulations, including but not limited to ERISA and the Code;</w:t>
      </w:r>
    </w:p>
    <w:p>
      <w:pPr>
        <w:spacing w:after="0" w:line="3" w:lineRule="exact"/>
        <w:rPr>
          <w:rFonts w:ascii="Arial" w:cs="Arial" w:eastAsia="Arial" w:hAnsi="Arial"/>
          <w:sz w:val="19"/>
          <w:szCs w:val="19"/>
          <w:color w:val="auto"/>
        </w:rPr>
      </w:pPr>
    </w:p>
    <w:p>
      <w:pPr>
        <w:ind w:left="4" w:hanging="4"/>
        <w:spacing w:after="0" w:line="256" w:lineRule="auto"/>
        <w:tabs>
          <w:tab w:leader="none" w:pos="322" w:val="left"/>
        </w:tabs>
        <w:numPr>
          <w:ilvl w:val="0"/>
          <w:numId w:val="162"/>
        </w:numPr>
        <w:rPr>
          <w:rFonts w:ascii="Arial" w:cs="Arial" w:eastAsia="Arial" w:hAnsi="Arial"/>
          <w:sz w:val="21"/>
          <w:szCs w:val="21"/>
          <w:color w:val="auto"/>
        </w:rPr>
      </w:pPr>
      <w:r>
        <w:rPr>
          <w:rFonts w:ascii="Arial" w:cs="Arial" w:eastAsia="Arial" w:hAnsi="Arial"/>
          <w:sz w:val="21"/>
          <w:szCs w:val="21"/>
          <w:color w:val="auto"/>
        </w:rPr>
        <w:t>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w:t>
      </w:r>
    </w:p>
    <w:p>
      <w:pPr>
        <w:sectPr>
          <w:pgSz w:w="11900" w:h="16838" w:orient="portrait"/>
          <w:cols w:equalWidth="0" w:num="1">
            <w:col w:w="10544"/>
          </w:cols>
          <w:pgMar w:left="976" w:top="1428" w:right="379" w:bottom="1440" w:gutter="0" w:footer="0" w:header="0"/>
        </w:sectPr>
      </w:pPr>
    </w:p>
    <w:bookmarkStart w:id="246" w:name="page247"/>
    <w:bookmarkEnd w:id="246"/>
    <w:p>
      <w:pPr>
        <w:ind w:left="4" w:right="60"/>
        <w:spacing w:after="0" w:line="283" w:lineRule="auto"/>
        <w:rPr>
          <w:sz w:val="20"/>
          <w:szCs w:val="20"/>
          <w:color w:val="auto"/>
        </w:rPr>
      </w:pPr>
      <w:r>
        <w:rPr>
          <w:rFonts w:ascii="Arial" w:cs="Arial" w:eastAsia="Arial" w:hAnsi="Arial"/>
          <w:sz w:val="19"/>
          <w:szCs w:val="19"/>
          <w:color w:val="auto"/>
        </w:rPr>
        <w:t>the meaning of Section 4043(c) of ERISA and the regulations promulgated thereunder) has occurred or is reasonably expected to occur; (vii) each Plan that is intended to be qualified under Section 401(a) of the Code is so qualified, and to the knowledge of the Company,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w:t>
      </w:r>
    </w:p>
    <w:p>
      <w:pPr>
        <w:spacing w:after="0" w:line="4" w:lineRule="exact"/>
        <w:rPr>
          <w:sz w:val="20"/>
          <w:szCs w:val="20"/>
          <w:color w:val="auto"/>
        </w:rPr>
      </w:pPr>
    </w:p>
    <w:p>
      <w:pPr>
        <w:ind w:left="4" w:hanging="4"/>
        <w:spacing w:after="0" w:line="245" w:lineRule="auto"/>
        <w:tabs>
          <w:tab w:leader="none" w:pos="34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192" w:lineRule="exact"/>
        <w:rPr>
          <w:rFonts w:ascii="Arial" w:cs="Arial" w:eastAsia="Arial" w:hAnsi="Arial"/>
          <w:sz w:val="22"/>
          <w:szCs w:val="22"/>
          <w:color w:val="auto"/>
        </w:rPr>
      </w:pPr>
    </w:p>
    <w:p>
      <w:pPr>
        <w:ind w:left="4" w:right="160" w:firstLine="644"/>
        <w:spacing w:after="0" w:line="260" w:lineRule="auto"/>
        <w:tabs>
          <w:tab w:leader="none" w:pos="1287" w:val="left"/>
        </w:tabs>
        <w:numPr>
          <w:ilvl w:val="1"/>
          <w:numId w:val="163"/>
        </w:numPr>
        <w:rPr>
          <w:rFonts w:ascii="Arial" w:cs="Arial" w:eastAsia="Arial" w:hAnsi="Arial"/>
          <w:sz w:val="21"/>
          <w:szCs w:val="21"/>
          <w:color w:val="auto"/>
        </w:rPr>
      </w:pPr>
      <w:r>
        <w:rPr>
          <w:rFonts w:ascii="Arial" w:cs="Arial" w:eastAsia="Arial" w:hAnsi="Arial"/>
          <w:sz w:val="21"/>
          <w:szCs w:val="21"/>
          <w:i w:val="1"/>
          <w:iCs w:val="1"/>
          <w:color w:val="auto"/>
        </w:rPr>
        <w:t>Disclosure Controls</w:t>
      </w:r>
      <w:r>
        <w:rPr>
          <w:rFonts w:ascii="Arial" w:cs="Arial" w:eastAsia="Arial" w:hAnsi="Arial"/>
          <w:sz w:val="21"/>
          <w:szCs w:val="21"/>
          <w:color w:val="auto"/>
        </w:rPr>
        <w:t>. The Company and its subsidiaries maintain an effective system of “disclosure</w:t>
      </w:r>
      <w:r>
        <w:rPr>
          <w:rFonts w:ascii="Arial" w:cs="Arial" w:eastAsia="Arial" w:hAnsi="Arial"/>
          <w:sz w:val="21"/>
          <w:szCs w:val="21"/>
          <w:i w:val="1"/>
          <w:iCs w:val="1"/>
          <w:color w:val="auto"/>
        </w:rPr>
        <w:t xml:space="preserve"> </w:t>
      </w:r>
      <w:r>
        <w:rPr>
          <w:rFonts w:ascii="Arial" w:cs="Arial" w:eastAsia="Arial" w:hAnsi="Arial"/>
          <w:sz w:val="21"/>
          <w:szCs w:val="21"/>
          <w:color w:val="auto"/>
        </w:rPr>
        <w:t>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80" w:lineRule="exact"/>
        <w:rPr>
          <w:rFonts w:ascii="Arial" w:cs="Arial" w:eastAsia="Arial" w:hAnsi="Arial"/>
          <w:sz w:val="21"/>
          <w:szCs w:val="21"/>
          <w:color w:val="auto"/>
        </w:rPr>
      </w:pPr>
    </w:p>
    <w:p>
      <w:pPr>
        <w:ind w:left="4" w:right="120" w:firstLine="644"/>
        <w:spacing w:after="0" w:line="287" w:lineRule="auto"/>
        <w:tabs>
          <w:tab w:leader="none" w:pos="1295" w:val="left"/>
        </w:tabs>
        <w:numPr>
          <w:ilvl w:val="1"/>
          <w:numId w:val="163"/>
        </w:numPr>
        <w:rPr>
          <w:rFonts w:ascii="Arial" w:cs="Arial" w:eastAsia="Arial" w:hAnsi="Arial"/>
          <w:sz w:val="19"/>
          <w:szCs w:val="19"/>
          <w:color w:val="auto"/>
        </w:rPr>
      </w:pPr>
      <w:r>
        <w:rPr>
          <w:rFonts w:ascii="Arial" w:cs="Arial" w:eastAsia="Arial" w:hAnsi="Arial"/>
          <w:sz w:val="19"/>
          <w:szCs w:val="19"/>
          <w:i w:val="1"/>
          <w:iCs w:val="1"/>
          <w:color w:val="auto"/>
        </w:rPr>
        <w:t xml:space="preserve">Accounting Controls. </w:t>
      </w:r>
      <w:r>
        <w:rPr>
          <w:rFonts w:ascii="Arial" w:cs="Arial" w:eastAsia="Arial" w:hAnsi="Arial"/>
          <w:sz w:val="19"/>
          <w:szCs w:val="19"/>
          <w:color w:val="auto"/>
        </w:rPr>
        <w:t>The Company and its subsidiaries maintain systems of “internal control over</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reporting” (as defined in Rule 13a-15(f) of the Exchange Act) that have been designed to comply with the requirements of the Exchange Act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w:t>
      </w:r>
    </w:p>
    <w:p>
      <w:pPr>
        <w:sectPr>
          <w:pgSz w:w="11900" w:h="16838" w:orient="portrait"/>
          <w:cols w:equalWidth="0" w:num="1">
            <w:col w:w="10504"/>
          </w:cols>
          <w:pgMar w:left="976" w:top="1428" w:right="419" w:bottom="1440" w:gutter="0" w:footer="0" w:header="0"/>
        </w:sectPr>
      </w:pPr>
    </w:p>
    <w:bookmarkStart w:id="247" w:name="page248"/>
    <w:bookmarkEnd w:id="247"/>
    <w:p>
      <w:pPr>
        <w:ind w:right="40"/>
        <w:spacing w:after="0" w:line="292" w:lineRule="auto"/>
        <w:rPr>
          <w:sz w:val="20"/>
          <w:szCs w:val="20"/>
          <w:color w:val="auto"/>
        </w:rPr>
      </w:pPr>
      <w:r>
        <w:rPr>
          <w:rFonts w:ascii="Arial" w:cs="Arial" w:eastAsia="Arial" w:hAnsi="Arial"/>
          <w:sz w:val="19"/>
          <w:szCs w:val="19"/>
          <w:color w:val="auto"/>
        </w:rPr>
        <w:t>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51" w:lineRule="exact"/>
        <w:rPr>
          <w:sz w:val="20"/>
          <w:szCs w:val="20"/>
          <w:color w:val="auto"/>
        </w:rPr>
      </w:pPr>
    </w:p>
    <w:p>
      <w:pPr>
        <w:ind w:right="160" w:firstLine="644"/>
        <w:spacing w:after="0" w:line="259" w:lineRule="auto"/>
        <w:tabs>
          <w:tab w:leader="none" w:pos="1291" w:val="left"/>
        </w:tabs>
        <w:numPr>
          <w:ilvl w:val="0"/>
          <w:numId w:val="164"/>
        </w:numPr>
        <w:rPr>
          <w:rFonts w:ascii="Arial" w:cs="Arial" w:eastAsia="Arial" w:hAnsi="Arial"/>
          <w:sz w:val="21"/>
          <w:szCs w:val="21"/>
          <w:color w:val="auto"/>
        </w:rPr>
      </w:pPr>
      <w:r>
        <w:rPr>
          <w:rFonts w:ascii="Arial" w:cs="Arial" w:eastAsia="Arial" w:hAnsi="Arial"/>
          <w:sz w:val="21"/>
          <w:szCs w:val="21"/>
          <w:i w:val="1"/>
          <w:iCs w:val="1"/>
          <w:color w:val="auto"/>
        </w:rPr>
        <w:t xml:space="preserve">Insurance. </w:t>
      </w:r>
      <w:r>
        <w:rPr>
          <w:rFonts w:ascii="Arial" w:cs="Arial" w:eastAsia="Arial" w:hAnsi="Arial"/>
          <w:sz w:val="21"/>
          <w:szCs w:val="21"/>
          <w:color w:val="auto"/>
        </w:rPr>
        <w:t>The Company and its subsidiaries have insurance covering their respective properties,</w:t>
      </w:r>
      <w:r>
        <w:rPr>
          <w:rFonts w:ascii="Arial" w:cs="Arial" w:eastAsia="Arial" w:hAnsi="Arial"/>
          <w:sz w:val="21"/>
          <w:szCs w:val="21"/>
          <w:i w:val="1"/>
          <w:iCs w:val="1"/>
          <w:color w:val="auto"/>
        </w:rPr>
        <w:t xml:space="preserve"> </w:t>
      </w:r>
      <w:r>
        <w:rPr>
          <w:rFonts w:ascii="Arial" w:cs="Arial" w:eastAsia="Arial" w:hAnsi="Arial"/>
          <w:sz w:val="21"/>
          <w:szCs w:val="21"/>
          <w:color w:val="auto"/>
        </w:rPr>
        <w:t>operations, personnel and businesses, including business interruption insurance, which insurance is in amounts and insures against such losses and risks as the Company reasonably believes as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3" w:lineRule="exact"/>
        <w:rPr>
          <w:rFonts w:ascii="Arial" w:cs="Arial" w:eastAsia="Arial" w:hAnsi="Arial"/>
          <w:sz w:val="21"/>
          <w:szCs w:val="21"/>
          <w:color w:val="auto"/>
        </w:rPr>
      </w:pPr>
    </w:p>
    <w:p>
      <w:pPr>
        <w:ind w:firstLine="644"/>
        <w:spacing w:after="0" w:line="285" w:lineRule="auto"/>
        <w:tabs>
          <w:tab w:leader="none" w:pos="1290" w:val="left"/>
        </w:tabs>
        <w:numPr>
          <w:ilvl w:val="0"/>
          <w:numId w:val="164"/>
        </w:numPr>
        <w:rPr>
          <w:rFonts w:ascii="Arial" w:cs="Arial" w:eastAsia="Arial" w:hAnsi="Arial"/>
          <w:sz w:val="19"/>
          <w:szCs w:val="19"/>
          <w:color w:val="auto"/>
        </w:rPr>
      </w:pPr>
      <w:r>
        <w:rPr>
          <w:rFonts w:ascii="Arial" w:cs="Arial" w:eastAsia="Arial" w:hAnsi="Arial"/>
          <w:sz w:val="19"/>
          <w:szCs w:val="19"/>
          <w:i w:val="1"/>
          <w:iCs w:val="1"/>
          <w:color w:val="auto"/>
        </w:rPr>
        <w:t xml:space="preserve">Cybersecurity; Data Protection. </w:t>
      </w:r>
      <w:r>
        <w:rPr>
          <w:rFonts w:ascii="Arial" w:cs="Arial" w:eastAsia="Arial" w:hAnsi="Arial"/>
          <w:sz w:val="19"/>
          <w:szCs w:val="19"/>
          <w:color w:val="auto"/>
        </w:rPr>
        <w:t>The Company and its subsidiaries’ information technology assets and</w:t>
      </w:r>
      <w:r>
        <w:rPr>
          <w:rFonts w:ascii="Arial" w:cs="Arial" w:eastAsia="Arial" w:hAnsi="Arial"/>
          <w:sz w:val="19"/>
          <w:szCs w:val="19"/>
          <w:i w:val="1"/>
          <w:iCs w:val="1"/>
          <w:color w:val="auto"/>
        </w:rPr>
        <w:t xml:space="preserve"> </w:t>
      </w:r>
      <w:r>
        <w:rPr>
          <w:rFonts w:ascii="Arial" w:cs="Arial" w:eastAsia="Arial" w:hAnsi="Arial"/>
          <w:sz w:val="19"/>
          <w:szCs w:val="19"/>
          <w:color w:val="auto"/>
        </w:rPr>
        <w:t>equipment, computers, systems, networks, hardware, software, websites, applications, and databases (including the data and information of their respective users, employees, suppliers, vendors and any third party data maintained, processed or stored by the Company and its subsidiaries) (collectively, “IT Systems”)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including commercially reasonable disaster recovery and security plans, procedures and facilities for their respective businesses, including, without limitation, for their IT Systems and data held or used by or for the Company or any of its subsidiaries,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 to such IT Systems and data, including Personal Data. The Company and its subsidiaries are presently, and since their inception have been, in material compliance with all applicable laws or statutes and all judgments, orders, rules and regulations of any court or arbitrator or governmental or regulatory authority, internal and external policies, industry standards and contractual obligations relating to the</w:t>
      </w:r>
    </w:p>
    <w:p>
      <w:pPr>
        <w:sectPr>
          <w:pgSz w:w="11900" w:h="16838" w:orient="portrait"/>
          <w:cols w:equalWidth="0" w:num="1">
            <w:col w:w="10580"/>
          </w:cols>
          <w:pgMar w:left="980" w:top="1428" w:right="339" w:bottom="1440" w:gutter="0" w:footer="0" w:header="0"/>
        </w:sectPr>
      </w:pPr>
    </w:p>
    <w:bookmarkStart w:id="248" w:name="page249"/>
    <w:bookmarkEnd w:id="248"/>
    <w:p>
      <w:pPr>
        <w:ind w:left="4"/>
        <w:spacing w:after="0" w:line="285" w:lineRule="auto"/>
        <w:rPr>
          <w:sz w:val="20"/>
          <w:szCs w:val="20"/>
          <w:color w:val="auto"/>
        </w:rPr>
      </w:pPr>
      <w:r>
        <w:rPr>
          <w:rFonts w:ascii="Arial" w:cs="Arial" w:eastAsia="Arial" w:hAnsi="Arial"/>
          <w:sz w:val="19"/>
          <w:szCs w:val="19"/>
          <w:color w:val="auto"/>
        </w:rPr>
        <w:t>privacy and security of IT Systems and Personal Data and to the protection of such IT Systems and Personal Data from unauthorized use, access, misappropriation or modification (collectively, “Privacy Obligations”). To ensure compliance with the Privacy Obligations,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“Policies”). To the Company’s knowledge, it has at all times made all disclosures to users, employees or other applicable persons required by Privacy Obligations, and no such disclosures made or contained in any external written Policies have been materially inaccurate or in violation of any Privacy Obligations. The Company and its subsidiaries (i) have not received written notice of or complaint regarding or indicating non-compliance with, or any actual or potential liability under or relating to, or actual or potential violation of, any of the Privacy Obligations, and there has not been any event or condition that would reasonably be expected to result in any such notice; (ii) are not currently conducting or paying for, in whole or in part, any investigation, remediation, or other corrective action pursuant to any Privacy Obligations; and (iii) are not party to any governmental order, decree, or agreement that imposes any obligation or liability under any Privacy Obligations. The Company and its subsidiaries have taken all commercially reasonable actions to prepare to comply with all other applicable laws and regulations with respect to Personal Data that have been announced as of the date hereof as becoming effective within 12 months after the date hereof, and for which any noncompliance with same would create a material liability, as soon they take effect.</w:t>
      </w:r>
    </w:p>
    <w:p>
      <w:pPr>
        <w:spacing w:after="0" w:line="200" w:lineRule="exact"/>
        <w:rPr>
          <w:sz w:val="20"/>
          <w:szCs w:val="20"/>
          <w:color w:val="auto"/>
        </w:rPr>
      </w:pPr>
    </w:p>
    <w:p>
      <w:pPr>
        <w:spacing w:after="0" w:line="225" w:lineRule="exact"/>
        <w:rPr>
          <w:sz w:val="20"/>
          <w:szCs w:val="20"/>
          <w:color w:val="auto"/>
        </w:rPr>
      </w:pPr>
    </w:p>
    <w:p>
      <w:pPr>
        <w:ind w:left="4" w:firstLine="644"/>
        <w:spacing w:after="0" w:line="283" w:lineRule="auto"/>
        <w:tabs>
          <w:tab w:leader="none" w:pos="1294" w:val="left"/>
        </w:tabs>
        <w:numPr>
          <w:ilvl w:val="1"/>
          <w:numId w:val="165"/>
        </w:numPr>
        <w:rPr>
          <w:rFonts w:ascii="Arial" w:cs="Arial" w:eastAsia="Arial" w:hAnsi="Arial"/>
          <w:sz w:val="19"/>
          <w:szCs w:val="19"/>
          <w:color w:val="auto"/>
        </w:rPr>
      </w:pPr>
      <w:r>
        <w:rPr>
          <w:rFonts w:ascii="Arial" w:cs="Arial" w:eastAsia="Arial" w:hAnsi="Arial"/>
          <w:sz w:val="19"/>
          <w:szCs w:val="19"/>
          <w:i w:val="1"/>
          <w:iCs w:val="1"/>
          <w:color w:val="auto"/>
        </w:rPr>
        <w:t xml:space="preserve">No Unlawful Payments. </w:t>
      </w:r>
      <w:r>
        <w:rPr>
          <w:rFonts w:ascii="Arial" w:cs="Arial" w:eastAsia="Arial" w:hAnsi="Arial"/>
          <w:sz w:val="19"/>
          <w:szCs w:val="19"/>
          <w:color w:val="auto"/>
        </w:rPr>
        <w:t>Neither the Company nor any of its subsidiaries or affiliates nor any director,</w:t>
      </w:r>
      <w:r>
        <w:rPr>
          <w:rFonts w:ascii="Arial" w:cs="Arial" w:eastAsia="Arial" w:hAnsi="Arial"/>
          <w:sz w:val="19"/>
          <w:szCs w:val="19"/>
          <w:i w:val="1"/>
          <w:iCs w:val="1"/>
          <w:color w:val="auto"/>
        </w:rPr>
        <w:t xml:space="preserve"> </w:t>
      </w:r>
      <w:r>
        <w:rPr>
          <w:rFonts w:ascii="Arial" w:cs="Arial" w:eastAsia="Arial" w:hAnsi="Arial"/>
          <w:sz w:val="19"/>
          <w:szCs w:val="19"/>
          <w:color w:val="auto"/>
        </w:rPr>
        <w:t>officer or employee of the Company or any of its subsidiaries nor, to the knowledge of the Company, any agent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w:t>
      </w:r>
    </w:p>
    <w:p>
      <w:pPr>
        <w:spacing w:after="0" w:line="5" w:lineRule="exact"/>
        <w:rPr>
          <w:rFonts w:ascii="Arial" w:cs="Arial" w:eastAsia="Arial" w:hAnsi="Arial"/>
          <w:sz w:val="19"/>
          <w:szCs w:val="19"/>
          <w:color w:val="auto"/>
        </w:rPr>
      </w:pPr>
    </w:p>
    <w:p>
      <w:pPr>
        <w:ind w:left="4" w:right="160" w:hanging="4"/>
        <w:spacing w:after="0" w:line="244" w:lineRule="auto"/>
        <w:tabs>
          <w:tab w:leader="none" w:pos="37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 Neither the</w:t>
      </w:r>
    </w:p>
    <w:p>
      <w:pPr>
        <w:sectPr>
          <w:pgSz w:w="11900" w:h="16838" w:orient="portrait"/>
          <w:cols w:equalWidth="0" w:num="1">
            <w:col w:w="10564"/>
          </w:cols>
          <w:pgMar w:left="976" w:top="1428" w:right="359" w:bottom="1440" w:gutter="0" w:footer="0" w:header="0"/>
        </w:sectPr>
      </w:pPr>
    </w:p>
    <w:bookmarkStart w:id="249" w:name="page250"/>
    <w:bookmarkEnd w:id="249"/>
    <w:p>
      <w:pPr>
        <w:jc w:val="both"/>
        <w:ind w:right="120"/>
        <w:spacing w:after="0" w:line="253" w:lineRule="auto"/>
        <w:rPr>
          <w:sz w:val="20"/>
          <w:szCs w:val="20"/>
          <w:color w:val="auto"/>
        </w:rPr>
      </w:pPr>
      <w:r>
        <w:rPr>
          <w:rFonts w:ascii="Arial" w:cs="Arial" w:eastAsia="Arial" w:hAnsi="Arial"/>
          <w:sz w:val="22"/>
          <w:szCs w:val="22"/>
          <w:color w:val="auto"/>
        </w:rPr>
        <w:t>Company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w:t>
      </w:r>
    </w:p>
    <w:p>
      <w:pPr>
        <w:spacing w:after="0" w:line="185" w:lineRule="exact"/>
        <w:rPr>
          <w:sz w:val="20"/>
          <w:szCs w:val="20"/>
          <w:color w:val="auto"/>
        </w:rPr>
      </w:pPr>
    </w:p>
    <w:p>
      <w:pPr>
        <w:ind w:right="160" w:firstLine="644"/>
        <w:spacing w:after="0" w:line="290" w:lineRule="auto"/>
        <w:tabs>
          <w:tab w:leader="none" w:pos="1291"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Compliance with Anti-Money Laundering Laws</w:t>
      </w:r>
      <w:r>
        <w:rPr>
          <w:rFonts w:ascii="Arial" w:cs="Arial" w:eastAsia="Arial" w:hAnsi="Arial"/>
          <w:sz w:val="19"/>
          <w:szCs w:val="19"/>
          <w:color w:val="auto"/>
        </w:rPr>
        <w:t>. The operations of the Company and its subsidiaries are</w:t>
      </w:r>
      <w:r>
        <w:rPr>
          <w:rFonts w:ascii="Arial" w:cs="Arial" w:eastAsia="Arial" w:hAnsi="Arial"/>
          <w:sz w:val="19"/>
          <w:szCs w:val="19"/>
          <w:i w:val="1"/>
          <w:iCs w:val="1"/>
          <w:color w:val="auto"/>
        </w:rPr>
        <w:t xml:space="preserve"> </w:t>
      </w:r>
      <w:r>
        <w:rPr>
          <w:rFonts w:ascii="Arial" w:cs="Arial" w:eastAsia="Arial" w:hAnsi="Arial"/>
          <w:sz w:val="19"/>
          <w:szCs w:val="19"/>
          <w:color w:val="auto"/>
        </w:rPr>
        <w:t>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55" w:lineRule="exact"/>
        <w:rPr>
          <w:rFonts w:ascii="Arial" w:cs="Arial" w:eastAsia="Arial" w:hAnsi="Arial"/>
          <w:sz w:val="19"/>
          <w:szCs w:val="19"/>
          <w:color w:val="auto"/>
        </w:rPr>
      </w:pPr>
    </w:p>
    <w:p>
      <w:pPr>
        <w:ind w:firstLine="644"/>
        <w:spacing w:after="0" w:line="285" w:lineRule="auto"/>
        <w:tabs>
          <w:tab w:leader="none" w:pos="1290"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 xml:space="preserve">No Conflicts with Sanctions Laws. </w:t>
      </w:r>
      <w:r>
        <w:rPr>
          <w:rFonts w:ascii="Arial" w:cs="Arial" w:eastAsia="Arial" w:hAnsi="Arial"/>
          <w:sz w:val="19"/>
          <w:szCs w:val="19"/>
          <w:color w:val="auto"/>
        </w:rPr>
        <w:t>Neither the Company nor any of its subsidiaries, directors, officers, or</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nor, to the knowledge of the Company, any agent, affiliate or other person associated with or acting on behalf of the Company or any of its subsidiaries is or is owned or controlled by one or more persons that are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or any of its subsidiaries, directors, officers, or employees, or, to the knowledge of the Company, any agent, affiliate or other person associated with or acting on behalf of the Company or any of its subsidiaries located, organized or resident, or owned or controlled by one or more persons that are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ectPr>
          <w:pgSz w:w="11900" w:h="16838" w:orient="portrait"/>
          <w:cols w:equalWidth="0" w:num="1">
            <w:col w:w="10580"/>
          </w:cols>
          <w:pgMar w:left="980" w:top="1428" w:right="339" w:bottom="1440" w:gutter="0" w:footer="0" w:header="0"/>
        </w:sectPr>
      </w:pPr>
    </w:p>
    <w:bookmarkStart w:id="250" w:name="page251"/>
    <w:bookmarkEnd w:id="250"/>
    <w:p>
      <w:pPr>
        <w:ind w:left="-460" w:right="240" w:firstLine="644"/>
        <w:spacing w:after="0" w:line="297" w:lineRule="auto"/>
        <w:tabs>
          <w:tab w:leader="none" w:pos="830"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No Restrictions on Subsidiaries</w:t>
      </w:r>
      <w:r>
        <w:rPr>
          <w:rFonts w:ascii="Arial" w:cs="Arial" w:eastAsia="Arial" w:hAnsi="Arial"/>
          <w:sz w:val="19"/>
          <w:szCs w:val="19"/>
          <w:color w:val="auto"/>
        </w:rPr>
        <w:t>. No subsidiary of the Company is currently prohibited, directly or</w:t>
      </w:r>
      <w:r>
        <w:rPr>
          <w:rFonts w:ascii="Arial" w:cs="Arial" w:eastAsia="Arial" w:hAnsi="Arial"/>
          <w:sz w:val="19"/>
          <w:szCs w:val="19"/>
          <w:i w:val="1"/>
          <w:iCs w:val="1"/>
          <w:color w:val="auto"/>
        </w:rPr>
        <w:t xml:space="preserve"> </w:t>
      </w:r>
      <w:r>
        <w:rPr>
          <w:rFonts w:ascii="Arial" w:cs="Arial" w:eastAsia="Arial" w:hAnsi="Arial"/>
          <w:sz w:val="19"/>
          <w:szCs w:val="19"/>
          <w:color w:val="auto"/>
        </w:rPr>
        <w:t>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46" w:lineRule="exact"/>
        <w:rPr>
          <w:rFonts w:ascii="Arial" w:cs="Arial" w:eastAsia="Arial" w:hAnsi="Arial"/>
          <w:sz w:val="19"/>
          <w:szCs w:val="19"/>
          <w:color w:val="auto"/>
        </w:rPr>
      </w:pPr>
    </w:p>
    <w:p>
      <w:pPr>
        <w:ind w:left="-460" w:right="140" w:firstLine="644"/>
        <w:spacing w:after="0" w:line="250" w:lineRule="auto"/>
        <w:tabs>
          <w:tab w:leader="none" w:pos="831"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 xml:space="preserve">No Broker’s Fees. </w:t>
      </w:r>
      <w:r>
        <w:rPr>
          <w:rFonts w:ascii="Arial" w:cs="Arial" w:eastAsia="Arial" w:hAnsi="Arial"/>
          <w:sz w:val="22"/>
          <w:szCs w:val="22"/>
          <w:color w:val="auto"/>
        </w:rPr>
        <w:t>Neither the Company nor any of its subsidiaries is a party to any contract, agreement or</w:t>
      </w:r>
      <w:r>
        <w:rPr>
          <w:rFonts w:ascii="Arial" w:cs="Arial" w:eastAsia="Arial" w:hAnsi="Arial"/>
          <w:sz w:val="22"/>
          <w:szCs w:val="22"/>
          <w:i w:val="1"/>
          <w:iCs w:val="1"/>
          <w:color w:val="auto"/>
        </w:rPr>
        <w:t xml:space="preserve"> </w:t>
      </w:r>
      <w:r>
        <w:rPr>
          <w:rFonts w:ascii="Arial" w:cs="Arial" w:eastAsia="Arial" w:hAnsi="Arial"/>
          <w:sz w:val="22"/>
          <w:szCs w:val="22"/>
          <w:color w:val="auto"/>
        </w:rPr>
        <w:t>understanding with any person (other than this Agreement) that would give rise to a valid claim against any of them or any Underwriter for a brokerage commission, finder’s fee or like payment in connection with the offering and sale of the Shares.</w:t>
      </w:r>
    </w:p>
    <w:p>
      <w:pPr>
        <w:spacing w:after="0" w:line="187" w:lineRule="exact"/>
        <w:rPr>
          <w:rFonts w:ascii="Arial" w:cs="Arial" w:eastAsia="Arial" w:hAnsi="Arial"/>
          <w:sz w:val="22"/>
          <w:szCs w:val="22"/>
          <w:color w:val="auto"/>
        </w:rPr>
      </w:pPr>
    </w:p>
    <w:p>
      <w:pPr>
        <w:ind w:left="-460" w:right="460" w:firstLine="644"/>
        <w:spacing w:after="0" w:line="302" w:lineRule="auto"/>
        <w:tabs>
          <w:tab w:leader="none" w:pos="831"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No Registration Rights</w:t>
      </w:r>
      <w:r>
        <w:rPr>
          <w:rFonts w:ascii="Arial" w:cs="Arial" w:eastAsia="Arial" w:hAnsi="Arial"/>
          <w:sz w:val="19"/>
          <w:szCs w:val="19"/>
          <w:color w:val="auto"/>
        </w:rPr>
        <w:t>. No person has the right to require the Company or any of its subsidiaries to</w:t>
      </w:r>
      <w:r>
        <w:rPr>
          <w:rFonts w:ascii="Arial" w:cs="Arial" w:eastAsia="Arial" w:hAnsi="Arial"/>
          <w:sz w:val="19"/>
          <w:szCs w:val="19"/>
          <w:i w:val="1"/>
          <w:iCs w:val="1"/>
          <w:color w:val="auto"/>
        </w:rPr>
        <w:t xml:space="preserve"> </w:t>
      </w:r>
      <w:r>
        <w:rPr>
          <w:rFonts w:ascii="Arial" w:cs="Arial" w:eastAsia="Arial" w:hAnsi="Arial"/>
          <w:sz w:val="19"/>
          <w:szCs w:val="19"/>
          <w:color w:val="auto"/>
        </w:rPr>
        <w:t>register any securities for sale under the Securities Act by reason of the filing of the Registration Statement with the Commission or the issuance and sale of the Shares by the Company or the sale of the Shares to be sold by the Selling Stockholders hereunder, except for such rights as have been duly waived.</w:t>
      </w:r>
    </w:p>
    <w:p>
      <w:pPr>
        <w:spacing w:after="0" w:line="142" w:lineRule="exact"/>
        <w:rPr>
          <w:rFonts w:ascii="Arial" w:cs="Arial" w:eastAsia="Arial" w:hAnsi="Arial"/>
          <w:sz w:val="19"/>
          <w:szCs w:val="19"/>
          <w:color w:val="auto"/>
        </w:rPr>
      </w:pPr>
    </w:p>
    <w:p>
      <w:pPr>
        <w:ind w:left="-460" w:right="740" w:firstLine="644"/>
        <w:spacing w:after="0" w:line="253" w:lineRule="auto"/>
        <w:tabs>
          <w:tab w:leader="none" w:pos="831"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 xml:space="preserve">No Stabilization. </w:t>
      </w:r>
      <w:r>
        <w:rPr>
          <w:rFonts w:ascii="Arial" w:cs="Arial" w:eastAsia="Arial" w:hAnsi="Arial"/>
          <w:sz w:val="22"/>
          <w:szCs w:val="22"/>
          <w:color w:val="auto"/>
        </w:rPr>
        <w:t>Neither the Company nor any of its subsidiaries or affiliates has taken, directly or</w:t>
      </w:r>
      <w:r>
        <w:rPr>
          <w:rFonts w:ascii="Arial" w:cs="Arial" w:eastAsia="Arial" w:hAnsi="Arial"/>
          <w:sz w:val="22"/>
          <w:szCs w:val="22"/>
          <w:i w:val="1"/>
          <w:iCs w:val="1"/>
          <w:color w:val="auto"/>
        </w:rPr>
        <w:t xml:space="preserve"> </w:t>
      </w:r>
      <w:r>
        <w:rPr>
          <w:rFonts w:ascii="Arial" w:cs="Arial" w:eastAsia="Arial" w:hAnsi="Arial"/>
          <w:sz w:val="22"/>
          <w:szCs w:val="22"/>
          <w:color w:val="auto"/>
        </w:rPr>
        <w:t>indirectly, any action designed to or that could reasonably be expected to cause or result in any stabilization or manipulation of the price of the Shares.</w:t>
      </w:r>
    </w:p>
    <w:p>
      <w:pPr>
        <w:spacing w:after="0" w:line="185" w:lineRule="exact"/>
        <w:rPr>
          <w:rFonts w:ascii="Arial" w:cs="Arial" w:eastAsia="Arial" w:hAnsi="Arial"/>
          <w:sz w:val="22"/>
          <w:szCs w:val="22"/>
          <w:color w:val="auto"/>
        </w:rPr>
      </w:pPr>
    </w:p>
    <w:p>
      <w:pPr>
        <w:ind w:left="-460" w:right="460" w:firstLine="644"/>
        <w:spacing w:after="0" w:line="250" w:lineRule="auto"/>
        <w:tabs>
          <w:tab w:leader="none" w:pos="831"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Margin Rules</w:t>
      </w:r>
      <w:r>
        <w:rPr>
          <w:rFonts w:ascii="Arial" w:cs="Arial" w:eastAsia="Arial" w:hAnsi="Arial"/>
          <w:sz w:val="22"/>
          <w:szCs w:val="22"/>
          <w:color w:val="auto"/>
        </w:rPr>
        <w:t>. Neither the issuance, sale and delivery of the Shares nor the application of the proceeds</w:t>
      </w:r>
      <w:r>
        <w:rPr>
          <w:rFonts w:ascii="Arial" w:cs="Arial" w:eastAsia="Arial" w:hAnsi="Arial"/>
          <w:sz w:val="22"/>
          <w:szCs w:val="22"/>
          <w:i w:val="1"/>
          <w:iCs w:val="1"/>
          <w:color w:val="auto"/>
        </w:rPr>
        <w:t xml:space="preserve"> </w:t>
      </w:r>
      <w:r>
        <w:rPr>
          <w:rFonts w:ascii="Arial" w:cs="Arial" w:eastAsia="Arial" w:hAnsi="Arial"/>
          <w:sz w:val="22"/>
          <w:szCs w:val="22"/>
          <w:color w:val="auto"/>
        </w:rPr>
        <w:t>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spacing w:after="0" w:line="187" w:lineRule="exact"/>
        <w:rPr>
          <w:rFonts w:ascii="Arial" w:cs="Arial" w:eastAsia="Arial" w:hAnsi="Arial"/>
          <w:sz w:val="22"/>
          <w:szCs w:val="22"/>
          <w:color w:val="auto"/>
        </w:rPr>
      </w:pPr>
    </w:p>
    <w:p>
      <w:pPr>
        <w:ind w:left="-460" w:firstLine="644"/>
        <w:spacing w:after="0" w:line="250" w:lineRule="auto"/>
        <w:tabs>
          <w:tab w:leader="none" w:pos="827"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 xml:space="preserve">Forward-Looking Statements. </w:t>
      </w:r>
      <w:r>
        <w:rPr>
          <w:rFonts w:ascii="Arial" w:cs="Arial" w:eastAsia="Arial" w:hAnsi="Arial"/>
          <w:sz w:val="22"/>
          <w:szCs w:val="22"/>
          <w:color w:val="auto"/>
        </w:rPr>
        <w:t>No forward-looking statement (within the meaning of Section 27A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Securities Act and Section 21E of the Exchange Act) included in any of the Registration Statement, the Pricing Disclosure Package or the Prospectus has been made or reaffirmed without a reasonable basis or has been disclosed other than in good faith.</w:t>
      </w:r>
    </w:p>
    <w:p>
      <w:pPr>
        <w:spacing w:after="0" w:line="187" w:lineRule="exact"/>
        <w:rPr>
          <w:rFonts w:ascii="Arial" w:cs="Arial" w:eastAsia="Arial" w:hAnsi="Arial"/>
          <w:sz w:val="22"/>
          <w:szCs w:val="22"/>
          <w:color w:val="auto"/>
        </w:rPr>
      </w:pPr>
    </w:p>
    <w:p>
      <w:pPr>
        <w:ind w:left="-460" w:right="80" w:firstLine="644"/>
        <w:spacing w:after="0" w:line="250" w:lineRule="auto"/>
        <w:tabs>
          <w:tab w:leader="none" w:pos="824"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 xml:space="preserve">Statistical and Market Data. </w:t>
      </w:r>
      <w:r>
        <w:rPr>
          <w:rFonts w:ascii="Arial" w:cs="Arial" w:eastAsia="Arial" w:hAnsi="Arial"/>
          <w:sz w:val="22"/>
          <w:szCs w:val="22"/>
          <w:color w:val="auto"/>
        </w:rPr>
        <w:t>Nothing has come to the attention of the Company that has caused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to believe that the statistical and market-related data included in each of the Registration Statement, the Pricing Disclosure Package and the Prospectus is not based on or derived from sources that are reliable and accurate in all material respects.</w:t>
      </w:r>
    </w:p>
    <w:p>
      <w:pPr>
        <w:spacing w:after="0" w:line="187" w:lineRule="exact"/>
        <w:rPr>
          <w:rFonts w:ascii="Arial" w:cs="Arial" w:eastAsia="Arial" w:hAnsi="Arial"/>
          <w:sz w:val="22"/>
          <w:szCs w:val="22"/>
          <w:color w:val="auto"/>
        </w:rPr>
      </w:pPr>
    </w:p>
    <w:p>
      <w:pPr>
        <w:ind w:left="-460" w:right="220" w:firstLine="644"/>
        <w:spacing w:after="0" w:line="253" w:lineRule="auto"/>
        <w:tabs>
          <w:tab w:leader="none" w:pos="830"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Sarbanes-Oxley Act</w:t>
      </w:r>
      <w:r>
        <w:rPr>
          <w:rFonts w:ascii="Arial" w:cs="Arial" w:eastAsia="Arial" w:hAnsi="Arial"/>
          <w:sz w:val="22"/>
          <w:szCs w:val="22"/>
          <w:color w:val="auto"/>
        </w:rPr>
        <w:t>. There is and has been no failure on the part of the Company or, to the knowledge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any of the Company’s directors or officers, in their capacities as such, to comply in all material respects with any provision</w:t>
      </w:r>
    </w:p>
    <w:p>
      <w:pPr>
        <w:sectPr>
          <w:pgSz w:w="11900" w:h="16838" w:orient="portrait"/>
          <w:cols w:equalWidth="0" w:num="1">
            <w:col w:w="10120"/>
          </w:cols>
          <w:pgMar w:left="1440" w:top="1428" w:right="339" w:bottom="1440" w:gutter="0" w:footer="0" w:header="0"/>
        </w:sectPr>
      </w:pPr>
    </w:p>
    <w:bookmarkStart w:id="251" w:name="page252"/>
    <w:bookmarkEnd w:id="251"/>
    <w:p>
      <w:pPr>
        <w:ind w:left="4" w:right="200"/>
        <w:spacing w:after="0" w:line="343" w:lineRule="auto"/>
        <w:rPr>
          <w:sz w:val="20"/>
          <w:szCs w:val="20"/>
          <w:color w:val="auto"/>
        </w:rPr>
      </w:pPr>
      <w:r>
        <w:rPr>
          <w:rFonts w:ascii="Arial" w:cs="Arial" w:eastAsia="Arial" w:hAnsi="Arial"/>
          <w:sz w:val="19"/>
          <w:szCs w:val="19"/>
          <w:color w:val="auto"/>
        </w:rPr>
        <w:t>of the Sarbanes-Oxley Act of 2002, as amended and the rules and regulations promulgated in connection therewith (the “Sarbanes-Oxley Act”), including Section 402 related to loans and Sections 302 and 906 related to certifications.</w:t>
      </w:r>
    </w:p>
    <w:p>
      <w:pPr>
        <w:spacing w:after="0" w:line="104" w:lineRule="exact"/>
        <w:rPr>
          <w:sz w:val="20"/>
          <w:szCs w:val="20"/>
          <w:color w:val="auto"/>
        </w:rPr>
      </w:pPr>
    </w:p>
    <w:p>
      <w:pPr>
        <w:ind w:left="4" w:right="160" w:firstLine="644"/>
        <w:spacing w:after="0" w:line="294" w:lineRule="auto"/>
        <w:tabs>
          <w:tab w:leader="none" w:pos="1295" w:val="left"/>
        </w:tabs>
        <w:numPr>
          <w:ilvl w:val="1"/>
          <w:numId w:val="169"/>
        </w:numPr>
        <w:rPr>
          <w:rFonts w:ascii="Arial" w:cs="Arial" w:eastAsia="Arial" w:hAnsi="Arial"/>
          <w:sz w:val="19"/>
          <w:szCs w:val="19"/>
          <w:color w:val="auto"/>
        </w:rPr>
      </w:pPr>
      <w:r>
        <w:rPr>
          <w:rFonts w:ascii="Arial" w:cs="Arial" w:eastAsia="Arial" w:hAnsi="Arial"/>
          <w:sz w:val="19"/>
          <w:szCs w:val="19"/>
          <w:i w:val="1"/>
          <w:iCs w:val="1"/>
          <w:color w:val="auto"/>
        </w:rPr>
        <w:t>Status under the Securities Act</w:t>
      </w:r>
      <w:r>
        <w:rPr>
          <w:rFonts w:ascii="Arial" w:cs="Arial" w:eastAsia="Arial" w:hAnsi="Arial"/>
          <w:sz w:val="19"/>
          <w:szCs w:val="19"/>
          <w:color w:val="auto"/>
        </w:rPr>
        <w:t>. At the time of filing the Registration Statement and any post-effective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amendment thereto, at the earliest time thereafter that the Company or any offering participant made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149" w:lineRule="exact"/>
        <w:rPr>
          <w:rFonts w:ascii="Arial" w:cs="Arial" w:eastAsia="Arial" w:hAnsi="Arial"/>
          <w:sz w:val="19"/>
          <w:szCs w:val="19"/>
          <w:color w:val="auto"/>
        </w:rPr>
      </w:pPr>
    </w:p>
    <w:p>
      <w:pPr>
        <w:jc w:val="both"/>
        <w:ind w:left="4" w:right="100" w:firstLine="644"/>
        <w:spacing w:after="0" w:line="312" w:lineRule="auto"/>
        <w:tabs>
          <w:tab w:leader="none" w:pos="1295" w:val="left"/>
        </w:tabs>
        <w:numPr>
          <w:ilvl w:val="1"/>
          <w:numId w:val="169"/>
        </w:numPr>
        <w:rPr>
          <w:rFonts w:ascii="Arial" w:cs="Arial" w:eastAsia="Arial" w:hAnsi="Arial"/>
          <w:sz w:val="19"/>
          <w:szCs w:val="19"/>
          <w:color w:val="auto"/>
        </w:rPr>
      </w:pPr>
      <w:r>
        <w:rPr>
          <w:rFonts w:ascii="Arial" w:cs="Arial" w:eastAsia="Arial" w:hAnsi="Arial"/>
          <w:sz w:val="19"/>
          <w:szCs w:val="19"/>
          <w:i w:val="1"/>
          <w:iCs w:val="1"/>
          <w:color w:val="auto"/>
        </w:rPr>
        <w:t>No Ratings</w:t>
      </w:r>
      <w:r>
        <w:rPr>
          <w:rFonts w:ascii="Arial" w:cs="Arial" w:eastAsia="Arial" w:hAnsi="Arial"/>
          <w:sz w:val="19"/>
          <w:szCs w:val="19"/>
          <w:color w:val="auto"/>
        </w:rPr>
        <w:t>. There are (and prior to the Closing Date, will be) no debt securities, convertible securities or</w:t>
      </w:r>
      <w:r>
        <w:rPr>
          <w:rFonts w:ascii="Arial" w:cs="Arial" w:eastAsia="Arial" w:hAnsi="Arial"/>
          <w:sz w:val="19"/>
          <w:szCs w:val="19"/>
          <w:i w:val="1"/>
          <w:iCs w:val="1"/>
          <w:color w:val="auto"/>
        </w:rPr>
        <w:t xml:space="preserve"> </w:t>
      </w:r>
      <w:r>
        <w:rPr>
          <w:rFonts w:ascii="Arial" w:cs="Arial" w:eastAsia="Arial" w:hAnsi="Arial"/>
          <w:sz w:val="19"/>
          <w:szCs w:val="19"/>
          <w:color w:val="auto"/>
        </w:rPr>
        <w:t>preferred stock issued or guaranteed by the Company or any of its subsidiaries that are rated by a “nationally recognized statistical rating organization”, as such term is defined in Section 3(a)(62) under the Exchange Act.</w:t>
      </w:r>
    </w:p>
    <w:p>
      <w:pPr>
        <w:spacing w:after="0" w:line="133" w:lineRule="exact"/>
        <w:rPr>
          <w:rFonts w:ascii="Arial" w:cs="Arial" w:eastAsia="Arial" w:hAnsi="Arial"/>
          <w:sz w:val="19"/>
          <w:szCs w:val="19"/>
          <w:color w:val="auto"/>
        </w:rPr>
      </w:pPr>
    </w:p>
    <w:p>
      <w:pPr>
        <w:ind w:left="4" w:firstLine="644"/>
        <w:spacing w:after="0" w:line="271" w:lineRule="auto"/>
        <w:tabs>
          <w:tab w:leader="none" w:pos="1297" w:val="left"/>
        </w:tabs>
        <w:numPr>
          <w:ilvl w:val="1"/>
          <w:numId w:val="169"/>
        </w:numPr>
        <w:rPr>
          <w:rFonts w:ascii="Arial" w:cs="Arial" w:eastAsia="Arial" w:hAnsi="Arial"/>
          <w:sz w:val="21"/>
          <w:szCs w:val="21"/>
          <w:color w:val="auto"/>
        </w:rPr>
      </w:pPr>
      <w:r>
        <w:rPr>
          <w:rFonts w:ascii="Arial" w:cs="Arial" w:eastAsia="Arial" w:hAnsi="Arial"/>
          <w:sz w:val="21"/>
          <w:szCs w:val="21"/>
          <w:i w:val="1"/>
          <w:iCs w:val="1"/>
          <w:color w:val="auto"/>
        </w:rPr>
        <w:t>Regulatory Matters</w:t>
      </w:r>
      <w:r>
        <w:rPr>
          <w:rFonts w:ascii="Arial" w:cs="Arial" w:eastAsia="Arial" w:hAnsi="Arial"/>
          <w:sz w:val="21"/>
          <w:szCs w:val="21"/>
          <w:color w:val="auto"/>
        </w:rPr>
        <w:t>. The Company has operated and currently is in compliance with all applicable rules</w:t>
      </w:r>
      <w:r>
        <w:rPr>
          <w:rFonts w:ascii="Arial" w:cs="Arial" w:eastAsia="Arial" w:hAnsi="Arial"/>
          <w:sz w:val="21"/>
          <w:szCs w:val="21"/>
          <w:i w:val="1"/>
          <w:iCs w:val="1"/>
          <w:color w:val="auto"/>
        </w:rPr>
        <w:t xml:space="preserve"> </w:t>
      </w:r>
      <w:r>
        <w:rPr>
          <w:rFonts w:ascii="Arial" w:cs="Arial" w:eastAsia="Arial" w:hAnsi="Arial"/>
          <w:sz w:val="21"/>
          <w:szCs w:val="21"/>
          <w:color w:val="auto"/>
        </w:rPr>
        <w:t>and regulations of the U.S. Food and Drug Administration (“FDA”), including the Federal Food, Drug, and Cosmetic Act (21 U.S.C. § 301 et seq.) and the regulations promulgated thereunder (the “FDCA”).</w:t>
      </w:r>
    </w:p>
    <w:p>
      <w:pPr>
        <w:spacing w:after="0" w:line="167" w:lineRule="exact"/>
        <w:rPr>
          <w:rFonts w:ascii="Arial" w:cs="Arial" w:eastAsia="Arial" w:hAnsi="Arial"/>
          <w:sz w:val="21"/>
          <w:szCs w:val="21"/>
          <w:color w:val="auto"/>
        </w:rPr>
      </w:pPr>
    </w:p>
    <w:p>
      <w:pPr>
        <w:ind w:left="4" w:right="220" w:firstLine="644"/>
        <w:spacing w:after="0" w:line="248" w:lineRule="auto"/>
        <w:tabs>
          <w:tab w:leader="none" w:pos="1295" w:val="left"/>
        </w:tabs>
        <w:numPr>
          <w:ilvl w:val="1"/>
          <w:numId w:val="169"/>
        </w:numPr>
        <w:rPr>
          <w:rFonts w:ascii="Arial" w:cs="Arial" w:eastAsia="Arial" w:hAnsi="Arial"/>
          <w:sz w:val="22"/>
          <w:szCs w:val="22"/>
          <w:color w:val="auto"/>
        </w:rPr>
      </w:pPr>
      <w:r>
        <w:rPr>
          <w:rFonts w:ascii="Arial" w:cs="Arial" w:eastAsia="Arial" w:hAnsi="Arial"/>
          <w:sz w:val="22"/>
          <w:szCs w:val="22"/>
          <w:i w:val="1"/>
          <w:iCs w:val="1"/>
          <w:color w:val="auto"/>
        </w:rPr>
        <w:t>Description of Health Care Laws</w:t>
      </w:r>
      <w:r>
        <w:rPr>
          <w:rFonts w:ascii="Arial" w:cs="Arial" w:eastAsia="Arial" w:hAnsi="Arial"/>
          <w:sz w:val="22"/>
          <w:szCs w:val="22"/>
          <w:color w:val="auto"/>
        </w:rPr>
        <w:t>. The statements included in the Registration Statement, the Pricing</w:t>
      </w:r>
      <w:r>
        <w:rPr>
          <w:rFonts w:ascii="Arial" w:cs="Arial" w:eastAsia="Arial" w:hAnsi="Arial"/>
          <w:sz w:val="22"/>
          <w:szCs w:val="22"/>
          <w:i w:val="1"/>
          <w:iCs w:val="1"/>
          <w:color w:val="auto"/>
        </w:rPr>
        <w:t xml:space="preserve"> </w:t>
      </w:r>
      <w:r>
        <w:rPr>
          <w:rFonts w:ascii="Arial" w:cs="Arial" w:eastAsia="Arial" w:hAnsi="Arial"/>
          <w:sz w:val="22"/>
          <w:szCs w:val="22"/>
          <w:color w:val="auto"/>
        </w:rPr>
        <w:t>Disclosure Package and the Prospectus under the caption: “Government Regulation” are true and correct in all material respects; and there are no FDA rules or regulations, which as of the date hereof are material to the business of the Company or the Company’s subsidiaries which are not described in the Registration Statement, the Pricing Disclosure Package or the Prospectus.</w:t>
      </w:r>
    </w:p>
    <w:p>
      <w:pPr>
        <w:spacing w:after="0" w:line="191" w:lineRule="exact"/>
        <w:rPr>
          <w:rFonts w:ascii="Arial" w:cs="Arial" w:eastAsia="Arial" w:hAnsi="Arial"/>
          <w:sz w:val="22"/>
          <w:szCs w:val="22"/>
          <w:color w:val="auto"/>
        </w:rPr>
      </w:pPr>
    </w:p>
    <w:p>
      <w:pPr>
        <w:ind w:left="4" w:right="60" w:firstLine="644"/>
        <w:spacing w:after="0" w:line="297" w:lineRule="auto"/>
        <w:tabs>
          <w:tab w:leader="none" w:pos="1295" w:val="left"/>
        </w:tabs>
        <w:numPr>
          <w:ilvl w:val="1"/>
          <w:numId w:val="169"/>
        </w:numPr>
        <w:rPr>
          <w:rFonts w:ascii="Arial" w:cs="Arial" w:eastAsia="Arial" w:hAnsi="Arial"/>
          <w:sz w:val="19"/>
          <w:szCs w:val="19"/>
          <w:color w:val="auto"/>
        </w:rPr>
      </w:pPr>
      <w:r>
        <w:rPr>
          <w:rFonts w:ascii="Arial" w:cs="Arial" w:eastAsia="Arial" w:hAnsi="Arial"/>
          <w:sz w:val="19"/>
          <w:szCs w:val="19"/>
          <w:i w:val="1"/>
          <w:iCs w:val="1"/>
          <w:color w:val="auto"/>
        </w:rPr>
        <w:t xml:space="preserve">Product Manufacturing. </w:t>
      </w:r>
      <w:r>
        <w:rPr>
          <w:rFonts w:ascii="Arial" w:cs="Arial" w:eastAsia="Arial" w:hAnsi="Arial"/>
          <w:sz w:val="19"/>
          <w:szCs w:val="19"/>
          <w:color w:val="auto"/>
        </w:rPr>
        <w:t>The Company’s products are marketed as “research use only” and are not subject</w:t>
      </w:r>
      <w:r>
        <w:rPr>
          <w:rFonts w:ascii="Arial" w:cs="Arial" w:eastAsia="Arial" w:hAnsi="Arial"/>
          <w:sz w:val="19"/>
          <w:szCs w:val="19"/>
          <w:i w:val="1"/>
          <w:iCs w:val="1"/>
          <w:color w:val="auto"/>
        </w:rPr>
        <w:t xml:space="preserve"> </w:t>
      </w:r>
      <w:r>
        <w:rPr>
          <w:rFonts w:ascii="Arial" w:cs="Arial" w:eastAsia="Arial" w:hAnsi="Arial"/>
          <w:sz w:val="19"/>
          <w:szCs w:val="19"/>
          <w:color w:val="auto"/>
        </w:rPr>
        <w:t>to the provisions of the FDCA applicable to product manufacturing, including, without limitation, the FDA’s Quality System Regulation at 21 CFR Part 820. The Company has not had any manufacturing site (whether Company-owned or, to the knowledge of the Company, that of a third-party manufacturer for the Company’s products) subject to a governmental authority (including FDA) shutdown or import or export prohibition.</w:t>
      </w:r>
    </w:p>
    <w:p>
      <w:pPr>
        <w:spacing w:after="0" w:line="146" w:lineRule="exact"/>
        <w:rPr>
          <w:rFonts w:ascii="Arial" w:cs="Arial" w:eastAsia="Arial" w:hAnsi="Arial"/>
          <w:sz w:val="19"/>
          <w:szCs w:val="19"/>
          <w:color w:val="auto"/>
        </w:rPr>
      </w:pPr>
    </w:p>
    <w:p>
      <w:pPr>
        <w:ind w:left="-656" w:right="260" w:firstLine="656"/>
        <w:spacing w:after="0" w:line="263" w:lineRule="auto"/>
        <w:tabs>
          <w:tab w:leader="none" w:pos="64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Selling Stockholders</w:t>
      </w:r>
      <w:r>
        <w:rPr>
          <w:rFonts w:ascii="Arial" w:cs="Arial" w:eastAsia="Arial" w:hAnsi="Arial"/>
          <w:sz w:val="22"/>
          <w:szCs w:val="22"/>
          <w:color w:val="auto"/>
        </w:rPr>
        <w:t>. Each of the Selling Stockholders severally and not jointly represents and warrants to each Underwriter and the Company that:</w:t>
      </w:r>
    </w:p>
    <w:p>
      <w:pPr>
        <w:spacing w:after="0" w:line="174" w:lineRule="exact"/>
        <w:rPr>
          <w:rFonts w:ascii="Arial" w:cs="Arial" w:eastAsia="Arial" w:hAnsi="Arial"/>
          <w:sz w:val="22"/>
          <w:szCs w:val="22"/>
          <w:color w:val="auto"/>
        </w:rPr>
      </w:pPr>
    </w:p>
    <w:p>
      <w:pPr>
        <w:jc w:val="both"/>
        <w:ind w:left="4" w:right="700" w:firstLine="644"/>
        <w:spacing w:after="0" w:line="253" w:lineRule="auto"/>
        <w:tabs>
          <w:tab w:leader="none" w:pos="1297" w:val="left"/>
        </w:tabs>
        <w:numPr>
          <w:ilvl w:val="1"/>
          <w:numId w:val="170"/>
        </w:numPr>
        <w:rPr>
          <w:rFonts w:ascii="Arial" w:cs="Arial" w:eastAsia="Arial" w:hAnsi="Arial"/>
          <w:sz w:val="22"/>
          <w:szCs w:val="22"/>
          <w:color w:val="auto"/>
        </w:rPr>
      </w:pPr>
      <w:r>
        <w:rPr>
          <w:rFonts w:ascii="Arial" w:cs="Arial" w:eastAsia="Arial" w:hAnsi="Arial"/>
          <w:sz w:val="22"/>
          <w:szCs w:val="22"/>
          <w:i w:val="1"/>
          <w:iCs w:val="1"/>
          <w:color w:val="auto"/>
        </w:rPr>
        <w:t>Required Consents; Authority</w:t>
      </w:r>
      <w:r>
        <w:rPr>
          <w:rFonts w:ascii="Arial" w:cs="Arial" w:eastAsia="Arial" w:hAnsi="Arial"/>
          <w:sz w:val="22"/>
          <w:szCs w:val="22"/>
          <w:color w:val="auto"/>
        </w:rPr>
        <w:t>. All consents, approvals, authorizations and orders necessary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execution and delivery by such Selling Stockholder of this Agreement and the Power of Attorney (the “Power of Attorney”) and the Custody</w:t>
      </w:r>
    </w:p>
    <w:p>
      <w:pPr>
        <w:sectPr>
          <w:pgSz w:w="11900" w:h="16838" w:orient="portrait"/>
          <w:cols w:equalWidth="0" w:num="1">
            <w:col w:w="10504"/>
          </w:cols>
          <w:pgMar w:left="976" w:top="1428" w:right="419" w:bottom="1440" w:gutter="0" w:footer="0" w:header="0"/>
        </w:sectPr>
      </w:pPr>
    </w:p>
    <w:bookmarkStart w:id="252" w:name="page253"/>
    <w:bookmarkEnd w:id="252"/>
    <w:p>
      <w:pPr>
        <w:ind w:right="80"/>
        <w:spacing w:after="0" w:line="290" w:lineRule="auto"/>
        <w:rPr>
          <w:sz w:val="20"/>
          <w:szCs w:val="20"/>
          <w:color w:val="auto"/>
        </w:rPr>
      </w:pPr>
      <w:r>
        <w:rPr>
          <w:rFonts w:ascii="Arial" w:cs="Arial" w:eastAsia="Arial" w:hAnsi="Arial"/>
          <w:sz w:val="19"/>
          <w:szCs w:val="19"/>
          <w:color w:val="auto"/>
        </w:rPr>
        <w:t>Agreement (the “Custody Agreement”) hereinafter referred to, and for the sale and delivery of the Shares to be sold by such Selling Stockholder hereunder, have been obtained (except for the registration under the Securities Act of the Shares and such consents, approvals, authorizations and orders as may be required under securities or Blue Sky laws of the various states or non-U.S. jurisdictions, the rules and regulations of FINRA or the approval for listing on the Exchange); and such Selling Stockholder has full right, power and authority to enter into this Agreement, the Power of Attorney and the Custody Agreement and to sell, assign, transfer and deliver the Shares to be sold by such Selling Stockholder hereunder; this Agreement, the Power of Attorney and the Custody Agreement have each been duly authorized, executed and delivered by or on behalf of such Selling Stockholder.</w:t>
      </w:r>
    </w:p>
    <w:p>
      <w:pPr>
        <w:spacing w:after="0" w:line="156" w:lineRule="exact"/>
        <w:rPr>
          <w:sz w:val="20"/>
          <w:szCs w:val="20"/>
          <w:color w:val="auto"/>
        </w:rPr>
      </w:pPr>
    </w:p>
    <w:p>
      <w:pPr>
        <w:ind w:right="20" w:firstLine="644"/>
        <w:spacing w:after="0" w:line="286" w:lineRule="auto"/>
        <w:tabs>
          <w:tab w:leader="none" w:pos="1291" w:val="left"/>
        </w:tabs>
        <w:numPr>
          <w:ilvl w:val="0"/>
          <w:numId w:val="171"/>
        </w:numPr>
        <w:rPr>
          <w:rFonts w:ascii="Arial" w:cs="Arial" w:eastAsia="Arial" w:hAnsi="Arial"/>
          <w:sz w:val="19"/>
          <w:szCs w:val="19"/>
          <w:color w:val="auto"/>
        </w:rPr>
      </w:pPr>
      <w:r>
        <w:rPr>
          <w:rFonts w:ascii="Arial" w:cs="Arial" w:eastAsia="Arial" w:hAnsi="Arial"/>
          <w:sz w:val="19"/>
          <w:szCs w:val="19"/>
          <w:i w:val="1"/>
          <w:iCs w:val="1"/>
          <w:color w:val="auto"/>
        </w:rPr>
        <w:t>No Conflicts</w:t>
      </w:r>
      <w:r>
        <w:rPr>
          <w:rFonts w:ascii="Arial" w:cs="Arial" w:eastAsia="Arial" w:hAnsi="Arial"/>
          <w:sz w:val="19"/>
          <w:szCs w:val="19"/>
          <w:color w:val="auto"/>
        </w:rPr>
        <w:t>. The execution, delivery and performance by such Selling Stockholder of this Agreement, the</w:t>
      </w:r>
      <w:r>
        <w:rPr>
          <w:rFonts w:ascii="Arial" w:cs="Arial" w:eastAsia="Arial" w:hAnsi="Arial"/>
          <w:sz w:val="19"/>
          <w:szCs w:val="19"/>
          <w:i w:val="1"/>
          <w:iCs w:val="1"/>
          <w:color w:val="auto"/>
        </w:rPr>
        <w:t xml:space="preserve"> </w:t>
      </w:r>
      <w:r>
        <w:rPr>
          <w:rFonts w:ascii="Arial" w:cs="Arial" w:eastAsia="Arial" w:hAnsi="Arial"/>
          <w:sz w:val="19"/>
          <w:szCs w:val="19"/>
          <w:color w:val="auto"/>
        </w:rPr>
        <w:t>Power of Attorney and the Custody Agreement, the sale of the Shares to be sold by such Selling Stockholder and the consummation by such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authority having jurisdiction over such Selling Stockholder, except in the case of clauses (i) and (iii) above, for any conflicts, breaches, violations, defaults, liens, charges or encumbrances which would not reasonably be expected to materially adversely affect such Selling Stockholder’s ability to consummate the transactions contemplated by this Agreement.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firstLine="644"/>
        <w:spacing w:after="0" w:line="292" w:lineRule="auto"/>
        <w:tabs>
          <w:tab w:leader="none" w:pos="1293" w:val="left"/>
        </w:tabs>
        <w:numPr>
          <w:ilvl w:val="0"/>
          <w:numId w:val="171"/>
        </w:numPr>
        <w:rPr>
          <w:rFonts w:ascii="Arial" w:cs="Arial" w:eastAsia="Arial" w:hAnsi="Arial"/>
          <w:sz w:val="19"/>
          <w:szCs w:val="19"/>
          <w:color w:val="auto"/>
        </w:rPr>
      </w:pPr>
      <w:r>
        <w:rPr>
          <w:rFonts w:ascii="Arial" w:cs="Arial" w:eastAsia="Arial" w:hAnsi="Arial"/>
          <w:sz w:val="19"/>
          <w:szCs w:val="19"/>
          <w:i w:val="1"/>
          <w:iCs w:val="1"/>
          <w:color w:val="auto"/>
        </w:rPr>
        <w:t xml:space="preserve">Title to Shares. </w:t>
      </w:r>
      <w:r>
        <w:rPr>
          <w:rFonts w:ascii="Arial" w:cs="Arial" w:eastAsia="Arial" w:hAnsi="Arial"/>
          <w:sz w:val="19"/>
          <w:szCs w:val="19"/>
          <w:color w:val="auto"/>
        </w:rPr>
        <w:t>Such Selling Stockholder has good and valid title to the Shares to be sold at the Closing</w:t>
      </w:r>
      <w:r>
        <w:rPr>
          <w:rFonts w:ascii="Arial" w:cs="Arial" w:eastAsia="Arial" w:hAnsi="Arial"/>
          <w:sz w:val="19"/>
          <w:szCs w:val="19"/>
          <w:i w:val="1"/>
          <w:iCs w:val="1"/>
          <w:color w:val="auto"/>
        </w:rPr>
        <w:t xml:space="preserve"> </w:t>
      </w:r>
      <w:r>
        <w:rPr>
          <w:rFonts w:ascii="Arial" w:cs="Arial" w:eastAsia="Arial" w:hAnsi="Arial"/>
          <w:sz w:val="19"/>
          <w:szCs w:val="19"/>
          <w:color w:val="auto"/>
        </w:rPr>
        <w:t>Date or the Additional Closing Date, as the case may be, by such Selling Stockholder hereunder, free and clear of all liens, encumbrances, equities or adverse claims; such Selling Stockholder will have, immediately prior to the Closing Date or the Additional Closing Date, as the case may be, good and valid title to the Shares to be sold at the Closing Date or the Additional Closing Date, as the case may be, by such Selling Stockholder, free and clear of all liens, encumbrances, equities or adverse claims; and, upon delivery of such Shares and payment therefor pursuant hereto, good and valid title to such Shares, free and clear of all liens, encumbrances, equities or adverse claims, will pass to the several Underwriters.</w:t>
      </w:r>
    </w:p>
    <w:p>
      <w:pPr>
        <w:spacing w:after="0" w:line="150" w:lineRule="exact"/>
        <w:rPr>
          <w:rFonts w:ascii="Arial" w:cs="Arial" w:eastAsia="Arial" w:hAnsi="Arial"/>
          <w:sz w:val="19"/>
          <w:szCs w:val="19"/>
          <w:color w:val="auto"/>
        </w:rPr>
      </w:pPr>
    </w:p>
    <w:p>
      <w:pPr>
        <w:ind w:right="20" w:firstLine="644"/>
        <w:spacing w:after="0" w:line="253" w:lineRule="auto"/>
        <w:tabs>
          <w:tab w:leader="none" w:pos="1291" w:val="left"/>
        </w:tabs>
        <w:numPr>
          <w:ilvl w:val="0"/>
          <w:numId w:val="171"/>
        </w:numPr>
        <w:rPr>
          <w:rFonts w:ascii="Arial" w:cs="Arial" w:eastAsia="Arial" w:hAnsi="Arial"/>
          <w:sz w:val="22"/>
          <w:szCs w:val="22"/>
          <w:color w:val="auto"/>
        </w:rPr>
      </w:pPr>
      <w:r>
        <w:rPr>
          <w:rFonts w:ascii="Arial" w:cs="Arial" w:eastAsia="Arial" w:hAnsi="Arial"/>
          <w:sz w:val="22"/>
          <w:szCs w:val="22"/>
          <w:i w:val="1"/>
          <w:iCs w:val="1"/>
          <w:color w:val="auto"/>
        </w:rPr>
        <w:t xml:space="preserve">No Stabilization. </w:t>
      </w:r>
      <w:r>
        <w:rPr>
          <w:rFonts w:ascii="Arial" w:cs="Arial" w:eastAsia="Arial" w:hAnsi="Arial"/>
          <w:sz w:val="22"/>
          <w:szCs w:val="22"/>
          <w:color w:val="auto"/>
        </w:rPr>
        <w:t>Such Selling Stockholder has not taken and will not take, directly or indirectly, any action</w:t>
      </w:r>
      <w:r>
        <w:rPr>
          <w:rFonts w:ascii="Arial" w:cs="Arial" w:eastAsia="Arial" w:hAnsi="Arial"/>
          <w:sz w:val="22"/>
          <w:szCs w:val="22"/>
          <w:i w:val="1"/>
          <w:iCs w:val="1"/>
          <w:color w:val="auto"/>
        </w:rPr>
        <w:t xml:space="preserve"> </w:t>
      </w:r>
      <w:r>
        <w:rPr>
          <w:rFonts w:ascii="Arial" w:cs="Arial" w:eastAsia="Arial" w:hAnsi="Arial"/>
          <w:sz w:val="22"/>
          <w:szCs w:val="22"/>
          <w:color w:val="auto"/>
        </w:rPr>
        <w:t>designed to or that could reasonably be expected to cause or result in any stabilization or manipulation of the price of the Shares.</w:t>
      </w:r>
    </w:p>
    <w:p>
      <w:pPr>
        <w:sectPr>
          <w:pgSz w:w="11900" w:h="16838" w:orient="portrait"/>
          <w:cols w:equalWidth="0" w:num="1">
            <w:col w:w="10580"/>
          </w:cols>
          <w:pgMar w:left="980" w:top="1428" w:right="339" w:bottom="1440" w:gutter="0" w:footer="0" w:header="0"/>
        </w:sectPr>
      </w:pPr>
    </w:p>
    <w:bookmarkStart w:id="253" w:name="page254"/>
    <w:bookmarkEnd w:id="253"/>
    <w:p>
      <w:pPr>
        <w:ind w:left="-460" w:firstLine="644"/>
        <w:spacing w:after="0" w:line="285" w:lineRule="auto"/>
        <w:tabs>
          <w:tab w:leader="none" w:pos="833" w:val="left"/>
        </w:tabs>
        <w:numPr>
          <w:ilvl w:val="0"/>
          <w:numId w:val="172"/>
        </w:numPr>
        <w:rPr>
          <w:rFonts w:ascii="Arial" w:cs="Arial" w:eastAsia="Arial" w:hAnsi="Arial"/>
          <w:sz w:val="19"/>
          <w:szCs w:val="19"/>
          <w:color w:val="auto"/>
        </w:rPr>
      </w:pPr>
      <w:r>
        <w:rPr>
          <w:rFonts w:ascii="Arial" w:cs="Arial" w:eastAsia="Arial" w:hAnsi="Arial"/>
          <w:sz w:val="19"/>
          <w:szCs w:val="19"/>
          <w:i w:val="1"/>
          <w:iCs w:val="1"/>
          <w:color w:val="auto"/>
        </w:rPr>
        <w:t>Pricing Disclosure Package</w:t>
      </w:r>
      <w:r>
        <w:rPr>
          <w:rFonts w:ascii="Arial" w:cs="Arial" w:eastAsia="Arial" w:hAnsi="Arial"/>
          <w:sz w:val="19"/>
          <w:szCs w:val="19"/>
          <w:color w:val="auto"/>
        </w:rPr>
        <w:t>. The Pricing Disclosure Package, at the Applicable Time did not, and as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Selling Stockholder’s representations and warranties under this Section 4(e) shall only apply to any untrue statement of a material fact or omission to state a material fact made in reliance upon and in conformity with information furnished by such Selling Stockholder in writing for use in the Pricing Disclosure Package (it being understood and agreed upon that the only such information furnished in writing by any Selling Stockholder consists of the following information: its name, its address and the number of shares of Stock owned by such Selling Stockholder before and after the offering contemplated hereby and the other information with respect to such Selling Stockholder (other than percentages) that appears in the table and corresponding footnotes under the caption “Principal and Selling Stockholders” in contained Registration Statement or any amendment or supplement thereto (such information, the “Selling Stockholder Information”), and provided further, that such Selling Stockholder makes no representation or warranty with respect to any statements or omissions made in reliance upon and in conformity with information relating </w:t>
      </w:r>
      <w:r>
        <w:rPr>
          <w:rFonts w:ascii="Arial" w:cs="Arial" w:eastAsia="Arial" w:hAnsi="Arial"/>
          <w:sz w:val="19"/>
          <w:szCs w:val="19"/>
          <w:i w:val="1"/>
          <w:iCs w:val="1"/>
          <w:color w:val="auto"/>
        </w:rPr>
        <w:t>to</w:t>
      </w:r>
      <w:r>
        <w:rPr>
          <w:rFonts w:ascii="Arial" w:cs="Arial" w:eastAsia="Arial" w:hAnsi="Arial"/>
          <w:sz w:val="19"/>
          <w:szCs w:val="19"/>
          <w:color w:val="auto"/>
        </w:rPr>
        <w:t xml:space="preserve">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460" w:firstLine="644"/>
        <w:spacing w:after="0" w:line="260" w:lineRule="auto"/>
        <w:tabs>
          <w:tab w:leader="none" w:pos="836" w:val="left"/>
        </w:tabs>
        <w:numPr>
          <w:ilvl w:val="0"/>
          <w:numId w:val="172"/>
        </w:numPr>
        <w:rPr>
          <w:rFonts w:ascii="Arial" w:cs="Arial" w:eastAsia="Arial" w:hAnsi="Arial"/>
          <w:sz w:val="21"/>
          <w:szCs w:val="21"/>
          <w:color w:val="auto"/>
        </w:rPr>
      </w:pPr>
      <w:r>
        <w:rPr>
          <w:rFonts w:ascii="Arial" w:cs="Arial" w:eastAsia="Arial" w:hAnsi="Arial"/>
          <w:sz w:val="21"/>
          <w:szCs w:val="21"/>
          <w:i w:val="1"/>
          <w:iCs w:val="1"/>
          <w:color w:val="auto"/>
        </w:rPr>
        <w:t xml:space="preserve">Issuer Free Writing Prospectus. </w:t>
      </w:r>
      <w:r>
        <w:rPr>
          <w:rFonts w:ascii="Arial" w:cs="Arial" w:eastAsia="Arial" w:hAnsi="Arial"/>
          <w:sz w:val="21"/>
          <w:szCs w:val="21"/>
          <w:color w:val="auto"/>
        </w:rPr>
        <w:t>Other than the Registration Statement, the Preliminary Prospectus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Representative.</w:t>
      </w:r>
    </w:p>
    <w:p>
      <w:pPr>
        <w:spacing w:after="0" w:line="180" w:lineRule="exact"/>
        <w:rPr>
          <w:rFonts w:ascii="Arial" w:cs="Arial" w:eastAsia="Arial" w:hAnsi="Arial"/>
          <w:sz w:val="21"/>
          <w:szCs w:val="21"/>
          <w:color w:val="auto"/>
        </w:rPr>
      </w:pPr>
    </w:p>
    <w:p>
      <w:pPr>
        <w:ind w:left="-460" w:firstLine="644"/>
        <w:spacing w:after="0" w:line="259" w:lineRule="auto"/>
        <w:tabs>
          <w:tab w:leader="none" w:pos="831" w:val="left"/>
        </w:tabs>
        <w:numPr>
          <w:ilvl w:val="0"/>
          <w:numId w:val="172"/>
        </w:numPr>
        <w:rPr>
          <w:rFonts w:ascii="Arial" w:cs="Arial" w:eastAsia="Arial" w:hAnsi="Arial"/>
          <w:sz w:val="21"/>
          <w:szCs w:val="21"/>
          <w:color w:val="auto"/>
        </w:rPr>
      </w:pPr>
      <w:r>
        <w:rPr>
          <w:rFonts w:ascii="Arial" w:cs="Arial" w:eastAsia="Arial" w:hAnsi="Arial"/>
          <w:sz w:val="21"/>
          <w:szCs w:val="21"/>
          <w:i w:val="1"/>
          <w:iCs w:val="1"/>
          <w:color w:val="auto"/>
        </w:rPr>
        <w:t xml:space="preserve">Registration Statement and Prospectus. </w:t>
      </w:r>
      <w:r>
        <w:rPr>
          <w:rFonts w:ascii="Arial" w:cs="Arial" w:eastAsia="Arial" w:hAnsi="Arial"/>
          <w:sz w:val="21"/>
          <w:szCs w:val="21"/>
          <w:color w:val="auto"/>
        </w:rPr>
        <w:t>As of the applicable effective date of the Registration Statement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and any post-effective amendment 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Selling Stockholder’s representations and warranties under this Section 4(g) shall only apply to any untrue statement of a material</w:t>
      </w:r>
    </w:p>
    <w:p>
      <w:pPr>
        <w:sectPr>
          <w:pgSz w:w="11900" w:h="16838" w:orient="portrait"/>
          <w:cols w:equalWidth="0" w:num="1">
            <w:col w:w="10080"/>
          </w:cols>
          <w:pgMar w:left="1440" w:top="1428" w:right="379" w:bottom="1440" w:gutter="0" w:footer="0" w:header="0"/>
        </w:sectPr>
      </w:pPr>
    </w:p>
    <w:bookmarkStart w:id="254" w:name="page255"/>
    <w:bookmarkEnd w:id="254"/>
    <w:p>
      <w:pPr>
        <w:ind w:left="4"/>
        <w:spacing w:after="0" w:line="246" w:lineRule="auto"/>
        <w:rPr>
          <w:sz w:val="20"/>
          <w:szCs w:val="20"/>
          <w:color w:val="auto"/>
        </w:rPr>
      </w:pPr>
      <w:r>
        <w:rPr>
          <w:rFonts w:ascii="Arial" w:cs="Arial" w:eastAsia="Arial" w:hAnsi="Arial"/>
          <w:sz w:val="22"/>
          <w:szCs w:val="22"/>
          <w:color w:val="auto"/>
        </w:rPr>
        <w:t xml:space="preserve">fact or omission to state a material fact made in reliance upon and in conformity with the Selling Stockholder Information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such Selling Stockholder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the Pricing Disclosure Package and the Prospectus and any amendment or supplement thereto, it being understood and agreed that the only such information furnished by any Underwriter consists of the information described as such in Section 9(c) hereof.</w:t>
      </w:r>
    </w:p>
    <w:p>
      <w:pPr>
        <w:spacing w:after="0" w:line="196" w:lineRule="exact"/>
        <w:rPr>
          <w:sz w:val="20"/>
          <w:szCs w:val="20"/>
          <w:color w:val="auto"/>
        </w:rPr>
      </w:pPr>
    </w:p>
    <w:p>
      <w:pPr>
        <w:ind w:left="4" w:right="60" w:firstLine="644"/>
        <w:spacing w:after="0" w:line="250" w:lineRule="auto"/>
        <w:tabs>
          <w:tab w:leader="none" w:pos="1295" w:val="left"/>
        </w:tabs>
        <w:numPr>
          <w:ilvl w:val="1"/>
          <w:numId w:val="173"/>
        </w:numPr>
        <w:rPr>
          <w:rFonts w:ascii="Arial" w:cs="Arial" w:eastAsia="Arial" w:hAnsi="Arial"/>
          <w:sz w:val="22"/>
          <w:szCs w:val="22"/>
          <w:color w:val="auto"/>
        </w:rPr>
      </w:pPr>
      <w:r>
        <w:rPr>
          <w:rFonts w:ascii="Arial" w:cs="Arial" w:eastAsia="Arial" w:hAnsi="Arial"/>
          <w:sz w:val="22"/>
          <w:szCs w:val="22"/>
          <w:i w:val="1"/>
          <w:iCs w:val="1"/>
          <w:color w:val="auto"/>
        </w:rPr>
        <w:t>Material Information</w:t>
      </w:r>
      <w:r>
        <w:rPr>
          <w:rFonts w:ascii="Arial" w:cs="Arial" w:eastAsia="Arial" w:hAnsi="Arial"/>
          <w:sz w:val="22"/>
          <w:szCs w:val="22"/>
          <w:color w:val="auto"/>
        </w:rPr>
        <w:t>. As of the date hereof and as of the Closing Date and as of the Additional Closing</w:t>
      </w:r>
      <w:r>
        <w:rPr>
          <w:rFonts w:ascii="Arial" w:cs="Arial" w:eastAsia="Arial" w:hAnsi="Arial"/>
          <w:sz w:val="22"/>
          <w:szCs w:val="22"/>
          <w:i w:val="1"/>
          <w:iCs w:val="1"/>
          <w:color w:val="auto"/>
        </w:rPr>
        <w:t xml:space="preserve"> </w:t>
      </w:r>
      <w:r>
        <w:rPr>
          <w:rFonts w:ascii="Arial" w:cs="Arial" w:eastAsia="Arial" w:hAnsi="Arial"/>
          <w:sz w:val="22"/>
          <w:szCs w:val="22"/>
          <w:color w:val="auto"/>
        </w:rPr>
        <w:t>Date, as the case may be, the sale of the Shares by such Selling Stockholder is not and will not be prompted by any material information concerning the Company which is not set forth in the Registration Statement, the Pricing Disclosure Package or the Prospectus.</w:t>
      </w:r>
    </w:p>
    <w:p>
      <w:pPr>
        <w:spacing w:after="0" w:line="187" w:lineRule="exact"/>
        <w:rPr>
          <w:rFonts w:ascii="Arial" w:cs="Arial" w:eastAsia="Arial" w:hAnsi="Arial"/>
          <w:sz w:val="22"/>
          <w:szCs w:val="22"/>
          <w:color w:val="auto"/>
        </w:rPr>
      </w:pPr>
    </w:p>
    <w:p>
      <w:pPr>
        <w:ind w:left="4" w:right="80" w:firstLine="644"/>
        <w:spacing w:after="0" w:line="284" w:lineRule="auto"/>
        <w:tabs>
          <w:tab w:leader="none" w:pos="1288" w:val="left"/>
        </w:tabs>
        <w:numPr>
          <w:ilvl w:val="1"/>
          <w:numId w:val="173"/>
        </w:numPr>
        <w:rPr>
          <w:rFonts w:ascii="Arial" w:cs="Arial" w:eastAsia="Arial" w:hAnsi="Arial"/>
          <w:sz w:val="19"/>
          <w:szCs w:val="19"/>
          <w:color w:val="auto"/>
        </w:rPr>
      </w:pPr>
      <w:r>
        <w:rPr>
          <w:rFonts w:ascii="Arial" w:cs="Arial" w:eastAsia="Arial" w:hAnsi="Arial"/>
          <w:sz w:val="19"/>
          <w:szCs w:val="19"/>
          <w:i w:val="1"/>
          <w:iCs w:val="1"/>
          <w:color w:val="auto"/>
        </w:rPr>
        <w:t xml:space="preserve">No Unlawful Payments. </w:t>
      </w:r>
      <w:r>
        <w:rPr>
          <w:rFonts w:ascii="Arial" w:cs="Arial" w:eastAsia="Arial" w:hAnsi="Arial"/>
          <w:sz w:val="19"/>
          <w:szCs w:val="19"/>
          <w:color w:val="auto"/>
        </w:rPr>
        <w:t>Neither such Selling Stockholder nor any of its subsidiaries, nor any director,</w:t>
      </w:r>
      <w:r>
        <w:rPr>
          <w:rFonts w:ascii="Arial" w:cs="Arial" w:eastAsia="Arial" w:hAnsi="Arial"/>
          <w:sz w:val="19"/>
          <w:szCs w:val="19"/>
          <w:i w:val="1"/>
          <w:iCs w:val="1"/>
          <w:color w:val="auto"/>
        </w:rPr>
        <w:t xml:space="preserve"> </w:t>
      </w:r>
      <w:r>
        <w:rPr>
          <w:rFonts w:ascii="Arial" w:cs="Arial" w:eastAsia="Arial" w:hAnsi="Arial"/>
          <w:sz w:val="19"/>
          <w:szCs w:val="19"/>
          <w:color w:val="auto"/>
        </w:rPr>
        <w:t>officer or employee of such Selling Stockholder or any of its subsidiaries nor, to the knowledge of such Selling Stockholder, any agent, affiliate or other person associated with or acting on behalf of such Selling Stockholder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Arial" w:cs="Arial" w:eastAsia="Arial" w:hAnsi="Arial"/>
          <w:sz w:val="19"/>
          <w:szCs w:val="19"/>
          <w:color w:val="auto"/>
        </w:rPr>
      </w:pPr>
    </w:p>
    <w:p>
      <w:pPr>
        <w:ind w:left="4" w:right="20" w:hanging="4"/>
        <w:spacing w:after="0" w:line="286" w:lineRule="auto"/>
        <w:tabs>
          <w:tab w:leader="none" w:pos="38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Such Selling Stockholder and its subsidiaries have instituted, maintain and enforce, and will continue to maintain and enforce policies and procedures designed to promote and ensure compliance with all applicable anti-bribery and anti-corruption laws. Neither such Selling Stockholder nor any of its subsidiaries will use, directly or indirectly, the proceeds of the offering in furtherance of an offer, payment, promise to pay, or authorization of the payment or giving of money, or anything else of value, to any person in violation of any applicable anti-bribery or anti-corruption laws.</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4" w:right="680" w:firstLine="644"/>
        <w:spacing w:after="0" w:line="263" w:lineRule="auto"/>
        <w:tabs>
          <w:tab w:leader="none" w:pos="1288" w:val="left"/>
        </w:tabs>
        <w:numPr>
          <w:ilvl w:val="1"/>
          <w:numId w:val="174"/>
        </w:numPr>
        <w:rPr>
          <w:rFonts w:ascii="Arial" w:cs="Arial" w:eastAsia="Arial" w:hAnsi="Arial"/>
          <w:sz w:val="22"/>
          <w:szCs w:val="22"/>
          <w:color w:val="auto"/>
        </w:rPr>
      </w:pPr>
      <w:r>
        <w:rPr>
          <w:rFonts w:ascii="Arial" w:cs="Arial" w:eastAsia="Arial" w:hAnsi="Arial"/>
          <w:sz w:val="22"/>
          <w:szCs w:val="22"/>
          <w:i w:val="1"/>
          <w:iCs w:val="1"/>
          <w:color w:val="auto"/>
        </w:rPr>
        <w:t>Compliance with Anti-Money Laundering Laws</w:t>
      </w:r>
      <w:r>
        <w:rPr>
          <w:rFonts w:ascii="Arial" w:cs="Arial" w:eastAsia="Arial" w:hAnsi="Arial"/>
          <w:sz w:val="22"/>
          <w:szCs w:val="22"/>
          <w:color w:val="auto"/>
        </w:rPr>
        <w:t>. The operations of such Selling Stockholder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are and have been conducted at all times in</w:t>
      </w:r>
    </w:p>
    <w:p>
      <w:pPr>
        <w:sectPr>
          <w:pgSz w:w="11900" w:h="16838" w:orient="portrait"/>
          <w:cols w:equalWidth="0" w:num="1">
            <w:col w:w="10544"/>
          </w:cols>
          <w:pgMar w:left="976" w:top="1428" w:right="379" w:bottom="1440" w:gutter="0" w:footer="0" w:header="0"/>
        </w:sectPr>
      </w:pPr>
    </w:p>
    <w:bookmarkStart w:id="255" w:name="page256"/>
    <w:bookmarkEnd w:id="255"/>
    <w:p>
      <w:pPr>
        <w:ind w:left="4"/>
        <w:spacing w:after="0" w:line="312" w:lineRule="auto"/>
        <w:rPr>
          <w:sz w:val="20"/>
          <w:szCs w:val="20"/>
          <w:color w:val="auto"/>
        </w:rPr>
      </w:pPr>
      <w:r>
        <w:rPr>
          <w:rFonts w:ascii="Arial" w:cs="Arial" w:eastAsia="Arial" w:hAnsi="Arial"/>
          <w:sz w:val="19"/>
          <w:szCs w:val="19"/>
          <w:color w:val="auto"/>
        </w:rPr>
        <w:t>compliance with applicable Anti-Money Laundering Laws, and no action, suit or proceeding by or before any court or governmental agency, authority or body or any arbitrator involving such Selling Stockholder or any of its subsidiaries with respect to the Anti-Money Laundering Laws is pending or, to the knowledge of such Selling Stockholder, threatened.</w:t>
      </w:r>
    </w:p>
    <w:p>
      <w:pPr>
        <w:spacing w:after="0" w:line="133" w:lineRule="exact"/>
        <w:rPr>
          <w:sz w:val="20"/>
          <w:szCs w:val="20"/>
          <w:color w:val="auto"/>
        </w:rPr>
      </w:pPr>
    </w:p>
    <w:p>
      <w:pPr>
        <w:ind w:left="4" w:firstLine="644"/>
        <w:spacing w:after="0" w:line="257" w:lineRule="auto"/>
        <w:tabs>
          <w:tab w:leader="none" w:pos="1295" w:val="left"/>
        </w:tabs>
        <w:numPr>
          <w:ilvl w:val="1"/>
          <w:numId w:val="175"/>
        </w:numPr>
        <w:rPr>
          <w:rFonts w:ascii="Arial" w:cs="Arial" w:eastAsia="Arial" w:hAnsi="Arial"/>
          <w:sz w:val="21"/>
          <w:szCs w:val="21"/>
          <w:color w:val="auto"/>
        </w:rPr>
      </w:pPr>
      <w:r>
        <w:rPr>
          <w:rFonts w:ascii="Arial" w:cs="Arial" w:eastAsia="Arial" w:hAnsi="Arial"/>
          <w:sz w:val="21"/>
          <w:szCs w:val="21"/>
          <w:i w:val="1"/>
          <w:iCs w:val="1"/>
          <w:color w:val="auto"/>
        </w:rPr>
        <w:t xml:space="preserve">No Conflicts with Sanctions Laws. </w:t>
      </w:r>
      <w:r>
        <w:rPr>
          <w:rFonts w:ascii="Arial" w:cs="Arial" w:eastAsia="Arial" w:hAnsi="Arial"/>
          <w:sz w:val="21"/>
          <w:szCs w:val="21"/>
          <w:color w:val="auto"/>
        </w:rPr>
        <w:t>Neither such Selling Stockholder nor any of its subsidiaries, directors,</w:t>
      </w:r>
      <w:r>
        <w:rPr>
          <w:rFonts w:ascii="Arial" w:cs="Arial" w:eastAsia="Arial" w:hAnsi="Arial"/>
          <w:sz w:val="21"/>
          <w:szCs w:val="21"/>
          <w:i w:val="1"/>
          <w:iCs w:val="1"/>
          <w:color w:val="auto"/>
        </w:rPr>
        <w:t xml:space="preserve"> </w:t>
      </w:r>
      <w:r>
        <w:rPr>
          <w:rFonts w:ascii="Arial" w:cs="Arial" w:eastAsia="Arial" w:hAnsi="Arial"/>
          <w:sz w:val="21"/>
          <w:szCs w:val="21"/>
          <w:color w:val="auto"/>
        </w:rPr>
        <w:t>officers or employees, nor, to the knowledge of such Selling Stockholder, any agent, affiliate or other person associated with or acting on behalf of such Selling Stockholder or any of its subsidiaries is currently the subject or the target of any Sanctions, nor is such Selling Stockholder, any of its subsidiaries located, organized or resident in a Sanctioned Country; and 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such Selling Stockholder and its subsidiaries have not knowingly engaged in, are not now knowingly engaged in any dealings or transactions with any person that at the time of the dealing or transaction is or was the subject or the target of Sanctions or with any Sanctioned Country.</w:t>
      </w:r>
    </w:p>
    <w:p>
      <w:pPr>
        <w:spacing w:after="0" w:line="188" w:lineRule="exact"/>
        <w:rPr>
          <w:rFonts w:ascii="Arial" w:cs="Arial" w:eastAsia="Arial" w:hAnsi="Arial"/>
          <w:sz w:val="21"/>
          <w:szCs w:val="21"/>
          <w:color w:val="auto"/>
        </w:rPr>
      </w:pPr>
    </w:p>
    <w:p>
      <w:pPr>
        <w:ind w:left="4" w:right="80" w:firstLine="644"/>
        <w:spacing w:after="0" w:line="263" w:lineRule="auto"/>
        <w:tabs>
          <w:tab w:leader="none" w:pos="1288" w:val="left"/>
        </w:tabs>
        <w:numPr>
          <w:ilvl w:val="1"/>
          <w:numId w:val="175"/>
        </w:numPr>
        <w:rPr>
          <w:rFonts w:ascii="Arial" w:cs="Arial" w:eastAsia="Arial" w:hAnsi="Arial"/>
          <w:sz w:val="22"/>
          <w:szCs w:val="22"/>
          <w:color w:val="auto"/>
        </w:rPr>
      </w:pPr>
      <w:r>
        <w:rPr>
          <w:rFonts w:ascii="Arial" w:cs="Arial" w:eastAsia="Arial" w:hAnsi="Arial"/>
          <w:sz w:val="22"/>
          <w:szCs w:val="22"/>
          <w:i w:val="1"/>
          <w:iCs w:val="1"/>
          <w:color w:val="auto"/>
        </w:rPr>
        <w:t xml:space="preserve">Organization and Good Standing. </w:t>
      </w:r>
      <w:r>
        <w:rPr>
          <w:rFonts w:ascii="Arial" w:cs="Arial" w:eastAsia="Arial" w:hAnsi="Arial"/>
          <w:sz w:val="22"/>
          <w:szCs w:val="22"/>
          <w:color w:val="auto"/>
        </w:rPr>
        <w:t>Such Selling Stockholder is validly existing and in good standing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laws of its respective jurisdictions of organization.</w:t>
      </w:r>
    </w:p>
    <w:p>
      <w:pPr>
        <w:spacing w:after="0" w:line="174" w:lineRule="exact"/>
        <w:rPr>
          <w:rFonts w:ascii="Arial" w:cs="Arial" w:eastAsia="Arial" w:hAnsi="Arial"/>
          <w:sz w:val="22"/>
          <w:szCs w:val="22"/>
          <w:color w:val="auto"/>
        </w:rPr>
      </w:pPr>
    </w:p>
    <w:p>
      <w:pPr>
        <w:jc w:val="both"/>
        <w:ind w:left="4" w:right="40" w:firstLine="644"/>
        <w:spacing w:after="0" w:line="253" w:lineRule="auto"/>
        <w:tabs>
          <w:tab w:leader="none" w:pos="1288" w:val="left"/>
        </w:tabs>
        <w:numPr>
          <w:ilvl w:val="1"/>
          <w:numId w:val="175"/>
        </w:numPr>
        <w:rPr>
          <w:rFonts w:ascii="Arial" w:cs="Arial" w:eastAsia="Arial" w:hAnsi="Arial"/>
          <w:sz w:val="22"/>
          <w:szCs w:val="22"/>
          <w:color w:val="auto"/>
        </w:rPr>
      </w:pPr>
      <w:r>
        <w:rPr>
          <w:rFonts w:ascii="Arial" w:cs="Arial" w:eastAsia="Arial" w:hAnsi="Arial"/>
          <w:sz w:val="22"/>
          <w:szCs w:val="22"/>
          <w:i w:val="1"/>
          <w:iCs w:val="1"/>
          <w:color w:val="auto"/>
        </w:rPr>
        <w:t xml:space="preserve">ERISA. </w:t>
      </w:r>
      <w:r>
        <w:rPr>
          <w:rFonts w:ascii="Arial" w:cs="Arial" w:eastAsia="Arial" w:hAnsi="Arial"/>
          <w:sz w:val="22"/>
          <w:szCs w:val="22"/>
          <w:color w:val="auto"/>
        </w:rPr>
        <w:t>Such Selling Stockholder is not (i) an employee benefit plan subject to Title I of ERISA, (ii) a plan</w:t>
      </w:r>
      <w:r>
        <w:rPr>
          <w:rFonts w:ascii="Arial" w:cs="Arial" w:eastAsia="Arial" w:hAnsi="Arial"/>
          <w:sz w:val="22"/>
          <w:szCs w:val="22"/>
          <w:i w:val="1"/>
          <w:iCs w:val="1"/>
          <w:color w:val="auto"/>
        </w:rPr>
        <w:t xml:space="preserve"> </w:t>
      </w:r>
      <w:r>
        <w:rPr>
          <w:rFonts w:ascii="Arial" w:cs="Arial" w:eastAsia="Arial" w:hAnsi="Arial"/>
          <w:sz w:val="22"/>
          <w:szCs w:val="22"/>
          <w:color w:val="auto"/>
        </w:rPr>
        <w:t>or account subject to Section 4975 of the Code or (iii) an entity deemed to hold “plan assets” of any such plan or account under Section 3(42) of ERISA, 29 C.F.R. 2510.3-101, or otherwise.</w:t>
      </w:r>
    </w:p>
    <w:p>
      <w:pPr>
        <w:spacing w:after="0" w:line="185" w:lineRule="exact"/>
        <w:rPr>
          <w:rFonts w:ascii="Arial" w:cs="Arial" w:eastAsia="Arial" w:hAnsi="Arial"/>
          <w:sz w:val="22"/>
          <w:szCs w:val="22"/>
          <w:color w:val="auto"/>
        </w:rPr>
      </w:pPr>
    </w:p>
    <w:p>
      <w:pPr>
        <w:ind w:left="644" w:hanging="644"/>
        <w:spacing w:after="0"/>
        <w:tabs>
          <w:tab w:leader="none" w:pos="644" w:val="left"/>
        </w:tabs>
        <w:numPr>
          <w:ilvl w:val="0"/>
          <w:numId w:val="176"/>
        </w:numPr>
        <w:rPr>
          <w:rFonts w:ascii="Arial" w:cs="Arial" w:eastAsia="Arial" w:hAnsi="Arial"/>
          <w:sz w:val="21"/>
          <w:szCs w:val="21"/>
          <w:color w:val="auto"/>
        </w:rPr>
      </w:pPr>
      <w:r>
        <w:rPr>
          <w:rFonts w:ascii="Arial" w:cs="Arial" w:eastAsia="Arial" w:hAnsi="Arial"/>
          <w:sz w:val="21"/>
          <w:szCs w:val="21"/>
          <w:u w:val="single" w:color="auto"/>
          <w:color w:val="auto"/>
        </w:rPr>
        <w:t>Further Agreements of the Company</w:t>
      </w:r>
      <w:r>
        <w:rPr>
          <w:rFonts w:ascii="Arial" w:cs="Arial" w:eastAsia="Arial" w:hAnsi="Arial"/>
          <w:sz w:val="21"/>
          <w:szCs w:val="21"/>
          <w:color w:val="auto"/>
        </w:rPr>
        <w:t>. The Company covenants and agrees with each Underwriter that:</w:t>
      </w:r>
    </w:p>
    <w:p>
      <w:pPr>
        <w:spacing w:after="0" w:line="231" w:lineRule="exact"/>
        <w:rPr>
          <w:rFonts w:ascii="Arial" w:cs="Arial" w:eastAsia="Arial" w:hAnsi="Arial"/>
          <w:sz w:val="21"/>
          <w:szCs w:val="21"/>
          <w:color w:val="auto"/>
        </w:rPr>
      </w:pPr>
    </w:p>
    <w:p>
      <w:pPr>
        <w:ind w:left="4" w:right="20" w:firstLine="644"/>
        <w:spacing w:after="0" w:line="261" w:lineRule="auto"/>
        <w:tabs>
          <w:tab w:leader="none" w:pos="1297" w:val="left"/>
        </w:tabs>
        <w:numPr>
          <w:ilvl w:val="1"/>
          <w:numId w:val="176"/>
        </w:numPr>
        <w:rPr>
          <w:rFonts w:ascii="Arial" w:cs="Arial" w:eastAsia="Arial" w:hAnsi="Arial"/>
          <w:sz w:val="21"/>
          <w:szCs w:val="21"/>
          <w:color w:val="auto"/>
        </w:rPr>
      </w:pPr>
      <w:r>
        <w:rPr>
          <w:rFonts w:ascii="Arial" w:cs="Arial" w:eastAsia="Arial" w:hAnsi="Arial"/>
          <w:sz w:val="21"/>
          <w:szCs w:val="21"/>
          <w:i w:val="1"/>
          <w:iCs w:val="1"/>
          <w:color w:val="auto"/>
        </w:rPr>
        <w:t xml:space="preserve">Required Filings. </w:t>
      </w:r>
      <w:r>
        <w:rPr>
          <w:rFonts w:ascii="Arial" w:cs="Arial" w:eastAsia="Arial" w:hAnsi="Arial"/>
          <w:sz w:val="21"/>
          <w:szCs w:val="21"/>
          <w:color w:val="auto"/>
        </w:rPr>
        <w:t>The Company will file the final Prospectus with the Commission within the time periods</w:t>
      </w:r>
      <w:r>
        <w:rPr>
          <w:rFonts w:ascii="Arial" w:cs="Arial" w:eastAsia="Arial" w:hAnsi="Arial"/>
          <w:sz w:val="21"/>
          <w:szCs w:val="21"/>
          <w:i w:val="1"/>
          <w:iCs w:val="1"/>
          <w:color w:val="auto"/>
        </w:rPr>
        <w:t xml:space="preserve"> </w:t>
      </w:r>
      <w:r>
        <w:rPr>
          <w:rFonts w:ascii="Arial" w:cs="Arial" w:eastAsia="Arial" w:hAnsi="Arial"/>
          <w:sz w:val="21"/>
          <w:szCs w:val="21"/>
          <w:color w:val="auto"/>
        </w:rPr>
        <w:t>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ectPr>
          <w:pgSz w:w="11900" w:h="16838" w:orient="portrait"/>
          <w:cols w:equalWidth="0" w:num="1">
            <w:col w:w="10544"/>
          </w:cols>
          <w:pgMar w:left="976" w:top="1428" w:right="379" w:bottom="1440" w:gutter="0" w:footer="0" w:header="0"/>
        </w:sectPr>
      </w:pPr>
    </w:p>
    <w:bookmarkStart w:id="256" w:name="page257"/>
    <w:bookmarkEnd w:id="256"/>
    <w:p>
      <w:pPr>
        <w:ind w:left="-460" w:right="20" w:firstLine="644"/>
        <w:spacing w:after="0" w:line="289" w:lineRule="auto"/>
        <w:tabs>
          <w:tab w:leader="none" w:pos="831" w:val="left"/>
        </w:tabs>
        <w:numPr>
          <w:ilvl w:val="0"/>
          <w:numId w:val="177"/>
        </w:numPr>
        <w:rPr>
          <w:rFonts w:ascii="Arial" w:cs="Arial" w:eastAsia="Arial" w:hAnsi="Arial"/>
          <w:sz w:val="19"/>
          <w:szCs w:val="19"/>
          <w:color w:val="auto"/>
        </w:rPr>
      </w:pPr>
      <w:r>
        <w:rPr>
          <w:rFonts w:ascii="Arial" w:cs="Arial" w:eastAsia="Arial" w:hAnsi="Arial"/>
          <w:sz w:val="19"/>
          <w:szCs w:val="19"/>
          <w:i w:val="1"/>
          <w:iCs w:val="1"/>
          <w:color w:val="auto"/>
        </w:rPr>
        <w:t xml:space="preserve">Delivery of Copies. </w:t>
      </w:r>
      <w:r>
        <w:rPr>
          <w:rFonts w:ascii="Arial" w:cs="Arial" w:eastAsia="Arial" w:hAnsi="Arial"/>
          <w:sz w:val="19"/>
          <w:szCs w:val="19"/>
          <w:color w:val="auto"/>
        </w:rPr>
        <w:t>The Company will deliver, without charge, (i) to the Representatives, three signed</w:t>
      </w:r>
      <w:r>
        <w:rPr>
          <w:rFonts w:ascii="Arial" w:cs="Arial" w:eastAsia="Arial" w:hAnsi="Arial"/>
          <w:sz w:val="19"/>
          <w:szCs w:val="19"/>
          <w:i w:val="1"/>
          <w:iCs w:val="1"/>
          <w:color w:val="auto"/>
        </w:rPr>
        <w:t xml:space="preserve"> </w:t>
      </w:r>
      <w:r>
        <w:rPr>
          <w:rFonts w:ascii="Arial" w:cs="Arial" w:eastAsia="Arial" w:hAnsi="Arial"/>
          <w:sz w:val="19"/>
          <w:szCs w:val="19"/>
          <w:color w:val="auto"/>
        </w:rPr>
        <w:t>copies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56" w:lineRule="exact"/>
        <w:rPr>
          <w:rFonts w:ascii="Arial" w:cs="Arial" w:eastAsia="Arial" w:hAnsi="Arial"/>
          <w:sz w:val="19"/>
          <w:szCs w:val="19"/>
          <w:color w:val="auto"/>
        </w:rPr>
      </w:pPr>
    </w:p>
    <w:p>
      <w:pPr>
        <w:ind w:left="-460" w:firstLine="644"/>
        <w:spacing w:after="0" w:line="294" w:lineRule="auto"/>
        <w:tabs>
          <w:tab w:leader="none" w:pos="833" w:val="left"/>
        </w:tabs>
        <w:numPr>
          <w:ilvl w:val="0"/>
          <w:numId w:val="177"/>
        </w:numPr>
        <w:rPr>
          <w:rFonts w:ascii="Arial" w:cs="Arial" w:eastAsia="Arial" w:hAnsi="Arial"/>
          <w:sz w:val="19"/>
          <w:szCs w:val="19"/>
          <w:color w:val="auto"/>
        </w:rPr>
      </w:pPr>
      <w:r>
        <w:rPr>
          <w:rFonts w:ascii="Arial" w:cs="Arial" w:eastAsia="Arial" w:hAnsi="Arial"/>
          <w:sz w:val="19"/>
          <w:szCs w:val="19"/>
          <w:i w:val="1"/>
          <w:iCs w:val="1"/>
          <w:color w:val="auto"/>
        </w:rPr>
        <w:t xml:space="preserve">Amendments or Supplements, Issuer Free Writing Prospectuses. </w:t>
      </w:r>
      <w:r>
        <w:rPr>
          <w:rFonts w:ascii="Arial" w:cs="Arial" w:eastAsia="Arial" w:hAnsi="Arial"/>
          <w:sz w:val="19"/>
          <w:szCs w:val="19"/>
          <w:color w:val="auto"/>
        </w:rPr>
        <w:t>Before making, preparing, using,</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authorizing, approving, referring to or 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149" w:lineRule="exact"/>
        <w:rPr>
          <w:rFonts w:ascii="Arial" w:cs="Arial" w:eastAsia="Arial" w:hAnsi="Arial"/>
          <w:sz w:val="19"/>
          <w:szCs w:val="19"/>
          <w:color w:val="auto"/>
        </w:rPr>
      </w:pPr>
    </w:p>
    <w:p>
      <w:pPr>
        <w:ind w:left="-460" w:firstLine="644"/>
        <w:spacing w:after="0" w:line="286" w:lineRule="auto"/>
        <w:tabs>
          <w:tab w:leader="none" w:pos="831" w:val="left"/>
        </w:tabs>
        <w:numPr>
          <w:ilvl w:val="0"/>
          <w:numId w:val="177"/>
        </w:numPr>
        <w:rPr>
          <w:rFonts w:ascii="Arial" w:cs="Arial" w:eastAsia="Arial" w:hAnsi="Arial"/>
          <w:sz w:val="19"/>
          <w:szCs w:val="19"/>
          <w:color w:val="auto"/>
        </w:rPr>
      </w:pPr>
      <w:r>
        <w:rPr>
          <w:rFonts w:ascii="Arial" w:cs="Arial" w:eastAsia="Arial" w:hAnsi="Arial"/>
          <w:sz w:val="19"/>
          <w:szCs w:val="19"/>
          <w:i w:val="1"/>
          <w:iCs w:val="1"/>
          <w:color w:val="auto"/>
        </w:rPr>
        <w:t xml:space="preserve">Notice to the Representatives. </w:t>
      </w:r>
      <w:r>
        <w:rPr>
          <w:rFonts w:ascii="Arial" w:cs="Arial" w:eastAsia="Arial" w:hAnsi="Arial"/>
          <w:sz w:val="19"/>
          <w:szCs w:val="19"/>
          <w:color w:val="auto"/>
        </w:rPr>
        <w:t>The Company will advise the Representatives promptly, and confirm such</w:t>
      </w:r>
      <w:r>
        <w:rPr>
          <w:rFonts w:ascii="Arial" w:cs="Arial" w:eastAsia="Arial" w:hAnsi="Arial"/>
          <w:sz w:val="19"/>
          <w:szCs w:val="19"/>
          <w:i w:val="1"/>
          <w:iCs w:val="1"/>
          <w:color w:val="auto"/>
        </w:rPr>
        <w:t xml:space="preserve"> </w:t>
      </w:r>
      <w:r>
        <w:rPr>
          <w:rFonts w:ascii="Arial" w:cs="Arial" w:eastAsia="Arial" w:hAnsi="Arial"/>
          <w:sz w:val="19"/>
          <w:szCs w:val="19"/>
          <w:color w:val="auto"/>
        </w:rPr>
        <w:t>advice in writing, (i) when the Registration Statement has become effective; (ii) when any amendment to the Registration Statement has been filed or becomes effective; (iii) when any supplement to the Pricing Disclosure Package, the Prospectus,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the initiation or threatening of any proceeding for that purpose or pursuant to Section 8A of the Securities Act; (vi) of the occurrence of any event or development within the Prospectus Delivery Period as a result of which the Prospectus, any of the Pricing Disclosure Package or any Issuer Free Writing Prospectus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and (vii) of the receipt by the Company of any notice with respect to any suspension of the qualification</w:t>
      </w:r>
    </w:p>
    <w:p>
      <w:pPr>
        <w:sectPr>
          <w:pgSz w:w="11900" w:h="16838" w:orient="portrait"/>
          <w:cols w:equalWidth="0" w:num="1">
            <w:col w:w="10040"/>
          </w:cols>
          <w:pgMar w:left="1440" w:top="1428" w:right="419" w:bottom="1440" w:gutter="0" w:footer="0" w:header="0"/>
        </w:sectPr>
      </w:pPr>
    </w:p>
    <w:bookmarkStart w:id="257" w:name="page258"/>
    <w:bookmarkEnd w:id="257"/>
    <w:p>
      <w:pPr>
        <w:jc w:val="both"/>
        <w:ind w:right="40"/>
        <w:spacing w:after="0" w:line="263" w:lineRule="auto"/>
        <w:rPr>
          <w:sz w:val="20"/>
          <w:szCs w:val="20"/>
          <w:color w:val="auto"/>
        </w:rPr>
      </w:pPr>
      <w:r>
        <w:rPr>
          <w:rFonts w:ascii="Arial" w:cs="Arial" w:eastAsia="Arial" w:hAnsi="Arial"/>
          <w:sz w:val="21"/>
          <w:szCs w:val="21"/>
          <w:color w:val="auto"/>
        </w:rPr>
        <w:t>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obtain as soon as possible the withdrawal thereof.</w:t>
      </w:r>
    </w:p>
    <w:p>
      <w:pPr>
        <w:spacing w:after="0" w:line="175" w:lineRule="exact"/>
        <w:rPr>
          <w:sz w:val="20"/>
          <w:szCs w:val="20"/>
          <w:color w:val="auto"/>
        </w:rPr>
      </w:pPr>
    </w:p>
    <w:p>
      <w:pPr>
        <w:ind w:firstLine="644"/>
        <w:spacing w:after="0" w:line="285" w:lineRule="auto"/>
        <w:tabs>
          <w:tab w:leader="none" w:pos="1293" w:val="left"/>
        </w:tabs>
        <w:numPr>
          <w:ilvl w:val="0"/>
          <w:numId w:val="178"/>
        </w:numPr>
        <w:rPr>
          <w:rFonts w:ascii="Arial" w:cs="Arial" w:eastAsia="Arial" w:hAnsi="Arial"/>
          <w:sz w:val="19"/>
          <w:szCs w:val="19"/>
          <w:color w:val="auto"/>
        </w:rPr>
      </w:pPr>
      <w:r>
        <w:rPr>
          <w:rFonts w:ascii="Arial" w:cs="Arial" w:eastAsia="Arial" w:hAnsi="Arial"/>
          <w:sz w:val="19"/>
          <w:szCs w:val="19"/>
          <w:i w:val="1"/>
          <w:iCs w:val="1"/>
          <w:color w:val="auto"/>
        </w:rPr>
        <w:t xml:space="preserve">Ongoing Compliance. </w:t>
      </w:r>
      <w:r>
        <w:rPr>
          <w:rFonts w:ascii="Arial" w:cs="Arial" w:eastAsia="Arial" w:hAnsi="Arial"/>
          <w:sz w:val="19"/>
          <w:szCs w:val="19"/>
          <w:color w:val="auto"/>
        </w:rPr>
        <w:t>(1) If during the Prospectus Delivery Period (i) any event or development shall</w:t>
      </w:r>
      <w:r>
        <w:rPr>
          <w:rFonts w:ascii="Arial" w:cs="Arial" w:eastAsia="Arial" w:hAnsi="Arial"/>
          <w:sz w:val="19"/>
          <w:szCs w:val="19"/>
          <w:i w:val="1"/>
          <w:iCs w:val="1"/>
          <w:color w:val="auto"/>
        </w:rPr>
        <w:t xml:space="preserve"> </w:t>
      </w:r>
      <w:r>
        <w:rPr>
          <w:rFonts w:ascii="Arial" w:cs="Arial" w:eastAsia="Arial" w:hAnsi="Arial"/>
          <w:sz w:val="19"/>
          <w:szCs w:val="19"/>
          <w:color w:val="auto"/>
        </w:rPr>
        <w:t>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40" w:firstLine="644"/>
        <w:spacing w:after="0" w:line="261" w:lineRule="auto"/>
        <w:tabs>
          <w:tab w:leader="none" w:pos="1296" w:val="left"/>
        </w:tabs>
        <w:numPr>
          <w:ilvl w:val="0"/>
          <w:numId w:val="178"/>
        </w:numPr>
        <w:rPr>
          <w:rFonts w:ascii="Arial" w:cs="Arial" w:eastAsia="Arial" w:hAnsi="Arial"/>
          <w:sz w:val="21"/>
          <w:szCs w:val="21"/>
          <w:color w:val="auto"/>
        </w:rPr>
      </w:pPr>
      <w:r>
        <w:rPr>
          <w:rFonts w:ascii="Arial" w:cs="Arial" w:eastAsia="Arial" w:hAnsi="Arial"/>
          <w:sz w:val="21"/>
          <w:szCs w:val="21"/>
          <w:i w:val="1"/>
          <w:iCs w:val="1"/>
          <w:color w:val="auto"/>
        </w:rPr>
        <w:t xml:space="preserve">Blue Sky Compliance. </w:t>
      </w:r>
      <w:r>
        <w:rPr>
          <w:rFonts w:ascii="Arial" w:cs="Arial" w:eastAsia="Arial" w:hAnsi="Arial"/>
          <w:sz w:val="21"/>
          <w:szCs w:val="21"/>
          <w:color w:val="auto"/>
        </w:rPr>
        <w:t>The Company will qualify the Shares for offer and sale under the securities or Blue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Sky laws of such jurisdictions as the Representatives shall reasonably request and will continue such qualifications in effect so long as required for distribution of the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ectPr>
          <w:pgSz w:w="11900" w:h="16838" w:orient="portrait"/>
          <w:cols w:equalWidth="0" w:num="1">
            <w:col w:w="10580"/>
          </w:cols>
          <w:pgMar w:left="980" w:top="1428" w:right="339" w:bottom="1440" w:gutter="0" w:footer="0" w:header="0"/>
        </w:sectPr>
      </w:pPr>
    </w:p>
    <w:bookmarkStart w:id="258" w:name="page259"/>
    <w:bookmarkEnd w:id="258"/>
    <w:p>
      <w:pPr>
        <w:ind w:right="60" w:firstLine="644"/>
        <w:spacing w:after="0" w:line="246" w:lineRule="auto"/>
        <w:tabs>
          <w:tab w:leader="none" w:pos="1291" w:val="left"/>
        </w:tabs>
        <w:numPr>
          <w:ilvl w:val="0"/>
          <w:numId w:val="179"/>
        </w:numPr>
        <w:rPr>
          <w:rFonts w:ascii="Arial" w:cs="Arial" w:eastAsia="Arial" w:hAnsi="Arial"/>
          <w:sz w:val="22"/>
          <w:szCs w:val="22"/>
          <w:color w:val="auto"/>
        </w:rPr>
      </w:pPr>
      <w:r>
        <w:rPr>
          <w:rFonts w:ascii="Arial" w:cs="Arial" w:eastAsia="Arial" w:hAnsi="Arial"/>
          <w:sz w:val="22"/>
          <w:szCs w:val="22"/>
          <w:i w:val="1"/>
          <w:iCs w:val="1"/>
          <w:color w:val="auto"/>
        </w:rPr>
        <w:t xml:space="preserve">Earning Statement. </w:t>
      </w:r>
      <w:r>
        <w:rPr>
          <w:rFonts w:ascii="Arial" w:cs="Arial" w:eastAsia="Arial" w:hAnsi="Arial"/>
          <w:sz w:val="22"/>
          <w:szCs w:val="22"/>
          <w:color w:val="auto"/>
        </w:rPr>
        <w:t>The Company will make generally available to its security holders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the Company will be deemed to have furnished such statements to its security holders and the Representatives to the extent they are filed on the Commission’s Electronic Data Gathering, Analysis, and Retrieval system.</w:t>
      </w:r>
    </w:p>
    <w:p>
      <w:pPr>
        <w:spacing w:after="0" w:line="196" w:lineRule="exact"/>
        <w:rPr>
          <w:rFonts w:ascii="Arial" w:cs="Arial" w:eastAsia="Arial" w:hAnsi="Arial"/>
          <w:sz w:val="22"/>
          <w:szCs w:val="22"/>
          <w:color w:val="auto"/>
        </w:rPr>
      </w:pPr>
    </w:p>
    <w:p>
      <w:pPr>
        <w:ind w:right="120" w:firstLine="644"/>
        <w:spacing w:after="0" w:line="289" w:lineRule="auto"/>
        <w:tabs>
          <w:tab w:leader="none" w:pos="1291" w:val="left"/>
        </w:tabs>
        <w:numPr>
          <w:ilvl w:val="0"/>
          <w:numId w:val="179"/>
        </w:numPr>
        <w:rPr>
          <w:rFonts w:ascii="Arial" w:cs="Arial" w:eastAsia="Arial" w:hAnsi="Arial"/>
          <w:sz w:val="19"/>
          <w:szCs w:val="19"/>
          <w:color w:val="auto"/>
        </w:rPr>
      </w:pPr>
      <w:r>
        <w:rPr>
          <w:rFonts w:ascii="Arial" w:cs="Arial" w:eastAsia="Arial" w:hAnsi="Arial"/>
          <w:sz w:val="19"/>
          <w:szCs w:val="19"/>
          <w:i w:val="1"/>
          <w:iCs w:val="1"/>
          <w:color w:val="auto"/>
        </w:rPr>
        <w:t xml:space="preserve">Clear Market. </w:t>
      </w:r>
      <w:r>
        <w:rPr>
          <w:rFonts w:ascii="Arial" w:cs="Arial" w:eastAsia="Arial" w:hAnsi="Arial"/>
          <w:sz w:val="19"/>
          <w:szCs w:val="19"/>
          <w:color w:val="auto"/>
        </w:rPr>
        <w:t>For a period of 180 days after the date of the Prospectus, the Company will not (i) offer,</w:t>
      </w:r>
      <w:r>
        <w:rPr>
          <w:rFonts w:ascii="Arial" w:cs="Arial" w:eastAsia="Arial" w:hAnsi="Arial"/>
          <w:sz w:val="19"/>
          <w:szCs w:val="19"/>
          <w:i w:val="1"/>
          <w:iCs w:val="1"/>
          <w:color w:val="auto"/>
        </w:rPr>
        <w:t xml:space="preserve"> </w:t>
      </w:r>
      <w:r>
        <w:rPr>
          <w:rFonts w:ascii="Arial" w:cs="Arial" w:eastAsia="Arial" w:hAnsi="Arial"/>
          <w:sz w:val="19"/>
          <w:szCs w:val="19"/>
          <w:color w:val="auto"/>
        </w:rPr>
        <w:t>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(ii) enter into any swap or other agreement that transfers, in whole or in part, any of the economic consequences of ownership of the Stock or any such other securities, or publicly disclose the intention to undertake any of the transactions described in clause (i) or (ii), whether any such transaction described in clause (i) or (ii) above is to be settled by delivery of Stock or such other securities, in cash or otherwise, without the prior written consent of the Representatives, other than the Shares to be sold hereunder.</w:t>
      </w:r>
    </w:p>
    <w:p>
      <w:pPr>
        <w:spacing w:after="0" w:line="157" w:lineRule="exact"/>
        <w:rPr>
          <w:sz w:val="20"/>
          <w:szCs w:val="20"/>
          <w:color w:val="auto"/>
        </w:rPr>
      </w:pPr>
    </w:p>
    <w:p>
      <w:pPr>
        <w:ind w:firstLine="1296"/>
        <w:spacing w:after="0" w:line="286" w:lineRule="auto"/>
        <w:rPr>
          <w:sz w:val="20"/>
          <w:szCs w:val="20"/>
          <w:color w:val="auto"/>
        </w:rPr>
      </w:pPr>
      <w:r>
        <w:rPr>
          <w:rFonts w:ascii="Arial" w:cs="Arial" w:eastAsia="Arial" w:hAnsi="Arial"/>
          <w:sz w:val="19"/>
          <w:szCs w:val="19"/>
          <w:color w:val="auto"/>
        </w:rPr>
        <w:t>The restrictions described above do not apply to (i) the issuance of shares of Stock or securities convertible into or exercisable for shares of Stock pursuant to the conversion or exchange of convertible or exchangeable securities or the exercise of warrants or options (including net exercise) or the settlement of RSUs (including net settlement), in each case outstanding on the date of this Agreement and described in the Prospectus; (ii) grants of stock options, stock awards, restricted stock, RSUs,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such recipients enter into a lock-up agreement with the Underwriters; (iii) the issuance of up to 10% of the outstanding shares of Stock, or securities convertible into, exercisable for, or which are otherwise exchangeable for, Stock, immediately following the Closing Date, in acquisitions or other similar strategic transactions, provided that such recipients enter into a lock-up agreement with the Underwriters; or (iv)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w:t>
      </w:r>
    </w:p>
    <w:p>
      <w:pPr>
        <w:sectPr>
          <w:pgSz w:w="11900" w:h="16838" w:orient="portrait"/>
          <w:cols w:equalWidth="0" w:num="1">
            <w:col w:w="10540"/>
          </w:cols>
          <w:pgMar w:left="980" w:top="1428" w:right="379" w:bottom="1440" w:gutter="0" w:footer="0" w:header="0"/>
        </w:sectPr>
      </w:pPr>
    </w:p>
    <w:bookmarkStart w:id="259" w:name="page260"/>
    <w:bookmarkEnd w:id="259"/>
    <w:p>
      <w:pPr>
        <w:ind w:left="4" w:firstLine="644"/>
        <w:spacing w:after="0" w:line="343" w:lineRule="auto"/>
        <w:tabs>
          <w:tab w:leader="none" w:pos="1288" w:val="left"/>
        </w:tabs>
        <w:numPr>
          <w:ilvl w:val="1"/>
          <w:numId w:val="180"/>
        </w:numPr>
        <w:rPr>
          <w:rFonts w:ascii="Arial" w:cs="Arial" w:eastAsia="Arial" w:hAnsi="Arial"/>
          <w:sz w:val="19"/>
          <w:szCs w:val="19"/>
          <w:color w:val="auto"/>
        </w:rPr>
      </w:pPr>
      <w:r>
        <w:rPr>
          <w:rFonts w:ascii="Arial" w:cs="Arial" w:eastAsia="Arial" w:hAnsi="Arial"/>
          <w:sz w:val="19"/>
          <w:szCs w:val="19"/>
          <w:i w:val="1"/>
          <w:iCs w:val="1"/>
          <w:color w:val="auto"/>
        </w:rPr>
        <w:t xml:space="preserve">Use of Proceeds. </w:t>
      </w:r>
      <w:r>
        <w:rPr>
          <w:rFonts w:ascii="Arial" w:cs="Arial" w:eastAsia="Arial" w:hAnsi="Arial"/>
          <w:sz w:val="19"/>
          <w:szCs w:val="19"/>
          <w:color w:val="auto"/>
        </w:rPr>
        <w:t>The Company will apply the net proceeds from the sale of the Shares as described in each</w:t>
      </w:r>
      <w:r>
        <w:rPr>
          <w:rFonts w:ascii="Arial" w:cs="Arial" w:eastAsia="Arial" w:hAnsi="Arial"/>
          <w:sz w:val="19"/>
          <w:szCs w:val="19"/>
          <w:i w:val="1"/>
          <w:iCs w:val="1"/>
          <w:color w:val="auto"/>
        </w:rPr>
        <w:t xml:space="preserve"> </w:t>
      </w:r>
      <w:r>
        <w:rPr>
          <w:rFonts w:ascii="Arial" w:cs="Arial" w:eastAsia="Arial" w:hAnsi="Arial"/>
          <w:sz w:val="19"/>
          <w:szCs w:val="19"/>
          <w:color w:val="auto"/>
        </w:rPr>
        <w:t>of the Registration Statement, the Pricing Disclosure Package and the Prospectus under the heading “Use of proceeds”.</w:t>
      </w:r>
    </w:p>
    <w:p>
      <w:pPr>
        <w:spacing w:after="0" w:line="104" w:lineRule="exact"/>
        <w:rPr>
          <w:rFonts w:ascii="Arial" w:cs="Arial" w:eastAsia="Arial" w:hAnsi="Arial"/>
          <w:sz w:val="19"/>
          <w:szCs w:val="19"/>
          <w:color w:val="auto"/>
        </w:rPr>
      </w:pPr>
    </w:p>
    <w:p>
      <w:pPr>
        <w:jc w:val="both"/>
        <w:ind w:left="4" w:right="80" w:firstLine="644"/>
        <w:spacing w:after="0" w:line="253" w:lineRule="auto"/>
        <w:tabs>
          <w:tab w:leader="none" w:pos="1288" w:val="left"/>
        </w:tabs>
        <w:numPr>
          <w:ilvl w:val="1"/>
          <w:numId w:val="180"/>
        </w:numPr>
        <w:rPr>
          <w:rFonts w:ascii="Arial" w:cs="Arial" w:eastAsia="Arial" w:hAnsi="Arial"/>
          <w:sz w:val="22"/>
          <w:szCs w:val="22"/>
          <w:color w:val="auto"/>
        </w:rPr>
      </w:pPr>
      <w:r>
        <w:rPr>
          <w:rFonts w:ascii="Arial" w:cs="Arial" w:eastAsia="Arial" w:hAnsi="Arial"/>
          <w:sz w:val="22"/>
          <w:szCs w:val="22"/>
          <w:i w:val="1"/>
          <w:iCs w:val="1"/>
          <w:color w:val="auto"/>
        </w:rPr>
        <w:t xml:space="preserve">No Stabilization. </w:t>
      </w:r>
      <w:r>
        <w:rPr>
          <w:rFonts w:ascii="Arial" w:cs="Arial" w:eastAsia="Arial" w:hAnsi="Arial"/>
          <w:sz w:val="22"/>
          <w:szCs w:val="22"/>
          <w:color w:val="auto"/>
        </w:rPr>
        <w:t>Neither the Company nor its subsidiaries or affiliates will take, directly or indirectly, any</w:t>
      </w:r>
      <w:r>
        <w:rPr>
          <w:rFonts w:ascii="Arial" w:cs="Arial" w:eastAsia="Arial" w:hAnsi="Arial"/>
          <w:sz w:val="22"/>
          <w:szCs w:val="22"/>
          <w:i w:val="1"/>
          <w:iCs w:val="1"/>
          <w:color w:val="auto"/>
        </w:rPr>
        <w:t xml:space="preserve"> </w:t>
      </w:r>
      <w:r>
        <w:rPr>
          <w:rFonts w:ascii="Arial" w:cs="Arial" w:eastAsia="Arial" w:hAnsi="Arial"/>
          <w:sz w:val="22"/>
          <w:szCs w:val="22"/>
          <w:color w:val="auto"/>
        </w:rPr>
        <w:t>action designed to or that could reasonably be expected to cause or result in any stabilization or manipulation of the price of the Stock.</w:t>
      </w:r>
    </w:p>
    <w:p>
      <w:pPr>
        <w:spacing w:after="0" w:line="185" w:lineRule="exact"/>
        <w:rPr>
          <w:rFonts w:ascii="Arial" w:cs="Arial" w:eastAsia="Arial" w:hAnsi="Arial"/>
          <w:sz w:val="22"/>
          <w:szCs w:val="22"/>
          <w:color w:val="auto"/>
        </w:rPr>
      </w:pPr>
    </w:p>
    <w:p>
      <w:pPr>
        <w:ind w:left="4" w:right="40" w:firstLine="644"/>
        <w:spacing w:after="0" w:line="263" w:lineRule="auto"/>
        <w:tabs>
          <w:tab w:leader="none" w:pos="1295" w:val="left"/>
        </w:tabs>
        <w:numPr>
          <w:ilvl w:val="1"/>
          <w:numId w:val="180"/>
        </w:numPr>
        <w:rPr>
          <w:rFonts w:ascii="Arial" w:cs="Arial" w:eastAsia="Arial" w:hAnsi="Arial"/>
          <w:sz w:val="22"/>
          <w:szCs w:val="22"/>
          <w:color w:val="auto"/>
        </w:rPr>
      </w:pPr>
      <w:r>
        <w:rPr>
          <w:rFonts w:ascii="Arial" w:cs="Arial" w:eastAsia="Arial" w:hAnsi="Arial"/>
          <w:sz w:val="22"/>
          <w:szCs w:val="22"/>
          <w:i w:val="1"/>
          <w:iCs w:val="1"/>
          <w:color w:val="auto"/>
        </w:rPr>
        <w:t xml:space="preserve">Exchange Listing. </w:t>
      </w:r>
      <w:r>
        <w:rPr>
          <w:rFonts w:ascii="Arial" w:cs="Arial" w:eastAsia="Arial" w:hAnsi="Arial"/>
          <w:sz w:val="22"/>
          <w:szCs w:val="22"/>
          <w:color w:val="auto"/>
        </w:rPr>
        <w:t>The Company will use its reasonable best efforts to maintain the listing of the Shares on</w:t>
      </w:r>
      <w:r>
        <w:rPr>
          <w:rFonts w:ascii="Arial" w:cs="Arial" w:eastAsia="Arial" w:hAnsi="Arial"/>
          <w:sz w:val="22"/>
          <w:szCs w:val="22"/>
          <w:i w:val="1"/>
          <w:iCs w:val="1"/>
          <w:color w:val="auto"/>
        </w:rPr>
        <w:t xml:space="preserve"> </w:t>
      </w:r>
      <w:r>
        <w:rPr>
          <w:rFonts w:ascii="Arial" w:cs="Arial" w:eastAsia="Arial" w:hAnsi="Arial"/>
          <w:sz w:val="22"/>
          <w:szCs w:val="22"/>
          <w:color w:val="auto"/>
        </w:rPr>
        <w:t>the Nasdaq Global Select Market (the “Nasdaq Market”).</w:t>
      </w:r>
    </w:p>
    <w:p>
      <w:pPr>
        <w:spacing w:after="0" w:line="174" w:lineRule="exact"/>
        <w:rPr>
          <w:rFonts w:ascii="Arial" w:cs="Arial" w:eastAsia="Arial" w:hAnsi="Arial"/>
          <w:sz w:val="22"/>
          <w:szCs w:val="22"/>
          <w:color w:val="auto"/>
        </w:rPr>
      </w:pPr>
    </w:p>
    <w:p>
      <w:pPr>
        <w:ind w:left="4" w:right="40" w:firstLine="644"/>
        <w:spacing w:after="0" w:line="261" w:lineRule="auto"/>
        <w:tabs>
          <w:tab w:leader="none" w:pos="1288" w:val="left"/>
        </w:tabs>
        <w:numPr>
          <w:ilvl w:val="1"/>
          <w:numId w:val="180"/>
        </w:numPr>
        <w:rPr>
          <w:rFonts w:ascii="Arial" w:cs="Arial" w:eastAsia="Arial" w:hAnsi="Arial"/>
          <w:sz w:val="21"/>
          <w:szCs w:val="21"/>
          <w:color w:val="auto"/>
        </w:rPr>
      </w:pPr>
      <w:r>
        <w:rPr>
          <w:rFonts w:ascii="Arial" w:cs="Arial" w:eastAsia="Arial" w:hAnsi="Arial"/>
          <w:sz w:val="21"/>
          <w:szCs w:val="21"/>
          <w:i w:val="1"/>
          <w:iCs w:val="1"/>
          <w:color w:val="auto"/>
        </w:rPr>
        <w:t xml:space="preserve">Reports. </w:t>
      </w:r>
      <w:r>
        <w:rPr>
          <w:rFonts w:ascii="Arial" w:cs="Arial" w:eastAsia="Arial" w:hAnsi="Arial"/>
          <w:sz w:val="21"/>
          <w:szCs w:val="21"/>
          <w:color w:val="auto"/>
        </w:rPr>
        <w:t>For a period of three years from the date of this Agreement, the Company will furnish to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Representatives,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Company will be deemed to have furnished such reports and financial statements to the Representatives to the extent they are filed on the Commission’s Electronic Data Gathering, Analysis, and Retrieval system.</w:t>
      </w:r>
    </w:p>
    <w:p>
      <w:pPr>
        <w:spacing w:after="0" w:line="179" w:lineRule="exact"/>
        <w:rPr>
          <w:rFonts w:ascii="Arial" w:cs="Arial" w:eastAsia="Arial" w:hAnsi="Arial"/>
          <w:sz w:val="21"/>
          <w:szCs w:val="21"/>
          <w:color w:val="auto"/>
        </w:rPr>
      </w:pPr>
    </w:p>
    <w:p>
      <w:pPr>
        <w:jc w:val="both"/>
        <w:ind w:left="4" w:right="280" w:firstLine="644"/>
        <w:spacing w:after="0" w:line="253" w:lineRule="auto"/>
        <w:tabs>
          <w:tab w:leader="none" w:pos="1288" w:val="left"/>
        </w:tabs>
        <w:numPr>
          <w:ilvl w:val="1"/>
          <w:numId w:val="180"/>
        </w:numPr>
        <w:rPr>
          <w:rFonts w:ascii="Arial" w:cs="Arial" w:eastAsia="Arial" w:hAnsi="Arial"/>
          <w:sz w:val="22"/>
          <w:szCs w:val="22"/>
          <w:color w:val="auto"/>
        </w:rPr>
      </w:pPr>
      <w:r>
        <w:rPr>
          <w:rFonts w:ascii="Arial" w:cs="Arial" w:eastAsia="Arial" w:hAnsi="Arial"/>
          <w:sz w:val="22"/>
          <w:szCs w:val="22"/>
          <w:i w:val="1"/>
          <w:iCs w:val="1"/>
          <w:color w:val="auto"/>
        </w:rPr>
        <w:t>Record Retention</w:t>
      </w:r>
      <w:r>
        <w:rPr>
          <w:rFonts w:ascii="Arial" w:cs="Arial" w:eastAsia="Arial" w:hAnsi="Arial"/>
          <w:sz w:val="22"/>
          <w:szCs w:val="22"/>
          <w:color w:val="auto"/>
        </w:rPr>
        <w:t>. The Company will, pursuant to reasonable procedures developed in good faith, retain</w:t>
      </w:r>
      <w:r>
        <w:rPr>
          <w:rFonts w:ascii="Arial" w:cs="Arial" w:eastAsia="Arial" w:hAnsi="Arial"/>
          <w:sz w:val="22"/>
          <w:szCs w:val="22"/>
          <w:i w:val="1"/>
          <w:iCs w:val="1"/>
          <w:color w:val="auto"/>
        </w:rPr>
        <w:t xml:space="preserve"> </w:t>
      </w:r>
      <w:r>
        <w:rPr>
          <w:rFonts w:ascii="Arial" w:cs="Arial" w:eastAsia="Arial" w:hAnsi="Arial"/>
          <w:sz w:val="22"/>
          <w:szCs w:val="22"/>
          <w:color w:val="auto"/>
        </w:rPr>
        <w:t>copies of each Issuer Free Writing Prospectus that is not filed with the Commission in accordance with Rule 433 under the Securities Act.</w:t>
      </w:r>
    </w:p>
    <w:p>
      <w:pPr>
        <w:spacing w:after="0" w:line="185" w:lineRule="exact"/>
        <w:rPr>
          <w:rFonts w:ascii="Arial" w:cs="Arial" w:eastAsia="Arial" w:hAnsi="Arial"/>
          <w:sz w:val="22"/>
          <w:szCs w:val="22"/>
          <w:color w:val="auto"/>
        </w:rPr>
      </w:pPr>
    </w:p>
    <w:p>
      <w:pPr>
        <w:ind w:left="4" w:right="180" w:firstLine="644"/>
        <w:spacing w:after="0" w:line="263" w:lineRule="auto"/>
        <w:tabs>
          <w:tab w:leader="none" w:pos="1349" w:val="left"/>
        </w:tabs>
        <w:numPr>
          <w:ilvl w:val="1"/>
          <w:numId w:val="180"/>
        </w:numPr>
        <w:rPr>
          <w:rFonts w:ascii="Arial" w:cs="Arial" w:eastAsia="Arial" w:hAnsi="Arial"/>
          <w:sz w:val="22"/>
          <w:szCs w:val="22"/>
          <w:color w:val="auto"/>
        </w:rPr>
      </w:pPr>
      <w:r>
        <w:rPr>
          <w:rFonts w:ascii="Arial" w:cs="Arial" w:eastAsia="Arial" w:hAnsi="Arial"/>
          <w:sz w:val="22"/>
          <w:szCs w:val="22"/>
          <w:i w:val="1"/>
          <w:iCs w:val="1"/>
          <w:color w:val="auto"/>
        </w:rPr>
        <w:t xml:space="preserve">Filings. </w:t>
      </w:r>
      <w:r>
        <w:rPr>
          <w:rFonts w:ascii="Arial" w:cs="Arial" w:eastAsia="Arial" w:hAnsi="Arial"/>
          <w:sz w:val="22"/>
          <w:szCs w:val="22"/>
          <w:color w:val="auto"/>
        </w:rPr>
        <w:t>The Company will file with the Commission such reports as may be required by Rule 463 under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Securities Act.</w:t>
      </w:r>
    </w:p>
    <w:p>
      <w:pPr>
        <w:spacing w:after="0" w:line="174" w:lineRule="exact"/>
        <w:rPr>
          <w:rFonts w:ascii="Arial" w:cs="Arial" w:eastAsia="Arial" w:hAnsi="Arial"/>
          <w:sz w:val="22"/>
          <w:szCs w:val="22"/>
          <w:color w:val="auto"/>
        </w:rPr>
      </w:pPr>
    </w:p>
    <w:p>
      <w:pPr>
        <w:ind w:left="4" w:right="280" w:firstLine="644"/>
        <w:spacing w:after="0" w:line="250" w:lineRule="auto"/>
        <w:tabs>
          <w:tab w:leader="none" w:pos="1295" w:val="left"/>
        </w:tabs>
        <w:numPr>
          <w:ilvl w:val="1"/>
          <w:numId w:val="180"/>
        </w:numPr>
        <w:rPr>
          <w:rFonts w:ascii="Arial" w:cs="Arial" w:eastAsia="Arial" w:hAnsi="Arial"/>
          <w:sz w:val="22"/>
          <w:szCs w:val="22"/>
          <w:color w:val="auto"/>
        </w:rPr>
      </w:pPr>
      <w:r>
        <w:rPr>
          <w:rFonts w:ascii="Arial" w:cs="Arial" w:eastAsia="Arial" w:hAnsi="Arial"/>
          <w:sz w:val="22"/>
          <w:szCs w:val="22"/>
          <w:i w:val="1"/>
          <w:iCs w:val="1"/>
          <w:color w:val="auto"/>
        </w:rPr>
        <w:t>Emerging Growth Company</w:t>
      </w:r>
      <w:r>
        <w:rPr>
          <w:rFonts w:ascii="Arial" w:cs="Arial" w:eastAsia="Arial" w:hAnsi="Arial"/>
          <w:sz w:val="22"/>
          <w:szCs w:val="22"/>
          <w:color w:val="auto"/>
        </w:rPr>
        <w:t>. The Company will promptly notify the Representatives if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ceases to be an Emerging Growth Company at any time prior to the later of (i) completion of the distribution of Shares within the meaning of the Securities Act and (ii) completion of the 180-day restricted period referred to in Section 4(h) hereof.</w:t>
      </w:r>
    </w:p>
    <w:p>
      <w:pPr>
        <w:spacing w:after="0" w:line="187" w:lineRule="exact"/>
        <w:rPr>
          <w:rFonts w:ascii="Arial" w:cs="Arial" w:eastAsia="Arial" w:hAnsi="Arial"/>
          <w:sz w:val="22"/>
          <w:szCs w:val="22"/>
          <w:color w:val="auto"/>
        </w:rPr>
      </w:pPr>
    </w:p>
    <w:p>
      <w:pPr>
        <w:ind w:left="-656" w:right="120" w:firstLine="656"/>
        <w:spacing w:after="0" w:line="263" w:lineRule="auto"/>
        <w:tabs>
          <w:tab w:leader="none" w:pos="640" w:val="left"/>
        </w:tabs>
        <w:numPr>
          <w:ilvl w:val="0"/>
          <w:numId w:val="181"/>
        </w:numPr>
        <w:rPr>
          <w:rFonts w:ascii="Arial" w:cs="Arial" w:eastAsia="Arial" w:hAnsi="Arial"/>
          <w:sz w:val="22"/>
          <w:szCs w:val="22"/>
          <w:color w:val="auto"/>
        </w:rPr>
      </w:pPr>
      <w:r>
        <w:rPr>
          <w:rFonts w:ascii="Arial" w:cs="Arial" w:eastAsia="Arial" w:hAnsi="Arial"/>
          <w:sz w:val="22"/>
          <w:szCs w:val="22"/>
          <w:u w:val="single" w:color="auto"/>
          <w:color w:val="auto"/>
        </w:rPr>
        <w:t>Further Agreements of the Selling Stockholders</w:t>
      </w:r>
      <w:r>
        <w:rPr>
          <w:rFonts w:ascii="Arial" w:cs="Arial" w:eastAsia="Arial" w:hAnsi="Arial"/>
          <w:sz w:val="22"/>
          <w:szCs w:val="22"/>
          <w:color w:val="auto"/>
        </w:rPr>
        <w:t>. Each of the Selling Stockholders severally covenants and agrees with each Underwriter that:</w:t>
      </w:r>
    </w:p>
    <w:p>
      <w:pPr>
        <w:spacing w:after="0" w:line="174" w:lineRule="exact"/>
        <w:rPr>
          <w:rFonts w:ascii="Arial" w:cs="Arial" w:eastAsia="Arial" w:hAnsi="Arial"/>
          <w:sz w:val="22"/>
          <w:szCs w:val="22"/>
          <w:color w:val="auto"/>
        </w:rPr>
      </w:pPr>
    </w:p>
    <w:p>
      <w:pPr>
        <w:ind w:left="4" w:right="280" w:firstLine="644"/>
        <w:spacing w:after="0" w:line="343" w:lineRule="auto"/>
        <w:tabs>
          <w:tab w:leader="none" w:pos="1297" w:val="left"/>
        </w:tabs>
        <w:numPr>
          <w:ilvl w:val="1"/>
          <w:numId w:val="181"/>
        </w:numPr>
        <w:rPr>
          <w:rFonts w:ascii="Arial" w:cs="Arial" w:eastAsia="Arial" w:hAnsi="Arial"/>
          <w:sz w:val="19"/>
          <w:szCs w:val="19"/>
          <w:color w:val="auto"/>
        </w:rPr>
      </w:pPr>
      <w:r>
        <w:rPr>
          <w:rFonts w:ascii="Arial" w:cs="Arial" w:eastAsia="Arial" w:hAnsi="Arial"/>
          <w:sz w:val="19"/>
          <w:szCs w:val="19"/>
          <w:i w:val="1"/>
          <w:iCs w:val="1"/>
          <w:color w:val="auto"/>
        </w:rPr>
        <w:t xml:space="preserve">No Stabilization. </w:t>
      </w:r>
      <w:r>
        <w:rPr>
          <w:rFonts w:ascii="Arial" w:cs="Arial" w:eastAsia="Arial" w:hAnsi="Arial"/>
          <w:sz w:val="19"/>
          <w:szCs w:val="19"/>
          <w:color w:val="auto"/>
        </w:rPr>
        <w:t>Such Selling Stockholder will not take, directly or indirectly, any action designed to or</w:t>
      </w:r>
      <w:r>
        <w:rPr>
          <w:rFonts w:ascii="Arial" w:cs="Arial" w:eastAsia="Arial" w:hAnsi="Arial"/>
          <w:sz w:val="19"/>
          <w:szCs w:val="19"/>
          <w:i w:val="1"/>
          <w:iCs w:val="1"/>
          <w:color w:val="auto"/>
        </w:rPr>
        <w:t xml:space="preserve"> </w:t>
      </w:r>
      <w:r>
        <w:rPr>
          <w:rFonts w:ascii="Arial" w:cs="Arial" w:eastAsia="Arial" w:hAnsi="Arial"/>
          <w:sz w:val="19"/>
          <w:szCs w:val="19"/>
          <w:color w:val="auto"/>
        </w:rPr>
        <w:t>that could reasonably be expected to cause or result in any stabilization or manipulation of the price of the Stock.</w:t>
      </w:r>
    </w:p>
    <w:p>
      <w:pPr>
        <w:spacing w:after="0" w:line="104" w:lineRule="exact"/>
        <w:rPr>
          <w:rFonts w:ascii="Arial" w:cs="Arial" w:eastAsia="Arial" w:hAnsi="Arial"/>
          <w:sz w:val="19"/>
          <w:szCs w:val="19"/>
          <w:color w:val="auto"/>
        </w:rPr>
      </w:pPr>
    </w:p>
    <w:p>
      <w:pPr>
        <w:ind w:left="4" w:right="180" w:firstLine="644"/>
        <w:spacing w:after="0" w:line="312" w:lineRule="auto"/>
        <w:tabs>
          <w:tab w:leader="none" w:pos="1295" w:val="left"/>
        </w:tabs>
        <w:numPr>
          <w:ilvl w:val="1"/>
          <w:numId w:val="181"/>
        </w:numPr>
        <w:rPr>
          <w:rFonts w:ascii="Arial" w:cs="Arial" w:eastAsia="Arial" w:hAnsi="Arial"/>
          <w:sz w:val="19"/>
          <w:szCs w:val="19"/>
          <w:color w:val="auto"/>
        </w:rPr>
      </w:pPr>
      <w:r>
        <w:rPr>
          <w:rFonts w:ascii="Arial" w:cs="Arial" w:eastAsia="Arial" w:hAnsi="Arial"/>
          <w:sz w:val="19"/>
          <w:szCs w:val="19"/>
          <w:i w:val="1"/>
          <w:iCs w:val="1"/>
          <w:color w:val="auto"/>
        </w:rPr>
        <w:t xml:space="preserve">Tax Form. </w:t>
      </w:r>
      <w:r>
        <w:rPr>
          <w:rFonts w:ascii="Arial" w:cs="Arial" w:eastAsia="Arial" w:hAnsi="Arial"/>
          <w:sz w:val="19"/>
          <w:szCs w:val="19"/>
          <w:color w:val="auto"/>
        </w:rPr>
        <w:t>It will deliver to the Representatives prior to or at the Closing Date a properly completed and</w:t>
      </w:r>
      <w:r>
        <w:rPr>
          <w:rFonts w:ascii="Arial" w:cs="Arial" w:eastAsia="Arial" w:hAnsi="Arial"/>
          <w:sz w:val="19"/>
          <w:szCs w:val="19"/>
          <w:i w:val="1"/>
          <w:iCs w:val="1"/>
          <w:color w:val="auto"/>
        </w:rPr>
        <w:t xml:space="preserve"> </w:t>
      </w:r>
      <w:r>
        <w:rPr>
          <w:rFonts w:ascii="Arial" w:cs="Arial" w:eastAsia="Arial" w:hAnsi="Arial"/>
          <w:sz w:val="19"/>
          <w:szCs w:val="19"/>
          <w:color w:val="auto"/>
        </w:rPr>
        <w:t>executed United States Treasury Department Form W-9 (or other applicable form or statement specified by the Treasury Department regulations in lieu thereof) in order to facilitate the Underwriters’ documentation of their compliance</w:t>
      </w:r>
    </w:p>
    <w:p>
      <w:pPr>
        <w:sectPr>
          <w:pgSz w:w="11900" w:h="16838" w:orient="portrait"/>
          <w:cols w:equalWidth="0" w:num="1">
            <w:col w:w="10564"/>
          </w:cols>
          <w:pgMar w:left="976" w:top="1428" w:right="359" w:bottom="1440" w:gutter="0" w:footer="0" w:header="0"/>
        </w:sectPr>
      </w:pPr>
    </w:p>
    <w:bookmarkStart w:id="260" w:name="page261"/>
    <w:bookmarkEnd w:id="260"/>
    <w:p>
      <w:pPr>
        <w:ind w:left="4" w:right="60"/>
        <w:spacing w:after="0" w:line="263" w:lineRule="auto"/>
        <w:rPr>
          <w:sz w:val="20"/>
          <w:szCs w:val="20"/>
          <w:color w:val="auto"/>
        </w:rPr>
      </w:pPr>
      <w:r>
        <w:rPr>
          <w:rFonts w:ascii="Arial" w:cs="Arial" w:eastAsia="Arial" w:hAnsi="Arial"/>
          <w:sz w:val="22"/>
          <w:szCs w:val="22"/>
          <w:color w:val="auto"/>
        </w:rPr>
        <w:t>with the reporting and withholding provisions of the Tax Equity and Fiscal Responsibility Act of 1982 with respect to the transactions herein contemplated.</w:t>
      </w:r>
    </w:p>
    <w:p>
      <w:pPr>
        <w:spacing w:after="0" w:line="175" w:lineRule="exact"/>
        <w:rPr>
          <w:sz w:val="20"/>
          <w:szCs w:val="20"/>
          <w:color w:val="auto"/>
        </w:rPr>
      </w:pPr>
    </w:p>
    <w:p>
      <w:pPr>
        <w:ind w:left="4" w:firstLine="644"/>
        <w:spacing w:after="0" w:line="261" w:lineRule="auto"/>
        <w:tabs>
          <w:tab w:leader="none" w:pos="1297" w:val="left"/>
        </w:tabs>
        <w:numPr>
          <w:ilvl w:val="1"/>
          <w:numId w:val="182"/>
        </w:numPr>
        <w:rPr>
          <w:rFonts w:ascii="Arial" w:cs="Arial" w:eastAsia="Arial" w:hAnsi="Arial"/>
          <w:sz w:val="21"/>
          <w:szCs w:val="21"/>
          <w:color w:val="auto"/>
        </w:rPr>
      </w:pPr>
      <w:r>
        <w:rPr>
          <w:rFonts w:ascii="Arial" w:cs="Arial" w:eastAsia="Arial" w:hAnsi="Arial"/>
          <w:sz w:val="21"/>
          <w:szCs w:val="21"/>
          <w:i w:val="1"/>
          <w:iCs w:val="1"/>
          <w:color w:val="auto"/>
        </w:rPr>
        <w:t>Use of Proceeds</w:t>
      </w:r>
      <w:r>
        <w:rPr>
          <w:rFonts w:ascii="Arial" w:cs="Arial" w:eastAsia="Arial" w:hAnsi="Arial"/>
          <w:sz w:val="21"/>
          <w:szCs w:val="21"/>
          <w:color w:val="auto"/>
        </w:rPr>
        <w:t>. It will not directly or indirectly use the proceeds of the offering of the Shares hereunder,</w:t>
      </w:r>
      <w:r>
        <w:rPr>
          <w:rFonts w:ascii="Arial" w:cs="Arial" w:eastAsia="Arial" w:hAnsi="Arial"/>
          <w:sz w:val="21"/>
          <w:szCs w:val="21"/>
          <w:i w:val="1"/>
          <w:iCs w:val="1"/>
          <w:color w:val="auto"/>
        </w:rPr>
        <w:t xml:space="preserve"> </w:t>
      </w:r>
      <w:r>
        <w:rPr>
          <w:rFonts w:ascii="Arial" w:cs="Arial" w:eastAsia="Arial" w:hAnsi="Arial"/>
          <w:sz w:val="21"/>
          <w:szCs w:val="21"/>
          <w:color w:val="auto"/>
        </w:rPr>
        <w:t>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spacing w:after="0" w:line="179" w:lineRule="exact"/>
        <w:rPr>
          <w:rFonts w:ascii="Arial" w:cs="Arial" w:eastAsia="Arial" w:hAnsi="Arial"/>
          <w:sz w:val="21"/>
          <w:szCs w:val="21"/>
          <w:color w:val="auto"/>
        </w:rPr>
      </w:pPr>
    </w:p>
    <w:p>
      <w:pPr>
        <w:ind w:left="644" w:hanging="644"/>
        <w:spacing w:after="0"/>
        <w:tabs>
          <w:tab w:leader="none" w:pos="644"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Certain Agreements of the Underwriters</w:t>
      </w:r>
      <w:r>
        <w:rPr>
          <w:rFonts w:ascii="Arial" w:cs="Arial" w:eastAsia="Arial" w:hAnsi="Arial"/>
          <w:sz w:val="22"/>
          <w:szCs w:val="22"/>
          <w:color w:val="auto"/>
        </w:rPr>
        <w:t>. Each Underwriter hereby represents and agrees that:</w:t>
      </w:r>
    </w:p>
    <w:p>
      <w:pPr>
        <w:spacing w:after="0" w:line="219" w:lineRule="exact"/>
        <w:rPr>
          <w:rFonts w:ascii="Arial" w:cs="Arial" w:eastAsia="Arial" w:hAnsi="Arial"/>
          <w:sz w:val="22"/>
          <w:szCs w:val="22"/>
          <w:color w:val="auto"/>
        </w:rPr>
      </w:pPr>
    </w:p>
    <w:p>
      <w:pPr>
        <w:ind w:left="4" w:firstLine="644"/>
        <w:spacing w:after="0" w:line="289" w:lineRule="auto"/>
        <w:tabs>
          <w:tab w:leader="none" w:pos="1297" w:val="left"/>
        </w:tabs>
        <w:numPr>
          <w:ilvl w:val="1"/>
          <w:numId w:val="183"/>
        </w:numPr>
        <w:rPr>
          <w:rFonts w:ascii="Arial" w:cs="Arial" w:eastAsia="Arial" w:hAnsi="Arial"/>
          <w:sz w:val="19"/>
          <w:szCs w:val="19"/>
          <w:color w:val="auto"/>
        </w:rPr>
      </w:pPr>
      <w:r>
        <w:rPr>
          <w:rFonts w:ascii="Arial" w:cs="Arial" w:eastAsia="Arial" w:hAnsi="Arial"/>
          <w:sz w:val="19"/>
          <w:szCs w:val="19"/>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5(c)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156" w:lineRule="exact"/>
        <w:rPr>
          <w:rFonts w:ascii="Arial" w:cs="Arial" w:eastAsia="Arial" w:hAnsi="Arial"/>
          <w:sz w:val="19"/>
          <w:szCs w:val="19"/>
          <w:color w:val="auto"/>
        </w:rPr>
      </w:pPr>
    </w:p>
    <w:p>
      <w:pPr>
        <w:ind w:left="4" w:right="20" w:firstLine="644"/>
        <w:spacing w:after="0" w:line="247" w:lineRule="auto"/>
        <w:tabs>
          <w:tab w:leader="none" w:pos="1295" w:val="left"/>
        </w:tabs>
        <w:numPr>
          <w:ilvl w:val="1"/>
          <w:numId w:val="183"/>
        </w:numPr>
        <w:rPr>
          <w:rFonts w:ascii="Arial" w:cs="Arial" w:eastAsia="Arial" w:hAnsi="Arial"/>
          <w:sz w:val="22"/>
          <w:szCs w:val="22"/>
          <w:color w:val="auto"/>
        </w:rPr>
      </w:pPr>
      <w:r>
        <w:rPr>
          <w:rFonts w:ascii="Arial" w:cs="Arial" w:eastAsia="Arial" w:hAnsi="Arial"/>
          <w:sz w:val="22"/>
          <w:szCs w:val="22"/>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Underwriters may use a term sheet substantially in the form of Annex B hereto without the consent of the Company;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any Underwriter using such term sheet shall notify the Company, and provide a copy of such term sheet to the Company, prior to, or substantially concurrently with, the first use of such term sheet.</w:t>
      </w:r>
    </w:p>
    <w:p>
      <w:pPr>
        <w:spacing w:after="0" w:line="192" w:lineRule="exact"/>
        <w:rPr>
          <w:rFonts w:ascii="Arial" w:cs="Arial" w:eastAsia="Arial" w:hAnsi="Arial"/>
          <w:sz w:val="22"/>
          <w:szCs w:val="22"/>
          <w:color w:val="auto"/>
        </w:rPr>
      </w:pPr>
    </w:p>
    <w:p>
      <w:pPr>
        <w:ind w:left="4" w:right="40" w:firstLine="644"/>
        <w:spacing w:after="0" w:line="253" w:lineRule="auto"/>
        <w:tabs>
          <w:tab w:leader="none" w:pos="1297" w:val="left"/>
        </w:tabs>
        <w:numPr>
          <w:ilvl w:val="1"/>
          <w:numId w:val="183"/>
        </w:numPr>
        <w:rPr>
          <w:rFonts w:ascii="Arial" w:cs="Arial" w:eastAsia="Arial" w:hAnsi="Arial"/>
          <w:sz w:val="22"/>
          <w:szCs w:val="22"/>
          <w:color w:val="auto"/>
        </w:rPr>
      </w:pPr>
      <w:r>
        <w:rPr>
          <w:rFonts w:ascii="Arial" w:cs="Arial" w:eastAsia="Arial" w:hAnsi="Arial"/>
          <w:sz w:val="22"/>
          <w:szCs w:val="22"/>
          <w:color w:val="auto"/>
        </w:rPr>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185" w:lineRule="exact"/>
        <w:rPr>
          <w:rFonts w:ascii="Arial" w:cs="Arial" w:eastAsia="Arial" w:hAnsi="Arial"/>
          <w:sz w:val="22"/>
          <w:szCs w:val="22"/>
          <w:color w:val="auto"/>
        </w:rPr>
      </w:pPr>
    </w:p>
    <w:p>
      <w:pPr>
        <w:jc w:val="both"/>
        <w:ind w:left="-656" w:right="20" w:firstLine="656"/>
        <w:spacing w:after="0" w:line="253" w:lineRule="auto"/>
        <w:tabs>
          <w:tab w:leader="none" w:pos="640"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Conditions of Underwriters’ Obligations.</w:t>
      </w:r>
      <w:r>
        <w:rPr>
          <w:rFonts w:ascii="Arial" w:cs="Arial" w:eastAsia="Arial" w:hAnsi="Arial"/>
          <w:sz w:val="22"/>
          <w:szCs w:val="22"/>
          <w:color w:val="auto"/>
        </w:rPr>
        <w:t xml:space="preserve"> The obligation of each Underwriter to purchase the Underwritten Shares on the Closing Date or the Option Shares on the Additional Closing Date, as the case may be, as provided herein is subject to the performance by the</w:t>
      </w:r>
    </w:p>
    <w:p>
      <w:pPr>
        <w:sectPr>
          <w:pgSz w:w="11900" w:h="16838" w:orient="portrait"/>
          <w:cols w:equalWidth="0" w:num="1">
            <w:col w:w="10544"/>
          </w:cols>
          <w:pgMar w:left="976" w:top="1428" w:right="37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Company of its covenants and other obligations hereunder and to the following additional conditions:</w:t>
      </w:r>
    </w:p>
    <w:p>
      <w:pPr>
        <w:spacing w:after="0" w:line="220" w:lineRule="exact"/>
        <w:rPr>
          <w:sz w:val="20"/>
          <w:szCs w:val="20"/>
          <w:color w:val="auto"/>
        </w:rPr>
      </w:pPr>
    </w:p>
    <w:p>
      <w:pPr>
        <w:ind w:left="660" w:right="140" w:firstLine="644"/>
        <w:spacing w:after="0" w:line="246" w:lineRule="auto"/>
        <w:tabs>
          <w:tab w:leader="none" w:pos="1953" w:val="left"/>
        </w:tabs>
        <w:numPr>
          <w:ilvl w:val="0"/>
          <w:numId w:val="184"/>
        </w:numPr>
        <w:rPr>
          <w:rFonts w:ascii="Arial" w:cs="Arial" w:eastAsia="Arial" w:hAnsi="Arial"/>
          <w:sz w:val="22"/>
          <w:szCs w:val="22"/>
          <w:color w:val="auto"/>
        </w:rPr>
      </w:pPr>
      <w:r>
        <w:rPr>
          <w:rFonts w:ascii="Arial" w:cs="Arial" w:eastAsia="Arial" w:hAnsi="Arial"/>
          <w:sz w:val="22"/>
          <w:szCs w:val="22"/>
          <w:i w:val="1"/>
          <w:iCs w:val="1"/>
          <w:color w:val="auto"/>
        </w:rPr>
        <w:t xml:space="preserve">Registration Compliance; No Stop Order. </w:t>
      </w:r>
      <w:r>
        <w:rPr>
          <w:rFonts w:ascii="Arial" w:cs="Arial" w:eastAsia="Arial" w:hAnsi="Arial"/>
          <w:sz w:val="22"/>
          <w:szCs w:val="22"/>
          <w:color w:val="auto"/>
        </w:rPr>
        <w:t>No order suspending the effectiveness of the Registration</w:t>
      </w:r>
      <w:r>
        <w:rPr>
          <w:rFonts w:ascii="Arial" w:cs="Arial" w:eastAsia="Arial" w:hAnsi="Arial"/>
          <w:sz w:val="22"/>
          <w:szCs w:val="22"/>
          <w:i w:val="1"/>
          <w:iCs w:val="1"/>
          <w:color w:val="auto"/>
        </w:rPr>
        <w:t xml:space="preserve"> </w:t>
      </w:r>
      <w:r>
        <w:rPr>
          <w:rFonts w:ascii="Arial" w:cs="Arial" w:eastAsia="Arial" w:hAnsi="Arial"/>
          <w:sz w:val="22"/>
          <w:szCs w:val="22"/>
          <w:color w:val="auto"/>
        </w:rPr>
        <w:t>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96" w:lineRule="exact"/>
        <w:rPr>
          <w:rFonts w:ascii="Arial" w:cs="Arial" w:eastAsia="Arial" w:hAnsi="Arial"/>
          <w:sz w:val="22"/>
          <w:szCs w:val="22"/>
          <w:color w:val="auto"/>
        </w:rPr>
      </w:pPr>
    </w:p>
    <w:p>
      <w:pPr>
        <w:ind w:left="660" w:right="20" w:firstLine="644"/>
        <w:spacing w:after="0" w:line="263" w:lineRule="auto"/>
        <w:tabs>
          <w:tab w:leader="none" w:pos="1951" w:val="left"/>
        </w:tabs>
        <w:numPr>
          <w:ilvl w:val="0"/>
          <w:numId w:val="184"/>
        </w:numPr>
        <w:rPr>
          <w:rFonts w:ascii="Arial" w:cs="Arial" w:eastAsia="Arial" w:hAnsi="Arial"/>
          <w:sz w:val="21"/>
          <w:szCs w:val="21"/>
          <w:color w:val="auto"/>
        </w:rPr>
      </w:pPr>
      <w:r>
        <w:rPr>
          <w:rFonts w:ascii="Arial" w:cs="Arial" w:eastAsia="Arial" w:hAnsi="Arial"/>
          <w:sz w:val="21"/>
          <w:szCs w:val="21"/>
          <w:i w:val="1"/>
          <w:iCs w:val="1"/>
          <w:color w:val="auto"/>
        </w:rPr>
        <w:t xml:space="preserve">Representations and Warranties. </w:t>
      </w:r>
      <w:r>
        <w:rPr>
          <w:rFonts w:ascii="Arial" w:cs="Arial" w:eastAsia="Arial" w:hAnsi="Arial"/>
          <w:sz w:val="21"/>
          <w:szCs w:val="21"/>
          <w:color w:val="auto"/>
        </w:rPr>
        <w:t>The respective representations and warranties of the Company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Selling Stockholders contained herein shall be true and correct on the date hereof and on and as of the Closing Date or the Additional Closing Date, as the case may be; and the statements of the Company and its officers and the Selling Stockholders made in any certificates delivered pursuant to this Agreement shall be true and correct on and as of the Closing Date or the Additional Closing Date, as the case may be.</w:t>
      </w:r>
    </w:p>
    <w:p>
      <w:pPr>
        <w:spacing w:after="0" w:line="175" w:lineRule="exact"/>
        <w:rPr>
          <w:rFonts w:ascii="Arial" w:cs="Arial" w:eastAsia="Arial" w:hAnsi="Arial"/>
          <w:sz w:val="21"/>
          <w:szCs w:val="21"/>
          <w:color w:val="auto"/>
        </w:rPr>
      </w:pPr>
    </w:p>
    <w:p>
      <w:pPr>
        <w:ind w:left="660" w:firstLine="644"/>
        <w:spacing w:after="0" w:line="294" w:lineRule="auto"/>
        <w:tabs>
          <w:tab w:leader="none" w:pos="1953" w:val="left"/>
        </w:tabs>
        <w:numPr>
          <w:ilvl w:val="0"/>
          <w:numId w:val="184"/>
        </w:numPr>
        <w:rPr>
          <w:rFonts w:ascii="Arial" w:cs="Arial" w:eastAsia="Arial" w:hAnsi="Arial"/>
          <w:sz w:val="19"/>
          <w:szCs w:val="19"/>
          <w:color w:val="auto"/>
        </w:rPr>
      </w:pPr>
      <w:r>
        <w:rPr>
          <w:rFonts w:ascii="Arial" w:cs="Arial" w:eastAsia="Arial" w:hAnsi="Arial"/>
          <w:sz w:val="19"/>
          <w:szCs w:val="19"/>
          <w:i w:val="1"/>
          <w:iCs w:val="1"/>
          <w:color w:val="auto"/>
        </w:rPr>
        <w:t xml:space="preserve">No Material Adverse Change. </w:t>
      </w:r>
      <w:r>
        <w:rPr>
          <w:rFonts w:ascii="Arial" w:cs="Arial" w:eastAsia="Arial" w:hAnsi="Arial"/>
          <w:sz w:val="19"/>
          <w:szCs w:val="19"/>
          <w:color w:val="auto"/>
        </w:rPr>
        <w:t>No event or condition of a type described in Section 3(h) hereof shall have</w:t>
      </w:r>
      <w:r>
        <w:rPr>
          <w:rFonts w:ascii="Arial" w:cs="Arial" w:eastAsia="Arial" w:hAnsi="Arial"/>
          <w:sz w:val="19"/>
          <w:szCs w:val="19"/>
          <w:i w:val="1"/>
          <w:iCs w:val="1"/>
          <w:color w:val="auto"/>
        </w:rPr>
        <w:t xml:space="preserve"> </w:t>
      </w:r>
      <w:r>
        <w:rPr>
          <w:rFonts w:ascii="Arial" w:cs="Arial" w:eastAsia="Arial" w:hAnsi="Arial"/>
          <w:sz w:val="19"/>
          <w:szCs w:val="19"/>
          <w:color w:val="auto"/>
        </w:rPr>
        <w:t>occurred or shall 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49" w:lineRule="exact"/>
        <w:rPr>
          <w:rFonts w:ascii="Arial" w:cs="Arial" w:eastAsia="Arial" w:hAnsi="Arial"/>
          <w:sz w:val="19"/>
          <w:szCs w:val="19"/>
          <w:color w:val="auto"/>
        </w:rPr>
      </w:pPr>
    </w:p>
    <w:p>
      <w:pPr>
        <w:ind w:left="660" w:right="20" w:firstLine="644"/>
        <w:spacing w:after="0" w:line="287" w:lineRule="auto"/>
        <w:tabs>
          <w:tab w:leader="none" w:pos="1951" w:val="left"/>
        </w:tabs>
        <w:numPr>
          <w:ilvl w:val="0"/>
          <w:numId w:val="184"/>
        </w:numPr>
        <w:rPr>
          <w:rFonts w:ascii="Arial" w:cs="Arial" w:eastAsia="Arial" w:hAnsi="Arial"/>
          <w:sz w:val="19"/>
          <w:szCs w:val="19"/>
          <w:color w:val="auto"/>
        </w:rPr>
      </w:pPr>
      <w:r>
        <w:rPr>
          <w:rFonts w:ascii="Arial" w:cs="Arial" w:eastAsia="Arial" w:hAnsi="Arial"/>
          <w:sz w:val="19"/>
          <w:szCs w:val="19"/>
          <w:i w:val="1"/>
          <w:iCs w:val="1"/>
          <w:color w:val="auto"/>
        </w:rPr>
        <w:t xml:space="preserve">Officers’ Certificate. </w:t>
      </w:r>
      <w:r>
        <w:rPr>
          <w:rFonts w:ascii="Arial" w:cs="Arial" w:eastAsia="Arial" w:hAnsi="Arial"/>
          <w:sz w:val="19"/>
          <w:szCs w:val="19"/>
          <w:color w:val="auto"/>
        </w:rPr>
        <w:t>The Representatives shall have received on and as of the Closing Date or the</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Closing Date, as the case may be, (x)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of the Company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(b) and (c) above and (y) a certificate of each of the Selling Stockholders, in form and substance reasonably satisfactory to the Representative, (A) confirming that the representations of such Selling Stockholder set forth in Sections 4(e), 4(f) and 4(g) hereof is true and correct and (B) confirming that the</w:t>
      </w:r>
    </w:p>
    <w:p>
      <w:pPr>
        <w:sectPr>
          <w:pgSz w:w="11900" w:h="16838" w:orient="portrait"/>
          <w:cols w:equalWidth="0" w:num="1">
            <w:col w:w="11220"/>
          </w:cols>
          <w:pgMar w:left="320" w:top="1428" w:right="359" w:bottom="1440" w:gutter="0" w:footer="0" w:header="0"/>
        </w:sectPr>
      </w:pPr>
    </w:p>
    <w:bookmarkStart w:id="262" w:name="page263"/>
    <w:bookmarkEnd w:id="262"/>
    <w:p>
      <w:pPr>
        <w:spacing w:after="0" w:line="253" w:lineRule="auto"/>
        <w:rPr>
          <w:sz w:val="20"/>
          <w:szCs w:val="20"/>
          <w:color w:val="auto"/>
        </w:rPr>
      </w:pPr>
      <w:r>
        <w:rPr>
          <w:rFonts w:ascii="Arial" w:cs="Arial" w:eastAsia="Arial" w:hAnsi="Arial"/>
          <w:sz w:val="22"/>
          <w:szCs w:val="22"/>
          <w:color w:val="auto"/>
        </w:rPr>
        <w:t>other representations and warranties of such Selling Stockholder in this agreement are true and correct and that the such Selling Stockholder has complied with all agreements and satisfied all conditions on their part to be performed or satisfied hereunder at or prior to such Closing Date.</w:t>
      </w:r>
    </w:p>
    <w:p>
      <w:pPr>
        <w:spacing w:after="0" w:line="185" w:lineRule="exact"/>
        <w:rPr>
          <w:sz w:val="20"/>
          <w:szCs w:val="20"/>
          <w:color w:val="auto"/>
        </w:rPr>
      </w:pPr>
    </w:p>
    <w:p>
      <w:pPr>
        <w:ind w:right="40" w:firstLine="644"/>
        <w:spacing w:after="0" w:line="290" w:lineRule="auto"/>
        <w:tabs>
          <w:tab w:leader="none" w:pos="1293" w:val="left"/>
        </w:tabs>
        <w:numPr>
          <w:ilvl w:val="0"/>
          <w:numId w:val="185"/>
        </w:numPr>
        <w:rPr>
          <w:rFonts w:ascii="Arial" w:cs="Arial" w:eastAsia="Arial" w:hAnsi="Arial"/>
          <w:sz w:val="19"/>
          <w:szCs w:val="19"/>
          <w:color w:val="auto"/>
        </w:rPr>
      </w:pPr>
      <w:r>
        <w:rPr>
          <w:rFonts w:ascii="Arial" w:cs="Arial" w:eastAsia="Arial" w:hAnsi="Arial"/>
          <w:sz w:val="19"/>
          <w:szCs w:val="19"/>
          <w:i w:val="1"/>
          <w:iCs w:val="1"/>
          <w:color w:val="auto"/>
        </w:rPr>
        <w:t xml:space="preserve">Comfort Letters. </w:t>
      </w:r>
      <w:r>
        <w:rPr>
          <w:rFonts w:ascii="Arial" w:cs="Arial" w:eastAsia="Arial" w:hAnsi="Arial"/>
          <w:sz w:val="19"/>
          <w:szCs w:val="19"/>
          <w:color w:val="auto"/>
        </w:rPr>
        <w:t>On the date of this Agreement and on the Closing Date or the Additional Closing Date, as</w:t>
      </w:r>
      <w:r>
        <w:rPr>
          <w:rFonts w:ascii="Arial" w:cs="Arial" w:eastAsia="Arial" w:hAnsi="Arial"/>
          <w:sz w:val="19"/>
          <w:szCs w:val="19"/>
          <w:i w:val="1"/>
          <w:iCs w:val="1"/>
          <w:color w:val="auto"/>
        </w:rPr>
        <w:t xml:space="preserve"> </w:t>
      </w:r>
      <w:r>
        <w:rPr>
          <w:rFonts w:ascii="Arial" w:cs="Arial" w:eastAsia="Arial" w:hAnsi="Arial"/>
          <w:sz w:val="19"/>
          <w:szCs w:val="19"/>
          <w:color w:val="auto"/>
        </w:rPr>
        <w:t>the case may be, Deloitte &amp; Touche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the letter delivered on the Closing Date or the Additional Closing Date, as the case may be, shall use a “cut-off” date no more than two business days prior to such Closing Date or such Additional Closing Date, as the case may be.</w:t>
      </w:r>
    </w:p>
    <w:p>
      <w:pPr>
        <w:spacing w:after="0" w:line="155" w:lineRule="exact"/>
        <w:rPr>
          <w:rFonts w:ascii="Arial" w:cs="Arial" w:eastAsia="Arial" w:hAnsi="Arial"/>
          <w:sz w:val="19"/>
          <w:szCs w:val="19"/>
          <w:color w:val="auto"/>
        </w:rPr>
      </w:pPr>
    </w:p>
    <w:p>
      <w:pPr>
        <w:ind w:right="220" w:firstLine="644"/>
        <w:spacing w:after="0" w:line="302" w:lineRule="auto"/>
        <w:tabs>
          <w:tab w:leader="none" w:pos="1296" w:val="left"/>
        </w:tabs>
        <w:numPr>
          <w:ilvl w:val="0"/>
          <w:numId w:val="185"/>
        </w:numPr>
        <w:rPr>
          <w:rFonts w:ascii="Arial" w:cs="Arial" w:eastAsia="Arial" w:hAnsi="Arial"/>
          <w:sz w:val="19"/>
          <w:szCs w:val="19"/>
          <w:color w:val="auto"/>
        </w:rPr>
      </w:pPr>
      <w:r>
        <w:rPr>
          <w:rFonts w:ascii="Arial" w:cs="Arial" w:eastAsia="Arial" w:hAnsi="Arial"/>
          <w:sz w:val="19"/>
          <w:szCs w:val="19"/>
          <w:i w:val="1"/>
          <w:iCs w:val="1"/>
          <w:color w:val="auto"/>
        </w:rPr>
        <w:t xml:space="preserve">Opinion and 10b-5 Statement of Counsel </w:t>
      </w:r>
      <w:r>
        <w:rPr>
          <w:rFonts w:ascii="Arial" w:cs="Arial" w:eastAsia="Arial" w:hAnsi="Arial"/>
          <w:sz w:val="19"/>
          <w:szCs w:val="19"/>
          <w:color w:val="auto"/>
        </w:rPr>
        <w:t>for the Company. Wilson Sonsini Goodrich &amp; Rosati,</w:t>
      </w:r>
      <w:r>
        <w:rPr>
          <w:rFonts w:ascii="Arial" w:cs="Arial" w:eastAsia="Arial" w:hAnsi="Arial"/>
          <w:sz w:val="19"/>
          <w:szCs w:val="19"/>
          <w:i w:val="1"/>
          <w:iCs w:val="1"/>
          <w:color w:val="auto"/>
        </w:rPr>
        <w:t xml:space="preserve"> </w:t>
      </w:r>
      <w:r>
        <w:rPr>
          <w:rFonts w:ascii="Arial" w:cs="Arial" w:eastAsia="Arial" w:hAnsi="Arial"/>
          <w:sz w:val="19"/>
          <w:szCs w:val="19"/>
          <w:color w:val="auto"/>
        </w:rPr>
        <w:t>Professional Corporation, counsel for the Company, shall have furnished to 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142" w:lineRule="exact"/>
        <w:rPr>
          <w:rFonts w:ascii="Arial" w:cs="Arial" w:eastAsia="Arial" w:hAnsi="Arial"/>
          <w:sz w:val="19"/>
          <w:szCs w:val="19"/>
          <w:color w:val="auto"/>
        </w:rPr>
      </w:pPr>
    </w:p>
    <w:p>
      <w:pPr>
        <w:ind w:right="40" w:firstLine="644"/>
        <w:spacing w:after="0" w:line="302" w:lineRule="auto"/>
        <w:tabs>
          <w:tab w:leader="none" w:pos="1291" w:val="left"/>
        </w:tabs>
        <w:numPr>
          <w:ilvl w:val="0"/>
          <w:numId w:val="185"/>
        </w:numPr>
        <w:rPr>
          <w:rFonts w:ascii="Arial" w:cs="Arial" w:eastAsia="Arial" w:hAnsi="Arial"/>
          <w:sz w:val="19"/>
          <w:szCs w:val="19"/>
          <w:color w:val="auto"/>
        </w:rPr>
      </w:pPr>
      <w:r>
        <w:rPr>
          <w:rFonts w:ascii="Arial" w:cs="Arial" w:eastAsia="Arial" w:hAnsi="Arial"/>
          <w:sz w:val="19"/>
          <w:szCs w:val="19"/>
          <w:i w:val="1"/>
          <w:iCs w:val="1"/>
          <w:color w:val="auto"/>
        </w:rPr>
        <w:t xml:space="preserve">Opinion of Intellectual Property Counsel for the Company. </w:t>
      </w:r>
      <w:r>
        <w:rPr>
          <w:rFonts w:ascii="Arial" w:cs="Arial" w:eastAsia="Arial" w:hAnsi="Arial"/>
          <w:sz w:val="19"/>
          <w:szCs w:val="19"/>
          <w:color w:val="auto"/>
        </w:rPr>
        <w:t>Wilson Sonsini Goodrich &amp; Rosati,</w:t>
      </w:r>
      <w:r>
        <w:rPr>
          <w:rFonts w:ascii="Arial" w:cs="Arial" w:eastAsia="Arial" w:hAnsi="Arial"/>
          <w:sz w:val="19"/>
          <w:szCs w:val="19"/>
          <w:i w:val="1"/>
          <w:iCs w:val="1"/>
          <w:color w:val="auto"/>
        </w:rPr>
        <w:t xml:space="preserve"> </w:t>
      </w:r>
      <w:r>
        <w:rPr>
          <w:rFonts w:ascii="Arial" w:cs="Arial" w:eastAsia="Arial" w:hAnsi="Arial"/>
          <w:sz w:val="19"/>
          <w:szCs w:val="19"/>
          <w:color w:val="auto"/>
        </w:rPr>
        <w:t>Professional Corporation, intellectual property counsel for the Company, shall have furnished to the Representatives, at the request of the Company, their written opinion, dated the Closing Date or the Additional Closing Date, as the case may be, and addressed to the Underwriters, in form and substance reasonably satisfactory to the Representatives.</w:t>
      </w:r>
    </w:p>
    <w:p>
      <w:pPr>
        <w:spacing w:after="0" w:line="142" w:lineRule="exact"/>
        <w:rPr>
          <w:rFonts w:ascii="Arial" w:cs="Arial" w:eastAsia="Arial" w:hAnsi="Arial"/>
          <w:sz w:val="19"/>
          <w:szCs w:val="19"/>
          <w:color w:val="auto"/>
        </w:rPr>
      </w:pPr>
    </w:p>
    <w:p>
      <w:pPr>
        <w:jc w:val="both"/>
        <w:ind w:right="180" w:firstLine="644"/>
        <w:spacing w:after="0" w:line="250" w:lineRule="auto"/>
        <w:tabs>
          <w:tab w:leader="none" w:pos="1291" w:val="left"/>
        </w:tabs>
        <w:numPr>
          <w:ilvl w:val="0"/>
          <w:numId w:val="185"/>
        </w:numPr>
        <w:rPr>
          <w:rFonts w:ascii="Arial" w:cs="Arial" w:eastAsia="Arial" w:hAnsi="Arial"/>
          <w:sz w:val="22"/>
          <w:szCs w:val="22"/>
          <w:color w:val="auto"/>
        </w:rPr>
      </w:pPr>
      <w:r>
        <w:rPr>
          <w:rFonts w:ascii="Arial" w:cs="Arial" w:eastAsia="Arial" w:hAnsi="Arial"/>
          <w:sz w:val="22"/>
          <w:szCs w:val="22"/>
          <w:i w:val="1"/>
          <w:iCs w:val="1"/>
          <w:color w:val="auto"/>
        </w:rPr>
        <w:t>Opinion of Counsel for the Selling Stockholders</w:t>
      </w:r>
      <w:r>
        <w:rPr>
          <w:rFonts w:ascii="Arial" w:cs="Arial" w:eastAsia="Arial" w:hAnsi="Arial"/>
          <w:sz w:val="22"/>
          <w:szCs w:val="22"/>
          <w:color w:val="auto"/>
        </w:rPr>
        <w:t>. Whalen LLP, counsel for the Selling Stockholders, shall</w:t>
      </w:r>
      <w:r>
        <w:rPr>
          <w:rFonts w:ascii="Arial" w:cs="Arial" w:eastAsia="Arial" w:hAnsi="Arial"/>
          <w:sz w:val="22"/>
          <w:szCs w:val="22"/>
          <w:i w:val="1"/>
          <w:iCs w:val="1"/>
          <w:color w:val="auto"/>
        </w:rPr>
        <w:t xml:space="preserve"> </w:t>
      </w:r>
      <w:r>
        <w:rPr>
          <w:rFonts w:ascii="Arial" w:cs="Arial" w:eastAsia="Arial" w:hAnsi="Arial"/>
          <w:sz w:val="22"/>
          <w:szCs w:val="22"/>
          <w:color w:val="auto"/>
        </w:rPr>
        <w:t>have furnished to the Representative, at the request of the Selling Stockholders, their written opinion, dated the Closing Date or the Additional Closing Date, as the case may be, and addressed to the Underwriters, in form and substance reasonably satisfactory to the Representatives.</w:t>
      </w:r>
    </w:p>
    <w:p>
      <w:pPr>
        <w:spacing w:after="0" w:line="187" w:lineRule="exact"/>
        <w:rPr>
          <w:rFonts w:ascii="Arial" w:cs="Arial" w:eastAsia="Arial" w:hAnsi="Arial"/>
          <w:sz w:val="22"/>
          <w:szCs w:val="22"/>
          <w:color w:val="auto"/>
        </w:rPr>
      </w:pPr>
    </w:p>
    <w:p>
      <w:pPr>
        <w:ind w:right="60" w:firstLine="644"/>
        <w:spacing w:after="0" w:line="263" w:lineRule="auto"/>
        <w:tabs>
          <w:tab w:leader="none" w:pos="1284" w:val="left"/>
        </w:tabs>
        <w:numPr>
          <w:ilvl w:val="0"/>
          <w:numId w:val="185"/>
        </w:numPr>
        <w:rPr>
          <w:rFonts w:ascii="Arial" w:cs="Arial" w:eastAsia="Arial" w:hAnsi="Arial"/>
          <w:sz w:val="21"/>
          <w:szCs w:val="21"/>
          <w:color w:val="auto"/>
        </w:rPr>
      </w:pPr>
      <w:r>
        <w:rPr>
          <w:rFonts w:ascii="Arial" w:cs="Arial" w:eastAsia="Arial" w:hAnsi="Arial"/>
          <w:sz w:val="21"/>
          <w:szCs w:val="21"/>
          <w:i w:val="1"/>
          <w:iCs w:val="1"/>
          <w:color w:val="auto"/>
        </w:rPr>
        <w:t xml:space="preserve">Opinion and 10b-5 Statement of Counsel for the Underwriters. </w:t>
      </w:r>
      <w:r>
        <w:rPr>
          <w:rFonts w:ascii="Arial" w:cs="Arial" w:eastAsia="Arial" w:hAnsi="Arial"/>
          <w:sz w:val="21"/>
          <w:szCs w:val="21"/>
          <w:color w:val="auto"/>
        </w:rPr>
        <w:t>The Representatives shall have received on</w:t>
      </w:r>
      <w:r>
        <w:rPr>
          <w:rFonts w:ascii="Arial" w:cs="Arial" w:eastAsia="Arial" w:hAnsi="Arial"/>
          <w:sz w:val="21"/>
          <w:szCs w:val="21"/>
          <w:i w:val="1"/>
          <w:iCs w:val="1"/>
          <w:color w:val="auto"/>
        </w:rPr>
        <w:t xml:space="preserve"> </w:t>
      </w:r>
      <w:r>
        <w:rPr>
          <w:rFonts w:ascii="Arial" w:cs="Arial" w:eastAsia="Arial" w:hAnsi="Arial"/>
          <w:sz w:val="21"/>
          <w:szCs w:val="21"/>
          <w:color w:val="auto"/>
        </w:rPr>
        <w:t>and as of the Closing Date or 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ectPr>
          <w:pgSz w:w="11900" w:h="16838" w:orient="portrait"/>
          <w:cols w:equalWidth="0" w:num="1">
            <w:col w:w="10560"/>
          </w:cols>
          <w:pgMar w:left="980" w:top="1428" w:right="359" w:bottom="1440" w:gutter="0" w:footer="0" w:header="0"/>
        </w:sectPr>
      </w:pPr>
    </w:p>
    <w:bookmarkStart w:id="263" w:name="page264"/>
    <w:bookmarkEnd w:id="263"/>
    <w:p>
      <w:pPr>
        <w:ind w:left="660" w:right="20" w:firstLine="644"/>
        <w:spacing w:after="0" w:line="297" w:lineRule="auto"/>
        <w:tabs>
          <w:tab w:leader="none" w:pos="1944" w:val="left"/>
        </w:tabs>
        <w:numPr>
          <w:ilvl w:val="0"/>
          <w:numId w:val="186"/>
        </w:numPr>
        <w:rPr>
          <w:rFonts w:ascii="Arial" w:cs="Arial" w:eastAsia="Arial" w:hAnsi="Arial"/>
          <w:sz w:val="19"/>
          <w:szCs w:val="19"/>
          <w:color w:val="auto"/>
        </w:rPr>
      </w:pPr>
      <w:r>
        <w:rPr>
          <w:rFonts w:ascii="Arial" w:cs="Arial" w:eastAsia="Arial" w:hAnsi="Arial"/>
          <w:sz w:val="19"/>
          <w:szCs w:val="19"/>
          <w:i w:val="1"/>
          <w:iCs w:val="1"/>
          <w:color w:val="auto"/>
        </w:rPr>
        <w:t xml:space="preserve">No Legal Impediment to Issuance and Sale. </w:t>
      </w:r>
      <w:r>
        <w:rPr>
          <w:rFonts w:ascii="Arial" w:cs="Arial" w:eastAsia="Arial" w:hAnsi="Arial"/>
          <w:sz w:val="19"/>
          <w:szCs w:val="19"/>
          <w:color w:val="auto"/>
        </w:rPr>
        <w:t>No action shall have been taken and no statute, rule, regulation</w:t>
      </w:r>
      <w:r>
        <w:rPr>
          <w:rFonts w:ascii="Arial" w:cs="Arial" w:eastAsia="Arial" w:hAnsi="Arial"/>
          <w:sz w:val="19"/>
          <w:szCs w:val="19"/>
          <w:i w:val="1"/>
          <w:iCs w:val="1"/>
          <w:color w:val="auto"/>
        </w:rPr>
        <w:t xml:space="preserve"> </w:t>
      </w:r>
      <w:r>
        <w:rPr>
          <w:rFonts w:ascii="Arial" w:cs="Arial" w:eastAsia="Arial" w:hAnsi="Arial"/>
          <w:sz w:val="19"/>
          <w:szCs w:val="19"/>
          <w:color w:val="auto"/>
        </w:rPr>
        <w:t>or order shall have been 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46" w:lineRule="exact"/>
        <w:rPr>
          <w:rFonts w:ascii="Arial" w:cs="Arial" w:eastAsia="Arial" w:hAnsi="Arial"/>
          <w:sz w:val="19"/>
          <w:szCs w:val="19"/>
          <w:color w:val="auto"/>
        </w:rPr>
      </w:pPr>
    </w:p>
    <w:p>
      <w:pPr>
        <w:ind w:left="660" w:right="20" w:firstLine="644"/>
        <w:spacing w:after="0" w:line="248" w:lineRule="auto"/>
        <w:tabs>
          <w:tab w:leader="none" w:pos="1951" w:val="left"/>
        </w:tabs>
        <w:numPr>
          <w:ilvl w:val="0"/>
          <w:numId w:val="186"/>
        </w:numPr>
        <w:rPr>
          <w:rFonts w:ascii="Arial" w:cs="Arial" w:eastAsia="Arial" w:hAnsi="Arial"/>
          <w:sz w:val="22"/>
          <w:szCs w:val="22"/>
          <w:color w:val="auto"/>
        </w:rPr>
      </w:pPr>
      <w:r>
        <w:rPr>
          <w:rFonts w:ascii="Arial" w:cs="Arial" w:eastAsia="Arial" w:hAnsi="Arial"/>
          <w:sz w:val="22"/>
          <w:szCs w:val="22"/>
          <w:i w:val="1"/>
          <w:iCs w:val="1"/>
          <w:color w:val="auto"/>
        </w:rPr>
        <w:t>Good Standing</w:t>
      </w:r>
      <w:r>
        <w:rPr>
          <w:rFonts w:ascii="Arial" w:cs="Arial" w:eastAsia="Arial" w:hAnsi="Arial"/>
          <w:sz w:val="22"/>
          <w:szCs w:val="22"/>
          <w:color w:val="auto"/>
        </w:rPr>
        <w:t>. The Representatives shall have received on and as of the Closing Date or the Additional</w:t>
      </w:r>
      <w:r>
        <w:rPr>
          <w:rFonts w:ascii="Arial" w:cs="Arial" w:eastAsia="Arial" w:hAnsi="Arial"/>
          <w:sz w:val="22"/>
          <w:szCs w:val="22"/>
          <w:i w:val="1"/>
          <w:iCs w:val="1"/>
          <w:color w:val="auto"/>
        </w:rPr>
        <w:t xml:space="preserve"> </w:t>
      </w:r>
      <w:r>
        <w:rPr>
          <w:rFonts w:ascii="Arial" w:cs="Arial" w:eastAsia="Arial" w:hAnsi="Arial"/>
          <w:sz w:val="22"/>
          <w:szCs w:val="22"/>
          <w:color w:val="auto"/>
        </w:rPr>
        <w:t>Closing Date, as the case may be, satisfactory evidence of the good standing of the Company and its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91" w:lineRule="exact"/>
        <w:rPr>
          <w:rFonts w:ascii="Arial" w:cs="Arial" w:eastAsia="Arial" w:hAnsi="Arial"/>
          <w:sz w:val="22"/>
          <w:szCs w:val="22"/>
          <w:color w:val="auto"/>
        </w:rPr>
      </w:pPr>
    </w:p>
    <w:p>
      <w:pPr>
        <w:ind w:left="660" w:right="260" w:firstLine="644"/>
        <w:spacing w:after="0" w:line="253" w:lineRule="auto"/>
        <w:tabs>
          <w:tab w:leader="none" w:pos="1944" w:val="left"/>
        </w:tabs>
        <w:numPr>
          <w:ilvl w:val="0"/>
          <w:numId w:val="186"/>
        </w:numPr>
        <w:rPr>
          <w:rFonts w:ascii="Arial" w:cs="Arial" w:eastAsia="Arial" w:hAnsi="Arial"/>
          <w:sz w:val="22"/>
          <w:szCs w:val="22"/>
          <w:color w:val="auto"/>
        </w:rPr>
      </w:pPr>
      <w:r>
        <w:rPr>
          <w:rFonts w:ascii="Arial" w:cs="Arial" w:eastAsia="Arial" w:hAnsi="Arial"/>
          <w:sz w:val="22"/>
          <w:szCs w:val="22"/>
          <w:i w:val="1"/>
          <w:iCs w:val="1"/>
          <w:color w:val="auto"/>
        </w:rPr>
        <w:t xml:space="preserve">Exchange Listing. </w:t>
      </w:r>
      <w:r>
        <w:rPr>
          <w:rFonts w:ascii="Arial" w:cs="Arial" w:eastAsia="Arial" w:hAnsi="Arial"/>
          <w:sz w:val="22"/>
          <w:szCs w:val="22"/>
          <w:color w:val="auto"/>
        </w:rPr>
        <w:t>The Shares to be delivered on the Closing Date or the Additional Closing Date, as the</w:t>
      </w:r>
      <w:r>
        <w:rPr>
          <w:rFonts w:ascii="Arial" w:cs="Arial" w:eastAsia="Arial" w:hAnsi="Arial"/>
          <w:sz w:val="22"/>
          <w:szCs w:val="22"/>
          <w:i w:val="1"/>
          <w:iCs w:val="1"/>
          <w:color w:val="auto"/>
        </w:rPr>
        <w:t xml:space="preserve"> </w:t>
      </w:r>
      <w:r>
        <w:rPr>
          <w:rFonts w:ascii="Arial" w:cs="Arial" w:eastAsia="Arial" w:hAnsi="Arial"/>
          <w:sz w:val="22"/>
          <w:szCs w:val="22"/>
          <w:color w:val="auto"/>
        </w:rPr>
        <w:t>case may be, shall have been approved for listing on the Nasdaq Global Select Market, subject to official notice of issuance.</w:t>
      </w:r>
    </w:p>
    <w:p>
      <w:pPr>
        <w:spacing w:after="0" w:line="185" w:lineRule="exact"/>
        <w:rPr>
          <w:rFonts w:ascii="Arial" w:cs="Arial" w:eastAsia="Arial" w:hAnsi="Arial"/>
          <w:sz w:val="22"/>
          <w:szCs w:val="22"/>
          <w:color w:val="auto"/>
        </w:rPr>
      </w:pPr>
    </w:p>
    <w:p>
      <w:pPr>
        <w:ind w:left="660" w:right="80" w:firstLine="644"/>
        <w:spacing w:after="0" w:line="302" w:lineRule="auto"/>
        <w:tabs>
          <w:tab w:leader="none" w:pos="1944" w:val="left"/>
        </w:tabs>
        <w:numPr>
          <w:ilvl w:val="0"/>
          <w:numId w:val="186"/>
        </w:numPr>
        <w:rPr>
          <w:rFonts w:ascii="Arial" w:cs="Arial" w:eastAsia="Arial" w:hAnsi="Arial"/>
          <w:sz w:val="19"/>
          <w:szCs w:val="19"/>
          <w:color w:val="auto"/>
        </w:rPr>
      </w:pPr>
      <w:r>
        <w:rPr>
          <w:rFonts w:ascii="Arial" w:cs="Arial" w:eastAsia="Arial" w:hAnsi="Arial"/>
          <w:sz w:val="19"/>
          <w:szCs w:val="19"/>
          <w:i w:val="1"/>
          <w:iCs w:val="1"/>
          <w:color w:val="auto"/>
        </w:rPr>
        <w:t>Lock-up Agreements</w:t>
      </w:r>
      <w:r>
        <w:rPr>
          <w:rFonts w:ascii="Arial" w:cs="Arial" w:eastAsia="Arial" w:hAnsi="Arial"/>
          <w:sz w:val="19"/>
          <w:szCs w:val="19"/>
          <w:color w:val="auto"/>
        </w:rPr>
        <w:t>. The “lock-up” agreements, each substantially in the form of Exhibit D hereto,</w:t>
      </w:r>
      <w:r>
        <w:rPr>
          <w:rFonts w:ascii="Arial" w:cs="Arial" w:eastAsia="Arial" w:hAnsi="Arial"/>
          <w:sz w:val="19"/>
          <w:szCs w:val="19"/>
          <w:i w:val="1"/>
          <w:iCs w:val="1"/>
          <w:color w:val="auto"/>
        </w:rPr>
        <w:t xml:space="preserve"> </w:t>
      </w:r>
      <w:r>
        <w:rPr>
          <w:rFonts w:ascii="Arial" w:cs="Arial" w:eastAsia="Arial" w:hAnsi="Arial"/>
          <w:sz w:val="19"/>
          <w:szCs w:val="19"/>
          <w:color w:val="auto"/>
        </w:rPr>
        <w:t>between you and certain shareholders, officers and directors of the Company, including the Selling Stockholders,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142" w:lineRule="exact"/>
        <w:rPr>
          <w:rFonts w:ascii="Arial" w:cs="Arial" w:eastAsia="Arial" w:hAnsi="Arial"/>
          <w:sz w:val="19"/>
          <w:szCs w:val="19"/>
          <w:color w:val="auto"/>
        </w:rPr>
      </w:pPr>
    </w:p>
    <w:p>
      <w:pPr>
        <w:ind w:left="660" w:firstLine="644"/>
        <w:spacing w:after="0" w:line="250" w:lineRule="auto"/>
        <w:tabs>
          <w:tab w:leader="none" w:pos="1951" w:val="left"/>
        </w:tabs>
        <w:numPr>
          <w:ilvl w:val="0"/>
          <w:numId w:val="186"/>
        </w:numPr>
        <w:rPr>
          <w:rFonts w:ascii="Arial" w:cs="Arial" w:eastAsia="Arial" w:hAnsi="Arial"/>
          <w:sz w:val="22"/>
          <w:szCs w:val="22"/>
          <w:color w:val="auto"/>
        </w:rPr>
      </w:pPr>
      <w:r>
        <w:rPr>
          <w:rFonts w:ascii="Arial" w:cs="Arial" w:eastAsia="Arial" w:hAnsi="Arial"/>
          <w:sz w:val="22"/>
          <w:szCs w:val="22"/>
          <w:i w:val="1"/>
          <w:iCs w:val="1"/>
          <w:color w:val="auto"/>
        </w:rPr>
        <w:t>Certificate of the Chief Financial Officer</w:t>
      </w:r>
      <w:r>
        <w:rPr>
          <w:rFonts w:ascii="Arial" w:cs="Arial" w:eastAsia="Arial" w:hAnsi="Arial"/>
          <w:sz w:val="22"/>
          <w:szCs w:val="22"/>
          <w:color w:val="auto"/>
        </w:rPr>
        <w:t>. The Representatives shall have received on and as of the Closing</w:t>
      </w:r>
      <w:r>
        <w:rPr>
          <w:rFonts w:ascii="Arial" w:cs="Arial" w:eastAsia="Arial" w:hAnsi="Arial"/>
          <w:sz w:val="22"/>
          <w:szCs w:val="22"/>
          <w:i w:val="1"/>
          <w:iCs w:val="1"/>
          <w:color w:val="auto"/>
        </w:rPr>
        <w:t xml:space="preserve"> </w:t>
      </w:r>
      <w:r>
        <w:rPr>
          <w:rFonts w:ascii="Arial" w:cs="Arial" w:eastAsia="Arial" w:hAnsi="Arial"/>
          <w:sz w:val="22"/>
          <w:szCs w:val="22"/>
          <w:color w:val="auto"/>
        </w:rPr>
        <w:t>Date or the Additional Closing Date, as the case may be, a certificate of the chief financial officer of the Company with respect to certain financial data contained in the Pricing Disclosure Package and the Prospectus, in form and substance reasonably satisfactory to the Representatives.</w:t>
      </w:r>
    </w:p>
    <w:p>
      <w:pPr>
        <w:spacing w:after="0" w:line="187" w:lineRule="exact"/>
        <w:rPr>
          <w:rFonts w:ascii="Arial" w:cs="Arial" w:eastAsia="Arial" w:hAnsi="Arial"/>
          <w:sz w:val="22"/>
          <w:szCs w:val="22"/>
          <w:color w:val="auto"/>
        </w:rPr>
      </w:pPr>
    </w:p>
    <w:p>
      <w:pPr>
        <w:ind w:left="660" w:right="40" w:firstLine="644"/>
        <w:spacing w:after="0" w:line="253" w:lineRule="auto"/>
        <w:tabs>
          <w:tab w:leader="none" w:pos="1951" w:val="left"/>
        </w:tabs>
        <w:numPr>
          <w:ilvl w:val="0"/>
          <w:numId w:val="186"/>
        </w:numPr>
        <w:rPr>
          <w:rFonts w:ascii="Arial" w:cs="Arial" w:eastAsia="Arial" w:hAnsi="Arial"/>
          <w:sz w:val="22"/>
          <w:szCs w:val="22"/>
          <w:color w:val="auto"/>
        </w:rPr>
      </w:pPr>
      <w:r>
        <w:rPr>
          <w:rFonts w:ascii="Arial" w:cs="Arial" w:eastAsia="Arial" w:hAnsi="Arial"/>
          <w:sz w:val="22"/>
          <w:szCs w:val="22"/>
          <w:i w:val="1"/>
          <w:iCs w:val="1"/>
          <w:color w:val="auto"/>
        </w:rPr>
        <w:t xml:space="preserve">Additional Documents. </w:t>
      </w:r>
      <w:r>
        <w:rPr>
          <w:rFonts w:ascii="Arial" w:cs="Arial" w:eastAsia="Arial" w:hAnsi="Arial"/>
          <w:sz w:val="22"/>
          <w:szCs w:val="22"/>
          <w:color w:val="auto"/>
        </w:rPr>
        <w:t>On or prior to the Closing Date or the Additional Closing Date, as the case may be,</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and the Selling Stockholders shall have furnished to the Representatives such further certificates and documents as the Representatives may reasonably request.</w:t>
      </w:r>
    </w:p>
    <w:p>
      <w:pPr>
        <w:spacing w:after="0" w:line="185"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85"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20" w:lineRule="exact"/>
        <w:rPr>
          <w:sz w:val="20"/>
          <w:szCs w:val="20"/>
          <w:color w:val="auto"/>
        </w:rPr>
      </w:pPr>
    </w:p>
    <w:p>
      <w:pPr>
        <w:ind w:right="380" w:firstLine="656"/>
        <w:spacing w:after="0" w:line="253" w:lineRule="auto"/>
        <w:tabs>
          <w:tab w:leader="none" w:pos="1293" w:val="left"/>
        </w:tabs>
        <w:numPr>
          <w:ilvl w:val="0"/>
          <w:numId w:val="188"/>
        </w:numPr>
        <w:rPr>
          <w:rFonts w:ascii="Arial" w:cs="Arial" w:eastAsia="Arial" w:hAnsi="Arial"/>
          <w:sz w:val="22"/>
          <w:szCs w:val="22"/>
          <w:color w:val="auto"/>
        </w:rPr>
      </w:pPr>
      <w:r>
        <w:rPr>
          <w:rFonts w:ascii="Arial" w:cs="Arial" w:eastAsia="Arial" w:hAnsi="Arial"/>
          <w:sz w:val="22"/>
          <w:szCs w:val="22"/>
          <w:i w:val="1"/>
          <w:iCs w:val="1"/>
          <w:color w:val="auto"/>
        </w:rPr>
        <w:t xml:space="preserve">Indemnification of the Underwriters and the Selling Stockholders by the Company. </w:t>
      </w:r>
      <w:r>
        <w:rPr>
          <w:rFonts w:ascii="Arial" w:cs="Arial" w:eastAsia="Arial" w:hAnsi="Arial"/>
          <w:sz w:val="22"/>
          <w:szCs w:val="22"/>
          <w:color w:val="auto"/>
        </w:rPr>
        <w:t>The Company agrees to</w:t>
      </w:r>
      <w:r>
        <w:rPr>
          <w:rFonts w:ascii="Arial" w:cs="Arial" w:eastAsia="Arial" w:hAnsi="Arial"/>
          <w:sz w:val="22"/>
          <w:szCs w:val="22"/>
          <w:i w:val="1"/>
          <w:iCs w:val="1"/>
          <w:color w:val="auto"/>
        </w:rPr>
        <w:t xml:space="preserve"> </w:t>
      </w:r>
      <w:r>
        <w:rPr>
          <w:rFonts w:ascii="Arial" w:cs="Arial" w:eastAsia="Arial" w:hAnsi="Arial"/>
          <w:sz w:val="22"/>
          <w:szCs w:val="22"/>
          <w:color w:val="auto"/>
        </w:rPr>
        <w:t>indemnify and hold harmless each Underwriter, each Selling Stockholder, and each of their respective affiliates, directors and officers and each person, if any,</w:t>
      </w:r>
    </w:p>
    <w:p>
      <w:pPr>
        <w:sectPr>
          <w:pgSz w:w="11900" w:h="16838" w:orient="portrait"/>
          <w:cols w:equalWidth="0" w:num="1">
            <w:col w:w="11220"/>
          </w:cols>
          <w:pgMar w:left="320" w:top="1428" w:right="359" w:bottom="1440" w:gutter="0" w:footer="0" w:header="0"/>
        </w:sectPr>
      </w:pPr>
    </w:p>
    <w:bookmarkStart w:id="264" w:name="page265"/>
    <w:bookmarkEnd w:id="264"/>
    <w:p>
      <w:pPr>
        <w:spacing w:after="0" w:line="285" w:lineRule="auto"/>
        <w:rPr>
          <w:sz w:val="20"/>
          <w:szCs w:val="20"/>
          <w:color w:val="auto"/>
        </w:rPr>
      </w:pPr>
      <w:r>
        <w:rPr>
          <w:rFonts w:ascii="Arial" w:cs="Arial" w:eastAsia="Arial" w:hAnsi="Arial"/>
          <w:sz w:val="19"/>
          <w:szCs w:val="19"/>
          <w:color w:val="auto"/>
        </w:rPr>
        <w:t>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w:t>
      </w:r>
    </w:p>
    <w:p>
      <w:pPr>
        <w:spacing w:after="0" w:line="169" w:lineRule="exact"/>
        <w:rPr>
          <w:sz w:val="20"/>
          <w:szCs w:val="20"/>
          <w:color w:val="auto"/>
        </w:rPr>
      </w:pPr>
    </w:p>
    <w:p>
      <w:pPr>
        <w:ind w:right="120" w:firstLine="656"/>
        <w:spacing w:after="0" w:line="285" w:lineRule="auto"/>
        <w:tabs>
          <w:tab w:leader="none" w:pos="1291" w:val="left"/>
        </w:tabs>
        <w:numPr>
          <w:ilvl w:val="0"/>
          <w:numId w:val="189"/>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of the Underwriters and the Company by the Selling Stockholders. </w:t>
      </w:r>
      <w:r>
        <w:rPr>
          <w:rFonts w:ascii="Arial" w:cs="Arial" w:eastAsia="Arial" w:hAnsi="Arial"/>
          <w:sz w:val="19"/>
          <w:szCs w:val="19"/>
          <w:color w:val="auto"/>
        </w:rPr>
        <w:t>Each of the Selling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Stockholders severally in proportion to the number of 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and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in the Registration Statement, the Prospectus (or any amendment or supplement thereto), any Preliminary Prospectus, any Issuer Free Writing Prospectus or the Pricing Disclosure Package, it being understood and agreed that the only such information furnished by any Underwriter consists of the information described as such in paragraph (c)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each Selling Stockholder’s agreement to indemnify and hold harmless hereunder shall only apply insofar as such losses, claims, damages or liabilities arise out of, or are based upon, any untrue statement or omission or alleged untrue statement or omission of a material fact made in reliance upon and in conformity information furnished to the Company that constitutes its Selling Stockholder Information and (ii) the liability of each Selling Stockholder pursuant to this Section 9(b) shall be limited in the</w:t>
      </w:r>
    </w:p>
    <w:p>
      <w:pPr>
        <w:sectPr>
          <w:pgSz w:w="11900" w:h="16838" w:orient="portrait"/>
          <w:cols w:equalWidth="0" w:num="1">
            <w:col w:w="11240"/>
          </w:cols>
          <w:pgMar w:left="320" w:top="1428" w:right="339" w:bottom="1440" w:gutter="0" w:footer="0" w:header="0"/>
        </w:sectPr>
      </w:pPr>
    </w:p>
    <w:bookmarkStart w:id="265" w:name="page266"/>
    <w:bookmarkEnd w:id="265"/>
    <w:p>
      <w:pPr>
        <w:ind w:right="120"/>
        <w:spacing w:after="0" w:line="253" w:lineRule="auto"/>
        <w:rPr>
          <w:sz w:val="20"/>
          <w:szCs w:val="20"/>
          <w:color w:val="auto"/>
        </w:rPr>
      </w:pPr>
      <w:r>
        <w:rPr>
          <w:rFonts w:ascii="Arial" w:cs="Arial" w:eastAsia="Arial" w:hAnsi="Arial"/>
          <w:sz w:val="22"/>
          <w:szCs w:val="22"/>
          <w:color w:val="auto"/>
        </w:rPr>
        <w:t>aggregate to an amount equal to the aggregate Selling Stockholder Purchase Price (less underwriting discounts and commissions but before payment of expenses) of Shares sold by the Selling Stockholder under this Agreement (the “Selling Stockholder Proceeds”).</w:t>
      </w:r>
    </w:p>
    <w:p>
      <w:pPr>
        <w:spacing w:after="0" w:line="185" w:lineRule="exact"/>
        <w:rPr>
          <w:sz w:val="20"/>
          <w:szCs w:val="20"/>
          <w:color w:val="auto"/>
        </w:rPr>
      </w:pPr>
    </w:p>
    <w:p>
      <w:pPr>
        <w:ind w:right="20" w:firstLine="656"/>
        <w:spacing w:after="0" w:line="286" w:lineRule="auto"/>
        <w:tabs>
          <w:tab w:leader="none" w:pos="1293" w:val="left"/>
        </w:tabs>
        <w:numPr>
          <w:ilvl w:val="0"/>
          <w:numId w:val="190"/>
        </w:numPr>
        <w:rPr>
          <w:rFonts w:ascii="Arial" w:cs="Arial" w:eastAsia="Arial" w:hAnsi="Arial"/>
          <w:sz w:val="19"/>
          <w:szCs w:val="19"/>
          <w:color w:val="auto"/>
        </w:rPr>
      </w:pPr>
      <w:r>
        <w:rPr>
          <w:rFonts w:ascii="Arial" w:cs="Arial" w:eastAsia="Arial" w:hAnsi="Arial"/>
          <w:sz w:val="19"/>
          <w:szCs w:val="19"/>
          <w:i w:val="1"/>
          <w:iCs w:val="1"/>
          <w:color w:val="auto"/>
        </w:rPr>
        <w:t xml:space="preserve">Indemnification of the Company and the Selling Stockholders. </w:t>
      </w:r>
      <w:r>
        <w:rPr>
          <w:rFonts w:ascii="Arial" w:cs="Arial" w:eastAsia="Arial" w:hAnsi="Arial"/>
          <w:sz w:val="19"/>
          <w:szCs w:val="19"/>
          <w:color w:val="auto"/>
        </w:rPr>
        <w:t>Each Underwriter agrees, severally and not jointly,</w:t>
      </w:r>
      <w:r>
        <w:rPr>
          <w:rFonts w:ascii="Arial" w:cs="Arial" w:eastAsia="Arial" w:hAnsi="Arial"/>
          <w:sz w:val="19"/>
          <w:szCs w:val="19"/>
          <w:i w:val="1"/>
          <w:iCs w:val="1"/>
          <w:color w:val="auto"/>
        </w:rPr>
        <w:t xml:space="preserve"> </w:t>
      </w:r>
      <w:r>
        <w:rPr>
          <w:rFonts w:ascii="Arial" w:cs="Arial" w:eastAsia="Arial" w:hAnsi="Arial"/>
          <w:sz w:val="19"/>
          <w:szCs w:val="19"/>
          <w:color w:val="auto"/>
        </w:rPr>
        <w:t>to indemnify and hold harmless the Company, its directors, its officers who signed the Registration Statement and each person, if any, who controls the Company within the meaning of Section 15 of the Securities Act or Section 20 of the Exchange Act and the Selling Stockholders, its directors, officers, affiliates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figures appearing in the third paragraph under the caption “Underwriting” and the information contained in the sixteenth and seventeenth paragraphs under the caption “Underwriting” relating to price stabilization, short positions and penalty bids.]</w:t>
      </w:r>
      <w:r>
        <w:rPr>
          <w:rFonts w:ascii="Arial" w:cs="Arial" w:eastAsia="Arial" w:hAnsi="Arial"/>
          <w:sz w:val="25"/>
          <w:szCs w:val="25"/>
          <w:color w:val="auto"/>
          <w:vertAlign w:val="superscript"/>
        </w:rPr>
        <w:t>1</w:t>
      </w:r>
    </w:p>
    <w:p>
      <w:pPr>
        <w:spacing w:after="0" w:line="79" w:lineRule="exact"/>
        <w:rPr>
          <w:rFonts w:ascii="Arial" w:cs="Arial" w:eastAsia="Arial" w:hAnsi="Arial"/>
          <w:sz w:val="19"/>
          <w:szCs w:val="19"/>
          <w:color w:val="auto"/>
        </w:rPr>
      </w:pPr>
    </w:p>
    <w:p>
      <w:pPr>
        <w:ind w:firstLine="656"/>
        <w:spacing w:after="0" w:line="286" w:lineRule="auto"/>
        <w:tabs>
          <w:tab w:leader="none" w:pos="1291" w:val="left"/>
        </w:tabs>
        <w:numPr>
          <w:ilvl w:val="0"/>
          <w:numId w:val="190"/>
        </w:numPr>
        <w:rPr>
          <w:rFonts w:ascii="Arial" w:cs="Arial" w:eastAsia="Arial" w:hAnsi="Arial"/>
          <w:sz w:val="19"/>
          <w:szCs w:val="19"/>
          <w:color w:val="auto"/>
        </w:rPr>
      </w:pPr>
      <w:r>
        <w:rPr>
          <w:rFonts w:ascii="Arial" w:cs="Arial" w:eastAsia="Arial" w:hAnsi="Arial"/>
          <w:sz w:val="19"/>
          <w:szCs w:val="19"/>
          <w:i w:val="1"/>
          <w:iCs w:val="1"/>
          <w:color w:val="auto"/>
        </w:rPr>
        <w:t xml:space="preserve">Notice and Procedures. </w:t>
      </w:r>
      <w:r>
        <w:rPr>
          <w:rFonts w:ascii="Arial" w:cs="Arial" w:eastAsia="Arial" w:hAnsi="Arial"/>
          <w:sz w:val="19"/>
          <w:szCs w:val="19"/>
          <w:color w:val="auto"/>
        </w:rPr>
        <w:t>If any suit, action, proceeding (including any governmental or regulatory investigation),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claim or demand shall 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reasonably incurred and documented fees and expenses in such proceeding and shall pay the reasonably incurred and documented fees and expenses of such counsel related to such proceeding, as incurred. In any such proceeding, any Indemnified Person shall have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1714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4" w:lineRule="exact"/>
        <w:rPr>
          <w:sz w:val="20"/>
          <w:szCs w:val="20"/>
          <w:color w:val="auto"/>
        </w:rPr>
      </w:pPr>
    </w:p>
    <w:p>
      <w:pPr>
        <w:ind w:left="140" w:hanging="132"/>
        <w:spacing w:after="0"/>
        <w:tabs>
          <w:tab w:leader="none" w:pos="140" w:val="left"/>
        </w:tabs>
        <w:numPr>
          <w:ilvl w:val="0"/>
          <w:numId w:val="191"/>
        </w:numPr>
        <w:rPr>
          <w:rFonts w:ascii="Arial" w:cs="Arial" w:eastAsia="Arial" w:hAnsi="Arial"/>
          <w:sz w:val="33"/>
          <w:szCs w:val="33"/>
          <w:color w:val="auto"/>
          <w:vertAlign w:val="superscript"/>
        </w:rPr>
      </w:pPr>
      <w:r>
        <w:rPr>
          <w:rFonts w:ascii="Arial" w:cs="Arial" w:eastAsia="Arial" w:hAnsi="Arial"/>
          <w:sz w:val="18"/>
          <w:szCs w:val="18"/>
          <w:color w:val="auto"/>
        </w:rPr>
        <w:t>NTD: To be updated as necessary.</w:t>
      </w:r>
    </w:p>
    <w:p>
      <w:pPr>
        <w:sectPr>
          <w:pgSz w:w="11900" w:h="16838" w:orient="portrait"/>
          <w:cols w:equalWidth="0" w:num="1">
            <w:col w:w="11240"/>
          </w:cols>
          <w:pgMar w:left="320" w:top="1428" w:right="339" w:bottom="1440" w:gutter="0" w:footer="0" w:header="0"/>
        </w:sectPr>
      </w:pPr>
    </w:p>
    <w:bookmarkStart w:id="266" w:name="page267"/>
    <w:bookmarkEnd w:id="266"/>
    <w:p>
      <w:pPr>
        <w:spacing w:after="0" w:line="284" w:lineRule="auto"/>
        <w:rPr>
          <w:sz w:val="20"/>
          <w:szCs w:val="20"/>
          <w:color w:val="auto"/>
        </w:rPr>
      </w:pPr>
      <w:r>
        <w:rPr>
          <w:rFonts w:ascii="Arial" w:cs="Arial" w:eastAsia="Arial" w:hAnsi="Arial"/>
          <w:sz w:val="19"/>
          <w:szCs w:val="19"/>
          <w:color w:val="auto"/>
        </w:rPr>
        <w:t>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reasonably incurred and documented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Attorneys-in-Fact or any one of them.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200" w:lineRule="exact"/>
        <w:rPr>
          <w:sz w:val="20"/>
          <w:szCs w:val="20"/>
          <w:color w:val="auto"/>
        </w:rPr>
      </w:pPr>
    </w:p>
    <w:p>
      <w:pPr>
        <w:spacing w:after="0" w:line="219" w:lineRule="exact"/>
        <w:rPr>
          <w:sz w:val="20"/>
          <w:szCs w:val="20"/>
          <w:color w:val="auto"/>
        </w:rPr>
      </w:pPr>
    </w:p>
    <w:p>
      <w:pPr>
        <w:ind w:right="20" w:firstLine="656"/>
        <w:spacing w:after="0" w:line="246" w:lineRule="auto"/>
        <w:tabs>
          <w:tab w:leader="none" w:pos="1293" w:val="left"/>
        </w:tabs>
        <w:numPr>
          <w:ilvl w:val="0"/>
          <w:numId w:val="192"/>
        </w:numPr>
        <w:rPr>
          <w:rFonts w:ascii="Arial" w:cs="Arial" w:eastAsia="Arial" w:hAnsi="Arial"/>
          <w:sz w:val="22"/>
          <w:szCs w:val="22"/>
          <w:color w:val="auto"/>
        </w:rPr>
      </w:pPr>
      <w:r>
        <w:rPr>
          <w:rFonts w:ascii="Arial" w:cs="Arial" w:eastAsia="Arial" w:hAnsi="Arial"/>
          <w:sz w:val="22"/>
          <w:szCs w:val="22"/>
          <w:i w:val="1"/>
          <w:iCs w:val="1"/>
          <w:color w:val="auto"/>
        </w:rPr>
        <w:t xml:space="preserve">Contribution. </w:t>
      </w:r>
      <w:r>
        <w:rPr>
          <w:rFonts w:ascii="Arial" w:cs="Arial" w:eastAsia="Arial" w:hAnsi="Arial"/>
          <w:sz w:val="22"/>
          <w:szCs w:val="22"/>
          <w:color w:val="auto"/>
        </w:rPr>
        <w:t>If the indemnification provided for in paragraphs (a), (b) or (c) above is unavailable to an</w:t>
      </w:r>
      <w:r>
        <w:rPr>
          <w:rFonts w:ascii="Arial" w:cs="Arial" w:eastAsia="Arial" w:hAnsi="Arial"/>
          <w:sz w:val="22"/>
          <w:szCs w:val="22"/>
          <w:i w:val="1"/>
          <w:iCs w:val="1"/>
          <w:color w:val="auto"/>
        </w:rPr>
        <w:t xml:space="preserve"> </w:t>
      </w:r>
      <w:r>
        <w:rPr>
          <w:rFonts w:ascii="Arial" w:cs="Arial" w:eastAsia="Arial" w:hAnsi="Arial"/>
          <w:sz w:val="22"/>
          <w:szCs w:val="22"/>
          <w:color w:val="auto"/>
        </w:rPr>
        <w:t>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w:t>
      </w:r>
    </w:p>
    <w:p>
      <w:pPr>
        <w:sectPr>
          <w:pgSz w:w="11900" w:h="16838" w:orient="portrait"/>
          <w:cols w:equalWidth="0" w:num="1">
            <w:col w:w="11220"/>
          </w:cols>
          <w:pgMar w:left="320" w:top="1428" w:right="359" w:bottom="1440" w:gutter="0" w:footer="0" w:header="0"/>
        </w:sectPr>
      </w:pPr>
    </w:p>
    <w:bookmarkStart w:id="267" w:name="page268"/>
    <w:bookmarkEnd w:id="267"/>
    <w:p>
      <w:pPr>
        <w:spacing w:after="0" w:line="286" w:lineRule="auto"/>
        <w:rPr>
          <w:sz w:val="20"/>
          <w:szCs w:val="20"/>
          <w:color w:val="auto"/>
        </w:rPr>
      </w:pPr>
      <w:r>
        <w:rPr>
          <w:rFonts w:ascii="Arial" w:cs="Arial" w:eastAsia="Arial" w:hAnsi="Arial"/>
          <w:sz w:val="19"/>
          <w:szCs w:val="19"/>
          <w:color w:val="auto"/>
        </w:rPr>
        <w:t>law, in such proportion as is appropriate to reflect not only the relative benefits referred to in clause (i) but also the relative fault of the Company and the Selling Stockholders,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on the other, shall be deemed to be in the same respective proportions as the net proceeds (after deducting underwriter discounts and commissions but before deducting expenses) received by the Company and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Stockholders,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and the parties’ relative intent, knowledge, access to information and opportunity to correct or prevent such statement or omission. Notwithstanding the foregoing provisions, the liability of any Selling Stockholder to contribute pursuant to this Section 9(e) shall be limited in the aggregate to an amount equal to the Selling Stockholder Proceeds less any amounts that such Selling Stockholder actually paid under Section 9(b).</w:t>
      </w:r>
    </w:p>
    <w:p>
      <w:pPr>
        <w:spacing w:after="0" w:line="200" w:lineRule="exact"/>
        <w:rPr>
          <w:sz w:val="20"/>
          <w:szCs w:val="20"/>
          <w:color w:val="auto"/>
        </w:rPr>
      </w:pPr>
    </w:p>
    <w:p>
      <w:pPr>
        <w:spacing w:after="0" w:line="218" w:lineRule="exact"/>
        <w:rPr>
          <w:sz w:val="20"/>
          <w:szCs w:val="20"/>
          <w:color w:val="auto"/>
        </w:rPr>
      </w:pPr>
    </w:p>
    <w:p>
      <w:pPr>
        <w:ind w:firstLine="656"/>
        <w:spacing w:after="0" w:line="285" w:lineRule="auto"/>
        <w:tabs>
          <w:tab w:leader="none" w:pos="1296" w:val="left"/>
        </w:tabs>
        <w:numPr>
          <w:ilvl w:val="0"/>
          <w:numId w:val="193"/>
        </w:numPr>
        <w:rPr>
          <w:rFonts w:ascii="Arial" w:cs="Arial" w:eastAsia="Arial" w:hAnsi="Arial"/>
          <w:sz w:val="19"/>
          <w:szCs w:val="19"/>
          <w:color w:val="auto"/>
        </w:rPr>
      </w:pPr>
      <w:r>
        <w:rPr>
          <w:rFonts w:ascii="Arial" w:cs="Arial" w:eastAsia="Arial" w:hAnsi="Arial"/>
          <w:sz w:val="19"/>
          <w:szCs w:val="19"/>
          <w:i w:val="1"/>
          <w:iCs w:val="1"/>
          <w:color w:val="auto"/>
        </w:rPr>
        <w:t xml:space="preserve">Limitation on Liability. </w:t>
      </w:r>
      <w:r>
        <w:rPr>
          <w:rFonts w:ascii="Arial" w:cs="Arial" w:eastAsia="Arial" w:hAnsi="Arial"/>
          <w:sz w:val="19"/>
          <w:szCs w:val="19"/>
          <w:color w:val="auto"/>
        </w:rPr>
        <w:t>The Company, the Selling Stockholders and the Underwriters agree that it would not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just and equitable if contribution pursuant to paragraph (e) above were determined by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allocation (even if the Selling Stockholders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(d) above shall be deemed to include, subject to the limitations set forth above, any reasonably incurred and documented legal or other expenses incurred by such Indemnified Person in connection with any such action or claim. Notwithstanding the provisions of paragraphs (e) and (f),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Notwithstanding anything to the contrary in this Agreement, the aggregate liability of each Selling Stockholder under the indemnity and contribution agreements contained in this Section 9 shall not exceed such Selling Stockholder’s Selling Stockholder Proceeds.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 (f) are several in proportion to their respective purchase obligations hereunder and not joint. Each Selling Stockholder’s obligations to contribute pursuant to paragraphs (e) and (f) are several and not joint with the other Selling Stockholders.</w:t>
      </w:r>
    </w:p>
    <w:p>
      <w:pPr>
        <w:sectPr>
          <w:pgSz w:w="11900" w:h="16838" w:orient="portrait"/>
          <w:cols w:equalWidth="0" w:num="1">
            <w:col w:w="11220"/>
          </w:cols>
          <w:pgMar w:left="320" w:top="1428" w:right="359" w:bottom="1440" w:gutter="0" w:footer="0" w:header="0"/>
        </w:sectPr>
      </w:pPr>
    </w:p>
    <w:bookmarkStart w:id="268" w:name="page269"/>
    <w:bookmarkEnd w:id="268"/>
    <w:p>
      <w:pPr>
        <w:ind w:left="-656" w:right="440" w:firstLine="656"/>
        <w:spacing w:after="0" w:line="263" w:lineRule="auto"/>
        <w:tabs>
          <w:tab w:leader="none" w:pos="635" w:val="left"/>
        </w:tabs>
        <w:numPr>
          <w:ilvl w:val="0"/>
          <w:numId w:val="194"/>
        </w:numPr>
        <w:rPr>
          <w:rFonts w:ascii="Arial" w:cs="Arial" w:eastAsia="Arial" w:hAnsi="Arial"/>
          <w:sz w:val="22"/>
          <w:szCs w:val="22"/>
          <w:color w:val="auto"/>
        </w:rPr>
      </w:pPr>
      <w:r>
        <w:rPr>
          <w:rFonts w:ascii="Arial" w:cs="Arial" w:eastAsia="Arial" w:hAnsi="Arial"/>
          <w:sz w:val="22"/>
          <w:szCs w:val="22"/>
          <w:i w:val="1"/>
          <w:iCs w:val="1"/>
          <w:color w:val="auto"/>
        </w:rPr>
        <w:t xml:space="preserve">Non-Exclusive Remedies. </w:t>
      </w:r>
      <w:r>
        <w:rPr>
          <w:rFonts w:ascii="Arial" w:cs="Arial" w:eastAsia="Arial" w:hAnsi="Arial"/>
          <w:sz w:val="22"/>
          <w:szCs w:val="22"/>
          <w:color w:val="auto"/>
        </w:rPr>
        <w:t>The remedies provided for in this Section 9 are not exclusive and shall not limit any</w:t>
      </w:r>
      <w:r>
        <w:rPr>
          <w:rFonts w:ascii="Arial" w:cs="Arial" w:eastAsia="Arial" w:hAnsi="Arial"/>
          <w:sz w:val="22"/>
          <w:szCs w:val="22"/>
          <w:i w:val="1"/>
          <w:iCs w:val="1"/>
          <w:color w:val="auto"/>
        </w:rPr>
        <w:t xml:space="preserve"> </w:t>
      </w:r>
      <w:r>
        <w:rPr>
          <w:rFonts w:ascii="Arial" w:cs="Arial" w:eastAsia="Arial" w:hAnsi="Arial"/>
          <w:sz w:val="22"/>
          <w:szCs w:val="22"/>
          <w:color w:val="auto"/>
        </w:rPr>
        <w:t>rights or remedies which may otherwise be available to any Indemnified Person at law or in equity.</w:t>
      </w:r>
    </w:p>
    <w:p>
      <w:pPr>
        <w:spacing w:after="0" w:line="175" w:lineRule="exact"/>
        <w:rPr>
          <w:sz w:val="20"/>
          <w:szCs w:val="20"/>
          <w:color w:val="auto"/>
        </w:rPr>
      </w:pPr>
    </w:p>
    <w:p>
      <w:pPr>
        <w:ind w:left="644" w:hanging="644"/>
        <w:spacing w:after="0"/>
        <w:tabs>
          <w:tab w:leader="none" w:pos="644"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Effectiveness of Agreement</w:t>
      </w:r>
      <w:r>
        <w:rPr>
          <w:rFonts w:ascii="Arial" w:cs="Arial" w:eastAsia="Arial" w:hAnsi="Arial"/>
          <w:sz w:val="22"/>
          <w:szCs w:val="22"/>
          <w:color w:val="auto"/>
        </w:rPr>
        <w:t>. This Agreement shall become effective as of the date first written above.</w:t>
      </w:r>
    </w:p>
    <w:p>
      <w:pPr>
        <w:spacing w:after="0" w:line="219" w:lineRule="exact"/>
        <w:rPr>
          <w:rFonts w:ascii="Arial" w:cs="Arial" w:eastAsia="Arial" w:hAnsi="Arial"/>
          <w:sz w:val="22"/>
          <w:szCs w:val="22"/>
          <w:color w:val="auto"/>
        </w:rPr>
      </w:pPr>
    </w:p>
    <w:p>
      <w:pPr>
        <w:ind w:left="-656" w:right="80" w:firstLine="656"/>
        <w:spacing w:after="0" w:line="258" w:lineRule="auto"/>
        <w:tabs>
          <w:tab w:leader="none" w:pos="632"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This Agreement may be terminated in the absolute discretion of the Representatives, by notice to the Company and the Selling Stockholders, if after the execution and delivery of this Agreement and on or prior to the Closing Date or, in the case of the Option Shares, prior to the Additional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1" w:lineRule="exact"/>
        <w:rPr>
          <w:rFonts w:ascii="Arial" w:cs="Arial" w:eastAsia="Arial" w:hAnsi="Arial"/>
          <w:sz w:val="21"/>
          <w:szCs w:val="21"/>
          <w:color w:val="auto"/>
        </w:rPr>
      </w:pPr>
    </w:p>
    <w:p>
      <w:pPr>
        <w:ind w:left="644" w:hanging="644"/>
        <w:spacing w:after="0"/>
        <w:tabs>
          <w:tab w:leader="none" w:pos="644"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Defaulting Underwriter</w:t>
      </w:r>
      <w:r>
        <w:rPr>
          <w:rFonts w:ascii="Arial" w:cs="Arial" w:eastAsia="Arial" w:hAnsi="Arial"/>
          <w:sz w:val="22"/>
          <w:szCs w:val="22"/>
          <w:color w:val="auto"/>
        </w:rPr>
        <w:t>.</w:t>
      </w:r>
    </w:p>
    <w:p>
      <w:pPr>
        <w:spacing w:after="0" w:line="220" w:lineRule="exact"/>
        <w:rPr>
          <w:sz w:val="20"/>
          <w:szCs w:val="20"/>
          <w:color w:val="auto"/>
        </w:rPr>
      </w:pPr>
    </w:p>
    <w:p>
      <w:pPr>
        <w:ind w:left="-656" w:firstLine="656"/>
        <w:spacing w:after="0" w:line="286" w:lineRule="auto"/>
        <w:tabs>
          <w:tab w:leader="none" w:pos="637" w:val="left"/>
        </w:tabs>
        <w:numPr>
          <w:ilvl w:val="0"/>
          <w:numId w:val="196"/>
        </w:numPr>
        <w:rPr>
          <w:rFonts w:ascii="Arial" w:cs="Arial" w:eastAsia="Arial" w:hAnsi="Arial"/>
          <w:sz w:val="19"/>
          <w:szCs w:val="19"/>
          <w:color w:val="auto"/>
        </w:rPr>
      </w:pPr>
      <w:r>
        <w:rPr>
          <w:rFonts w:ascii="Arial" w:cs="Arial" w:eastAsia="Arial" w:hAnsi="Arial"/>
          <w:sz w:val="19"/>
          <w:szCs w:val="19"/>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12, purchases Shares that a defaulting Underwriter agreed but failed to purchase.</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656" w:right="1060" w:firstLine="656"/>
        <w:spacing w:after="0" w:line="263" w:lineRule="auto"/>
        <w:tabs>
          <w:tab w:leader="none" w:pos="63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If, after giving effect to any arrangements for the purchase of the Shares of a defaulting Underwriter or Underwriters by the non-defaulting Underwriters, the Company and</w:t>
      </w:r>
    </w:p>
    <w:p>
      <w:pPr>
        <w:sectPr>
          <w:pgSz w:w="11900" w:h="16838" w:orient="portrait"/>
          <w:cols w:equalWidth="0" w:num="1">
            <w:col w:w="10584"/>
          </w:cols>
          <w:pgMar w:left="976" w:top="1428" w:right="339" w:bottom="1440" w:gutter="0" w:footer="0" w:header="0"/>
        </w:sectPr>
      </w:pPr>
    </w:p>
    <w:bookmarkStart w:id="269" w:name="page270"/>
    <w:bookmarkEnd w:id="269"/>
    <w:p>
      <w:pPr>
        <w:ind w:right="140"/>
        <w:spacing w:after="0" w:line="294" w:lineRule="auto"/>
        <w:rPr>
          <w:sz w:val="20"/>
          <w:szCs w:val="20"/>
          <w:color w:val="auto"/>
        </w:rPr>
      </w:pPr>
      <w:r>
        <w:rPr>
          <w:rFonts w:ascii="Arial" w:cs="Arial" w:eastAsia="Arial" w:hAnsi="Arial"/>
          <w:sz w:val="19"/>
          <w:szCs w:val="19"/>
          <w:color w:val="auto"/>
        </w:rPr>
        <w:t>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49" w:lineRule="exact"/>
        <w:rPr>
          <w:sz w:val="20"/>
          <w:szCs w:val="20"/>
          <w:color w:val="auto"/>
        </w:rPr>
      </w:pPr>
    </w:p>
    <w:p>
      <w:pPr>
        <w:ind w:firstLine="656"/>
        <w:spacing w:after="0" w:line="258" w:lineRule="auto"/>
        <w:tabs>
          <w:tab w:leader="none" w:pos="1293" w:val="left"/>
        </w:tabs>
        <w:numPr>
          <w:ilvl w:val="0"/>
          <w:numId w:val="197"/>
        </w:numPr>
        <w:rPr>
          <w:rFonts w:ascii="Arial" w:cs="Arial" w:eastAsia="Arial" w:hAnsi="Arial"/>
          <w:sz w:val="21"/>
          <w:szCs w:val="21"/>
          <w:color w:val="auto"/>
        </w:rPr>
      </w:pPr>
      <w:r>
        <w:rPr>
          <w:rFonts w:ascii="Arial" w:cs="Arial" w:eastAsia="Arial" w:hAnsi="Arial"/>
          <w:sz w:val="21"/>
          <w:szCs w:val="21"/>
          <w:color w:val="auto"/>
        </w:rPr>
        <w:t>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except that the Company will continue to be liable for the payment of expenses as set forth in Section 13 hereof and except that the provisions of Section 9 hereof shall not terminate and shall remain in effect.</w:t>
      </w:r>
    </w:p>
    <w:p>
      <w:pPr>
        <w:spacing w:after="0" w:line="185" w:lineRule="exact"/>
        <w:rPr>
          <w:rFonts w:ascii="Arial" w:cs="Arial" w:eastAsia="Arial" w:hAnsi="Arial"/>
          <w:sz w:val="21"/>
          <w:szCs w:val="21"/>
          <w:color w:val="auto"/>
        </w:rPr>
      </w:pPr>
    </w:p>
    <w:p>
      <w:pPr>
        <w:ind w:right="220" w:firstLine="656"/>
        <w:spacing w:after="0" w:line="263" w:lineRule="auto"/>
        <w:tabs>
          <w:tab w:leader="none" w:pos="1291" w:val="left"/>
        </w:tabs>
        <w:numPr>
          <w:ilvl w:val="0"/>
          <w:numId w:val="197"/>
        </w:numPr>
        <w:rPr>
          <w:rFonts w:ascii="Arial" w:cs="Arial" w:eastAsia="Arial" w:hAnsi="Arial"/>
          <w:sz w:val="22"/>
          <w:szCs w:val="22"/>
          <w:color w:val="auto"/>
        </w:rPr>
      </w:pPr>
      <w:r>
        <w:rPr>
          <w:rFonts w:ascii="Arial" w:cs="Arial" w:eastAsia="Arial" w:hAnsi="Arial"/>
          <w:sz w:val="22"/>
          <w:szCs w:val="22"/>
          <w:color w:val="auto"/>
        </w:rPr>
        <w:t>Nothing contained herein shall relieve a defaulting Underwriter of any liability it may have to the Company, the Selling Stockholders or any non-defaulting Underwriter for damages caused by its default.</w:t>
      </w:r>
    </w:p>
    <w:p>
      <w:pPr>
        <w:spacing w:after="0" w:line="175" w:lineRule="exact"/>
        <w:rPr>
          <w:sz w:val="20"/>
          <w:szCs w:val="20"/>
          <w:color w:val="auto"/>
        </w:rPr>
      </w:pPr>
    </w:p>
    <w:p>
      <w:pPr>
        <w:ind w:left="1300" w:hanging="644"/>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Payment of Expenses</w:t>
      </w:r>
      <w:r>
        <w:rPr>
          <w:rFonts w:ascii="Arial" w:cs="Arial" w:eastAsia="Arial" w:hAnsi="Arial"/>
          <w:sz w:val="22"/>
          <w:szCs w:val="22"/>
          <w:i w:val="1"/>
          <w:iCs w:val="1"/>
          <w:color w:val="auto"/>
        </w:rPr>
        <w:t>.</w:t>
      </w:r>
    </w:p>
    <w:p>
      <w:pPr>
        <w:spacing w:after="0" w:line="220" w:lineRule="exact"/>
        <w:rPr>
          <w:sz w:val="20"/>
          <w:szCs w:val="20"/>
          <w:color w:val="auto"/>
        </w:rPr>
      </w:pPr>
    </w:p>
    <w:p>
      <w:pPr>
        <w:ind w:firstLine="656"/>
        <w:spacing w:after="0" w:line="287" w:lineRule="auto"/>
        <w:tabs>
          <w:tab w:leader="none" w:pos="129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provided that the aggregate amount payable by the</w:t>
      </w:r>
    </w:p>
    <w:p>
      <w:pPr>
        <w:sectPr>
          <w:pgSz w:w="11900" w:h="16838" w:orient="portrait"/>
          <w:cols w:equalWidth="0" w:num="1">
            <w:col w:w="11180"/>
          </w:cols>
          <w:pgMar w:left="320" w:top="1428" w:right="399" w:bottom="1440" w:gutter="0" w:footer="0" w:header="0"/>
        </w:sectPr>
      </w:pPr>
    </w:p>
    <w:bookmarkStart w:id="270" w:name="page271"/>
    <w:bookmarkEnd w:id="270"/>
    <w:p>
      <w:pPr>
        <w:ind w:right="100"/>
        <w:spacing w:after="0" w:line="259" w:lineRule="auto"/>
        <w:rPr>
          <w:sz w:val="20"/>
          <w:szCs w:val="20"/>
          <w:color w:val="auto"/>
        </w:rPr>
      </w:pPr>
      <w:r>
        <w:rPr>
          <w:rFonts w:ascii="Arial" w:cs="Arial" w:eastAsia="Arial" w:hAnsi="Arial"/>
          <w:sz w:val="21"/>
          <w:szCs w:val="21"/>
          <w:color w:val="auto"/>
        </w:rPr>
        <w:t>Company pursuant to clauses (iv) and (vii) shall not exceed $35,000 (excluding filing fees); (viii) all expenses incurred by the Company in connection with any “road show” presentation to potential investors (including 50% of chartered aircraft expenses); and (ix) all expenses and application fees related to the listing of the Shares on the Nasdaq Market. It is understood and agreed that except as provided in Section 9, Section 12(c) and this Section 13, the Underwriters shall pay all of their costs and expenses incurred in connection with this Agreement and the offering contemplated hereby, including fees and disbursements of their counsel, stock transfer taxes payable on their resale of any of the Shares, travel (including 50% of chartered aircraft expenses) and meal and lodging costs and other expenses of the Representatives incurred in connection with any “road show” presentation to potential investors.</w:t>
      </w:r>
    </w:p>
    <w:p>
      <w:pPr>
        <w:spacing w:after="0" w:line="183" w:lineRule="exact"/>
        <w:rPr>
          <w:sz w:val="20"/>
          <w:szCs w:val="20"/>
          <w:color w:val="auto"/>
        </w:rPr>
      </w:pPr>
    </w:p>
    <w:p>
      <w:pPr>
        <w:ind w:firstLine="656"/>
        <w:spacing w:after="0" w:line="287" w:lineRule="auto"/>
        <w:tabs>
          <w:tab w:leader="none" w:pos="129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reasonably incurred and documented out-of-pocket costs and expenses (including the fees and expenses of their counsel) reasonably incurred by the Underwriters in connection with this Agreement and the offering contemplated hereby; provided, however, that for purposes of this Section 13(b), the Company shall in no event be liable to any of the Underwriters for any other amounts (for the avoidance of doubt, not including any amounts under Section 9 hereof), including, without limitation, damages on account of loss of anticipated profits from the sales of the Shares. Notwithstanding anything herein to the contrary, in the event of termination pursuant to Sections 11(i), (iii) or (iv), the Company shall not be responsible, or obligated to reimburse the Underwriters, for any costs or expenses incurred by the Underwriters in connection with any road show. For the avoidance of doubt, it is understood that the Company shall not pay or reimburse any costs, fees or expenses incurred by any Underwriter that defaults on its obligations to purchase the Shares.</w:t>
      </w:r>
    </w:p>
    <w:p>
      <w:pPr>
        <w:spacing w:after="0" w:line="200" w:lineRule="exact"/>
        <w:rPr>
          <w:sz w:val="20"/>
          <w:szCs w:val="20"/>
          <w:color w:val="auto"/>
        </w:rPr>
      </w:pPr>
    </w:p>
    <w:p>
      <w:pPr>
        <w:spacing w:after="0" w:line="220" w:lineRule="exact"/>
        <w:rPr>
          <w:sz w:val="20"/>
          <w:szCs w:val="20"/>
          <w:color w:val="auto"/>
        </w:rPr>
      </w:pPr>
    </w:p>
    <w:p>
      <w:pPr>
        <w:ind w:right="20" w:firstLine="656"/>
        <w:spacing w:after="0" w:line="292" w:lineRule="auto"/>
        <w:tabs>
          <w:tab w:leader="none" w:pos="1296"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Persons Entitled to Benefit of Agreement</w:t>
      </w:r>
      <w:r>
        <w:rPr>
          <w:rFonts w:ascii="Arial" w:cs="Arial" w:eastAsia="Arial" w:hAnsi="Arial"/>
          <w:sz w:val="19"/>
          <w:szCs w:val="19"/>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 In all dealings hereunder, the Representatives shall act on behalf of each of the Underwriters, and the parties hereto shall be entitled to act and rely upon any statement, request, notice or agreement on behalf of any Underwriter made or given by any Representative.</w:t>
      </w:r>
    </w:p>
    <w:p>
      <w:pPr>
        <w:spacing w:after="0" w:line="150" w:lineRule="exact"/>
        <w:rPr>
          <w:rFonts w:ascii="Arial" w:cs="Arial" w:eastAsia="Arial" w:hAnsi="Arial"/>
          <w:sz w:val="19"/>
          <w:szCs w:val="19"/>
          <w:color w:val="auto"/>
        </w:rPr>
      </w:pPr>
    </w:p>
    <w:p>
      <w:pPr>
        <w:ind w:right="40" w:firstLine="656"/>
        <w:spacing w:after="0" w:line="263" w:lineRule="auto"/>
        <w:tabs>
          <w:tab w:leader="none" w:pos="1296" w:val="left"/>
        </w:tabs>
        <w:numPr>
          <w:ilvl w:val="0"/>
          <w:numId w:val="201"/>
        </w:numPr>
        <w:rPr>
          <w:rFonts w:ascii="Arial" w:cs="Arial" w:eastAsia="Arial" w:hAnsi="Arial"/>
          <w:sz w:val="21"/>
          <w:szCs w:val="21"/>
          <w:color w:val="auto"/>
        </w:rPr>
      </w:pPr>
      <w:r>
        <w:rPr>
          <w:rFonts w:ascii="Arial" w:cs="Arial" w:eastAsia="Arial" w:hAnsi="Arial"/>
          <w:sz w:val="21"/>
          <w:szCs w:val="21"/>
          <w:u w:val="single" w:color="auto"/>
          <w:color w:val="auto"/>
        </w:rPr>
        <w:t>Survival</w:t>
      </w:r>
      <w:r>
        <w:rPr>
          <w:rFonts w:ascii="Arial" w:cs="Arial" w:eastAsia="Arial" w:hAnsi="Arial"/>
          <w:sz w:val="21"/>
          <w:szCs w:val="21"/>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w:t>
      </w:r>
    </w:p>
    <w:p>
      <w:pPr>
        <w:sectPr>
          <w:pgSz w:w="11900" w:h="16838" w:orient="portrait"/>
          <w:cols w:equalWidth="0" w:num="1">
            <w:col w:w="11220"/>
          </w:cols>
          <w:pgMar w:left="320" w:top="1428" w:right="359" w:bottom="1440" w:gutter="0" w:footer="0" w:header="0"/>
        </w:sectPr>
      </w:pPr>
    </w:p>
    <w:bookmarkStart w:id="271" w:name="page272"/>
    <w:bookmarkEnd w:id="271"/>
    <w:p>
      <w:pPr>
        <w:ind w:right="280"/>
        <w:spacing w:after="0" w:line="263" w:lineRule="auto"/>
        <w:rPr>
          <w:sz w:val="20"/>
          <w:szCs w:val="20"/>
          <w:color w:val="auto"/>
        </w:rPr>
      </w:pPr>
      <w:r>
        <w:rPr>
          <w:rFonts w:ascii="Arial" w:cs="Arial" w:eastAsia="Arial" w:hAnsi="Arial"/>
          <w:sz w:val="22"/>
          <w:szCs w:val="22"/>
          <w:color w:val="auto"/>
        </w:rPr>
        <w:t>Company, the Selling Stockholders or the Underwriters or the directors, officers, controlling persons or affiliates referred to in Section 9 hereof.</w:t>
      </w:r>
    </w:p>
    <w:p>
      <w:pPr>
        <w:spacing w:after="0" w:line="175" w:lineRule="exact"/>
        <w:rPr>
          <w:sz w:val="20"/>
          <w:szCs w:val="20"/>
          <w:color w:val="auto"/>
        </w:rPr>
      </w:pPr>
    </w:p>
    <w:p>
      <w:pPr>
        <w:ind w:right="20" w:firstLine="656"/>
        <w:spacing w:after="0" w:line="248" w:lineRule="auto"/>
        <w:tabs>
          <w:tab w:leader="none" w:pos="1296" w:val="left"/>
        </w:tabs>
        <w:numPr>
          <w:ilvl w:val="1"/>
          <w:numId w:val="202"/>
        </w:numPr>
        <w:rPr>
          <w:rFonts w:ascii="Arial" w:cs="Arial" w:eastAsia="Arial" w:hAnsi="Arial"/>
          <w:sz w:val="22"/>
          <w:szCs w:val="22"/>
          <w:color w:val="auto"/>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91" w:lineRule="exact"/>
        <w:rPr>
          <w:rFonts w:ascii="Arial" w:cs="Arial" w:eastAsia="Arial" w:hAnsi="Arial"/>
          <w:sz w:val="22"/>
          <w:szCs w:val="22"/>
          <w:color w:val="auto"/>
        </w:rPr>
      </w:pPr>
    </w:p>
    <w:p>
      <w:pPr>
        <w:ind w:right="60" w:firstLine="656"/>
        <w:spacing w:after="0" w:line="248" w:lineRule="auto"/>
        <w:tabs>
          <w:tab w:leader="none" w:pos="1296" w:val="left"/>
        </w:tabs>
        <w:numPr>
          <w:ilvl w:val="1"/>
          <w:numId w:val="202"/>
        </w:numPr>
        <w:rPr>
          <w:rFonts w:ascii="Arial" w:cs="Arial" w:eastAsia="Arial" w:hAnsi="Arial"/>
          <w:sz w:val="22"/>
          <w:szCs w:val="22"/>
          <w:color w:val="auto"/>
        </w:rPr>
      </w:pPr>
      <w:r>
        <w:rPr>
          <w:rFonts w:ascii="Arial" w:cs="Arial" w:eastAsia="Arial" w:hAnsi="Arial"/>
          <w:sz w:val="22"/>
          <w:szCs w:val="22"/>
          <w:u w:val="single" w:color="auto"/>
          <w:color w:val="auto"/>
        </w:rPr>
        <w:t>Compliance with USA Patriot Act</w:t>
      </w:r>
      <w:r>
        <w:rPr>
          <w:rFonts w:ascii="Arial" w:cs="Arial" w:eastAsia="Arial" w:hAnsi="Arial"/>
          <w:sz w:val="22"/>
          <w:szCs w:val="22"/>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91" w:lineRule="exact"/>
        <w:rPr>
          <w:rFonts w:ascii="Arial" w:cs="Arial" w:eastAsia="Arial" w:hAnsi="Arial"/>
          <w:sz w:val="22"/>
          <w:szCs w:val="22"/>
          <w:color w:val="auto"/>
        </w:rPr>
      </w:pPr>
    </w:p>
    <w:p>
      <w:pPr>
        <w:ind w:left="1300" w:hanging="644"/>
        <w:spacing w:after="0"/>
        <w:tabs>
          <w:tab w:leader="none" w:pos="1300" w:val="left"/>
        </w:tabs>
        <w:numPr>
          <w:ilvl w:val="1"/>
          <w:numId w:val="20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20" w:lineRule="exact"/>
        <w:rPr>
          <w:sz w:val="20"/>
          <w:szCs w:val="20"/>
          <w:color w:val="auto"/>
        </w:rPr>
      </w:pPr>
    </w:p>
    <w:p>
      <w:pPr>
        <w:ind w:firstLine="656"/>
        <w:spacing w:after="0" w:line="287" w:lineRule="auto"/>
        <w:tabs>
          <w:tab w:leader="none" w:pos="1293" w:val="left"/>
        </w:tabs>
        <w:numPr>
          <w:ilvl w:val="0"/>
          <w:numId w:val="203"/>
        </w:numPr>
        <w:rPr>
          <w:rFonts w:ascii="Arial" w:cs="Arial" w:eastAsia="Arial" w:hAnsi="Arial"/>
          <w:sz w:val="19"/>
          <w:szCs w:val="19"/>
          <w:color w:val="auto"/>
        </w:rPr>
      </w:pPr>
      <w:r>
        <w:rPr>
          <w:rFonts w:ascii="Arial" w:cs="Arial" w:eastAsia="Arial" w:hAnsi="Arial"/>
          <w:sz w:val="19"/>
          <w:szCs w:val="19"/>
          <w:i w:val="1"/>
          <w:iCs w:val="1"/>
          <w:color w:val="auto"/>
        </w:rPr>
        <w:t>Notices</w:t>
      </w:r>
      <w:r>
        <w:rPr>
          <w:rFonts w:ascii="Arial" w:cs="Arial" w:eastAsia="Arial" w:hAnsi="Arial"/>
          <w:sz w:val="19"/>
          <w:szCs w:val="19"/>
          <w:color w:val="auto"/>
        </w:rPr>
        <w:t>. All notices and other communications hereunder shall be in writing and shall be deemed to have been</w:t>
      </w:r>
      <w:r>
        <w:rPr>
          <w:rFonts w:ascii="Arial" w:cs="Arial" w:eastAsia="Arial" w:hAnsi="Arial"/>
          <w:sz w:val="19"/>
          <w:szCs w:val="19"/>
          <w:i w:val="1"/>
          <w:iCs w:val="1"/>
          <w:color w:val="auto"/>
        </w:rPr>
        <w:t xml:space="preserve"> </w:t>
      </w:r>
      <w:r>
        <w:rPr>
          <w:rFonts w:ascii="Arial" w:cs="Arial" w:eastAsia="Arial" w:hAnsi="Arial"/>
          <w:sz w:val="19"/>
          <w:szCs w:val="19"/>
          <w:color w:val="auto"/>
        </w:rPr>
        <w:t>duly given if mailed or transmitted and confirmed by any standard form of telecommunication. Notices to the Underwriters shall be given to the Representatives c/o J.P. Morgan Securities LLC, 383 Madison Avenue, New York, New York 10179 (fax: (212) 622-8358); Attention Equity Syndicate Desk; c/o Morgan Stanley &amp; Co. LLC, 1585 Broadway, New York, New York 10036, Attention: Equity Syndicate Desk, with a copy to the Legal Department; c/o BofA Securities, Inc. at One Bryant Park, New York, New York 10036, attention of Syndicate Department (facsimile: (646) 855-3073), with a copy to ECM Legal (facsimile: (212) 230-8730). Notices to the Company shall be given to it at 3800 Bridge Parkway, Suite 102, Redwood City, California 94065, Attention: General Counsel, with a copy to Wilson Sonsini Goodrich &amp; Rosati, P.C., 650 Page Mill Road, Palo Alto, California, 94304, Attention: Tony Jeffries. Notices to the Selling Stockholders shall be given to each of the Attorneys-in-Fact named in the Power of Attorney, c/o the Company at the address set forth on the cover of the Registration Statement, Attention: General Counsel with a copy to Whalen LLP, 1601 Dove Street, Suite 270, Newport Beach, California 92660</w:t>
      </w:r>
    </w:p>
    <w:p>
      <w:pPr>
        <w:spacing w:after="0" w:line="163" w:lineRule="exact"/>
        <w:rPr>
          <w:rFonts w:ascii="Arial" w:cs="Arial" w:eastAsia="Arial" w:hAnsi="Arial"/>
          <w:sz w:val="19"/>
          <w:szCs w:val="19"/>
          <w:color w:val="auto"/>
        </w:rPr>
      </w:pPr>
    </w:p>
    <w:p>
      <w:pPr>
        <w:ind w:right="100" w:firstLine="656"/>
        <w:spacing w:after="0" w:line="263" w:lineRule="auto"/>
        <w:tabs>
          <w:tab w:leader="none" w:pos="1291" w:val="left"/>
        </w:tabs>
        <w:numPr>
          <w:ilvl w:val="0"/>
          <w:numId w:val="203"/>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w:t>
      </w:r>
      <w:r>
        <w:rPr>
          <w:rFonts w:ascii="Arial" w:cs="Arial" w:eastAsia="Arial" w:hAnsi="Arial"/>
          <w:sz w:val="22"/>
          <w:szCs w:val="22"/>
          <w:color w:val="auto"/>
        </w:rPr>
        <w:t>This Agreement and any claim, controversy or dispute arising under or related to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governed by and construed in accordance with the laws of the State of New York.</w:t>
      </w:r>
    </w:p>
    <w:p>
      <w:pPr>
        <w:spacing w:after="0" w:line="174" w:lineRule="exact"/>
        <w:rPr>
          <w:rFonts w:ascii="Arial" w:cs="Arial" w:eastAsia="Arial" w:hAnsi="Arial"/>
          <w:sz w:val="22"/>
          <w:szCs w:val="22"/>
          <w:color w:val="auto"/>
        </w:rPr>
      </w:pPr>
    </w:p>
    <w:p>
      <w:pPr>
        <w:ind w:right="120" w:firstLine="656"/>
        <w:spacing w:after="0" w:line="247" w:lineRule="auto"/>
        <w:tabs>
          <w:tab w:leader="none" w:pos="1286" w:val="left"/>
        </w:tabs>
        <w:numPr>
          <w:ilvl w:val="0"/>
          <w:numId w:val="203"/>
        </w:numPr>
        <w:rPr>
          <w:rFonts w:ascii="Arial" w:cs="Arial" w:eastAsia="Arial" w:hAnsi="Arial"/>
          <w:sz w:val="20"/>
          <w:szCs w:val="20"/>
          <w:color w:val="auto"/>
        </w:rPr>
      </w:pPr>
      <w:r>
        <w:rPr>
          <w:rFonts w:ascii="Arial" w:cs="Arial" w:eastAsia="Arial" w:hAnsi="Arial"/>
          <w:sz w:val="22"/>
          <w:szCs w:val="22"/>
          <w:i w:val="1"/>
          <w:iCs w:val="1"/>
          <w:color w:val="auto"/>
        </w:rPr>
        <w:t>Submission to Jurisdiction</w:t>
      </w:r>
      <w:r>
        <w:rPr>
          <w:rFonts w:ascii="Arial" w:cs="Arial" w:eastAsia="Arial" w:hAnsi="Arial"/>
          <w:sz w:val="22"/>
          <w:szCs w:val="22"/>
          <w:color w:val="auto"/>
        </w:rPr>
        <w:t>. Each of the Company and the Selling Stockholders hereby submit to the exclusive</w:t>
      </w:r>
      <w:r>
        <w:rPr>
          <w:rFonts w:ascii="Arial" w:cs="Arial" w:eastAsia="Arial" w:hAnsi="Arial"/>
          <w:sz w:val="22"/>
          <w:szCs w:val="22"/>
          <w:i w:val="1"/>
          <w:iCs w:val="1"/>
          <w:color w:val="auto"/>
        </w:rPr>
        <w:t xml:space="preserve"> </w:t>
      </w:r>
      <w:r>
        <w:rPr>
          <w:rFonts w:ascii="Arial" w:cs="Arial" w:eastAsia="Arial" w:hAnsi="Arial"/>
          <w:sz w:val="22"/>
          <w:szCs w:val="22"/>
          <w:color w:val="auto"/>
        </w:rPr>
        <w:t>jurisdiction of the U.S. federal and New York state courts in the Borough of Manhattan in The City of New York in any suit or proceeding arising out of or relating to this Agreement or the transactions contemplated hereby. The Company and the Selling Stockholders waive any objection which it may now or hereafter have to the laying of venue of any such suit or proceeding in such courts. The Company and the Selling Stockholders agree that final judgment in any such suit, action or proceeding brought in such court shall be</w:t>
      </w:r>
    </w:p>
    <w:p>
      <w:pPr>
        <w:sectPr>
          <w:pgSz w:w="11900" w:h="16838" w:orient="portrait"/>
          <w:cols w:equalWidth="0" w:num="1">
            <w:col w:w="11200"/>
          </w:cols>
          <w:pgMar w:left="320" w:top="1428" w:right="379" w:bottom="1440" w:gutter="0" w:footer="0" w:header="0"/>
        </w:sectPr>
      </w:pPr>
    </w:p>
    <w:bookmarkStart w:id="272" w:name="page273"/>
    <w:bookmarkEnd w:id="272"/>
    <w:p>
      <w:pPr>
        <w:ind w:right="220"/>
        <w:spacing w:after="0" w:line="287" w:lineRule="auto"/>
        <w:rPr>
          <w:sz w:val="20"/>
          <w:szCs w:val="20"/>
          <w:color w:val="auto"/>
        </w:rPr>
      </w:pPr>
      <w:r>
        <w:rPr>
          <w:rFonts w:ascii="Arial" w:cs="Arial" w:eastAsia="Arial" w:hAnsi="Arial"/>
          <w:sz w:val="21"/>
          <w:szCs w:val="21"/>
          <w:color w:val="auto"/>
        </w:rPr>
        <w:t>conclusive and binding upon the Company and the Selling Stockholders and may be enforced in any court to the jurisdiction of which Company and the Selling Stockholders are, respectively, subject by a suit upon such judgment.</w:t>
      </w:r>
    </w:p>
    <w:p>
      <w:pPr>
        <w:spacing w:after="0" w:line="151" w:lineRule="exact"/>
        <w:rPr>
          <w:sz w:val="20"/>
          <w:szCs w:val="20"/>
          <w:color w:val="auto"/>
        </w:rPr>
      </w:pPr>
    </w:p>
    <w:p>
      <w:pPr>
        <w:ind w:right="260" w:firstLine="656"/>
        <w:spacing w:after="0" w:line="263" w:lineRule="auto"/>
        <w:tabs>
          <w:tab w:leader="none" w:pos="1284" w:val="left"/>
        </w:tabs>
        <w:numPr>
          <w:ilvl w:val="0"/>
          <w:numId w:val="204"/>
        </w:numPr>
        <w:rPr>
          <w:rFonts w:ascii="Arial" w:cs="Arial" w:eastAsia="Arial" w:hAnsi="Arial"/>
          <w:sz w:val="20"/>
          <w:szCs w:val="20"/>
          <w:color w:val="auto"/>
        </w:rPr>
      </w:pPr>
      <w:r>
        <w:rPr>
          <w:rFonts w:ascii="Arial" w:cs="Arial" w:eastAsia="Arial" w:hAnsi="Arial"/>
          <w:sz w:val="22"/>
          <w:szCs w:val="22"/>
          <w:i w:val="1"/>
          <w:iCs w:val="1"/>
          <w:color w:val="auto"/>
        </w:rPr>
        <w:t xml:space="preserve">Waiver of Jury Trial. </w:t>
      </w:r>
      <w:r>
        <w:rPr>
          <w:rFonts w:ascii="Arial" w:cs="Arial" w:eastAsia="Arial" w:hAnsi="Arial"/>
          <w:sz w:val="22"/>
          <w:szCs w:val="22"/>
          <w:color w:val="auto"/>
        </w:rPr>
        <w:t>Each of the parties hereto hereby waives any right to trial by jury in any suit or proceeding</w:t>
      </w:r>
      <w:r>
        <w:rPr>
          <w:rFonts w:ascii="Arial" w:cs="Arial" w:eastAsia="Arial" w:hAnsi="Arial"/>
          <w:sz w:val="22"/>
          <w:szCs w:val="22"/>
          <w:i w:val="1"/>
          <w:iCs w:val="1"/>
          <w:color w:val="auto"/>
        </w:rPr>
        <w:t xml:space="preserve"> </w:t>
      </w:r>
      <w:r>
        <w:rPr>
          <w:rFonts w:ascii="Arial" w:cs="Arial" w:eastAsia="Arial" w:hAnsi="Arial"/>
          <w:sz w:val="22"/>
          <w:szCs w:val="22"/>
          <w:color w:val="auto"/>
        </w:rPr>
        <w:t>arising out of or relating to this Agreement.</w:t>
      </w:r>
    </w:p>
    <w:p>
      <w:pPr>
        <w:spacing w:after="0" w:line="174" w:lineRule="exact"/>
        <w:rPr>
          <w:rFonts w:ascii="Arial" w:cs="Arial" w:eastAsia="Arial" w:hAnsi="Arial"/>
          <w:sz w:val="20"/>
          <w:szCs w:val="20"/>
          <w:color w:val="auto"/>
        </w:rPr>
      </w:pPr>
    </w:p>
    <w:p>
      <w:pPr>
        <w:ind w:left="1300" w:hanging="644"/>
        <w:spacing w:after="0"/>
        <w:tabs>
          <w:tab w:leader="none" w:pos="1300" w:val="left"/>
        </w:tabs>
        <w:numPr>
          <w:ilvl w:val="0"/>
          <w:numId w:val="204"/>
        </w:numPr>
        <w:rPr>
          <w:rFonts w:ascii="Arial" w:cs="Arial" w:eastAsia="Arial" w:hAnsi="Arial"/>
          <w:sz w:val="20"/>
          <w:szCs w:val="20"/>
          <w:color w:val="auto"/>
        </w:rPr>
      </w:pPr>
      <w:r>
        <w:rPr>
          <w:rFonts w:ascii="Arial" w:cs="Arial" w:eastAsia="Arial" w:hAnsi="Arial"/>
          <w:sz w:val="22"/>
          <w:szCs w:val="22"/>
          <w:i w:val="1"/>
          <w:iCs w:val="1"/>
          <w:color w:val="auto"/>
        </w:rPr>
        <w:t>Recognition of the U.S. Special Resolution Regimes</w:t>
      </w:r>
      <w:r>
        <w:rPr>
          <w:rFonts w:ascii="Arial" w:cs="Arial" w:eastAsia="Arial" w:hAnsi="Arial"/>
          <w:sz w:val="22"/>
          <w:szCs w:val="22"/>
          <w:color w:val="auto"/>
        </w:rPr>
        <w:t>.</w:t>
      </w:r>
    </w:p>
    <w:p>
      <w:pPr>
        <w:spacing w:after="0" w:line="219" w:lineRule="exact"/>
        <w:rPr>
          <w:rFonts w:ascii="Arial" w:cs="Arial" w:eastAsia="Arial" w:hAnsi="Arial"/>
          <w:sz w:val="20"/>
          <w:szCs w:val="20"/>
          <w:color w:val="auto"/>
        </w:rPr>
      </w:pPr>
    </w:p>
    <w:p>
      <w:pPr>
        <w:ind w:left="660" w:right="260" w:firstLine="644"/>
        <w:spacing w:after="0" w:line="248" w:lineRule="auto"/>
        <w:tabs>
          <w:tab w:leader="none" w:pos="1954" w:val="left"/>
        </w:tabs>
        <w:numPr>
          <w:ilvl w:val="1"/>
          <w:numId w:val="204"/>
        </w:numPr>
        <w:rPr>
          <w:rFonts w:ascii="Arial" w:cs="Arial" w:eastAsia="Arial" w:hAnsi="Arial"/>
          <w:sz w:val="20"/>
          <w:szCs w:val="20"/>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1" w:lineRule="exact"/>
        <w:rPr>
          <w:rFonts w:ascii="Arial" w:cs="Arial" w:eastAsia="Arial" w:hAnsi="Arial"/>
          <w:sz w:val="20"/>
          <w:szCs w:val="20"/>
          <w:color w:val="auto"/>
        </w:rPr>
      </w:pPr>
    </w:p>
    <w:p>
      <w:pPr>
        <w:ind w:left="660" w:firstLine="644"/>
        <w:spacing w:after="0" w:line="248" w:lineRule="auto"/>
        <w:tabs>
          <w:tab w:leader="none" w:pos="1955" w:val="left"/>
        </w:tabs>
        <w:numPr>
          <w:ilvl w:val="1"/>
          <w:numId w:val="204"/>
        </w:numPr>
        <w:rPr>
          <w:rFonts w:ascii="Arial" w:cs="Arial" w:eastAsia="Arial" w:hAnsi="Arial"/>
          <w:sz w:val="20"/>
          <w:szCs w:val="20"/>
          <w:color w:val="auto"/>
        </w:rPr>
      </w:pPr>
      <w:r>
        <w:rPr>
          <w:rFonts w:ascii="Arial" w:cs="Arial" w:eastAsia="Arial" w:hAnsi="Arial"/>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used in this Section 18(e):</w:t>
      </w:r>
    </w:p>
    <w:p>
      <w:pPr>
        <w:spacing w:after="0" w:line="220" w:lineRule="exact"/>
        <w:rPr>
          <w:sz w:val="20"/>
          <w:szCs w:val="20"/>
          <w:color w:val="auto"/>
        </w:rPr>
      </w:pPr>
    </w:p>
    <w:p>
      <w:pPr>
        <w:ind w:left="1300" w:right="380"/>
        <w:spacing w:after="0" w:line="263" w:lineRule="auto"/>
        <w:rPr>
          <w:sz w:val="20"/>
          <w:szCs w:val="20"/>
          <w:color w:val="auto"/>
        </w:rPr>
      </w:pPr>
      <w:r>
        <w:rPr>
          <w:rFonts w:ascii="Arial" w:cs="Arial" w:eastAsia="Arial" w:hAnsi="Arial"/>
          <w:sz w:val="22"/>
          <w:szCs w:val="22"/>
          <w:color w:val="auto"/>
        </w:rPr>
        <w:t>“BHC Act Affiliate” has the meaning assigned to the term “affiliate” in, and shall be interpreted in accordance with, 12 U.S.C. § 1841(k).</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“Covered Entity” means any of the following:</w:t>
      </w:r>
    </w:p>
    <w:p>
      <w:pPr>
        <w:spacing w:after="0" w:line="220" w:lineRule="exact"/>
        <w:rPr>
          <w:sz w:val="20"/>
          <w:szCs w:val="20"/>
          <w:color w:val="auto"/>
        </w:rPr>
      </w:pPr>
    </w:p>
    <w:p>
      <w:pPr>
        <w:ind w:left="1940" w:hanging="312"/>
        <w:spacing w:after="0"/>
        <w:tabs>
          <w:tab w:leader="none" w:pos="1940" w:val="left"/>
        </w:tabs>
        <w:numPr>
          <w:ilvl w:val="0"/>
          <w:numId w:val="205"/>
        </w:numPr>
        <w:rPr>
          <w:rFonts w:ascii="Arial" w:cs="Arial" w:eastAsia="Arial" w:hAnsi="Arial"/>
          <w:sz w:val="18"/>
          <w:szCs w:val="18"/>
          <w:color w:val="auto"/>
        </w:rPr>
      </w:pPr>
      <w:r>
        <w:rPr>
          <w:rFonts w:ascii="Arial" w:cs="Arial" w:eastAsia="Arial" w:hAnsi="Arial"/>
          <w:sz w:val="19"/>
          <w:szCs w:val="19"/>
          <w:color w:val="auto"/>
        </w:rPr>
        <w:t>a “covered entity” as that term is defined in, and interpreted in accordance with, 12 C.F.R. § 252.82(b);</w:t>
      </w:r>
    </w:p>
    <w:p>
      <w:pPr>
        <w:spacing w:after="0" w:line="254" w:lineRule="exact"/>
        <w:rPr>
          <w:rFonts w:ascii="Arial" w:cs="Arial" w:eastAsia="Arial" w:hAnsi="Arial"/>
          <w:sz w:val="18"/>
          <w:szCs w:val="18"/>
          <w:color w:val="auto"/>
        </w:rPr>
      </w:pPr>
    </w:p>
    <w:p>
      <w:pPr>
        <w:ind w:left="1960" w:hanging="332"/>
        <w:spacing w:after="0"/>
        <w:tabs>
          <w:tab w:leader="none" w:pos="1960" w:val="left"/>
        </w:tabs>
        <w:numPr>
          <w:ilvl w:val="0"/>
          <w:numId w:val="205"/>
        </w:numPr>
        <w:rPr>
          <w:rFonts w:ascii="Arial" w:cs="Arial" w:eastAsia="Arial" w:hAnsi="Arial"/>
          <w:sz w:val="18"/>
          <w:szCs w:val="18"/>
          <w:color w:val="auto"/>
        </w:rPr>
      </w:pPr>
      <w:r>
        <w:rPr>
          <w:rFonts w:ascii="Arial" w:cs="Arial" w:eastAsia="Arial" w:hAnsi="Arial"/>
          <w:sz w:val="19"/>
          <w:szCs w:val="19"/>
          <w:color w:val="auto"/>
        </w:rPr>
        <w:t>(a “covered bank” as that term is defined in, and interpreted in accordance with, 12 C.F.R. § 47.3(b); or</w:t>
      </w:r>
    </w:p>
    <w:p>
      <w:pPr>
        <w:spacing w:after="0" w:line="254" w:lineRule="exact"/>
        <w:rPr>
          <w:rFonts w:ascii="Arial" w:cs="Arial" w:eastAsia="Arial" w:hAnsi="Arial"/>
          <w:sz w:val="18"/>
          <w:szCs w:val="18"/>
          <w:color w:val="auto"/>
        </w:rPr>
      </w:pPr>
    </w:p>
    <w:p>
      <w:pPr>
        <w:ind w:left="1960" w:hanging="332"/>
        <w:spacing w:after="0"/>
        <w:tabs>
          <w:tab w:leader="none" w:pos="1960" w:val="left"/>
        </w:tabs>
        <w:numPr>
          <w:ilvl w:val="0"/>
          <w:numId w:val="205"/>
        </w:numPr>
        <w:rPr>
          <w:rFonts w:ascii="Arial" w:cs="Arial" w:eastAsia="Arial" w:hAnsi="Arial"/>
          <w:sz w:val="19"/>
          <w:szCs w:val="19"/>
          <w:color w:val="auto"/>
        </w:rPr>
      </w:pPr>
      <w:r>
        <w:rPr>
          <w:rFonts w:ascii="Arial" w:cs="Arial" w:eastAsia="Arial" w:hAnsi="Arial"/>
          <w:sz w:val="21"/>
          <w:szCs w:val="21"/>
          <w:color w:val="auto"/>
        </w:rPr>
        <w:t>a “covered FSI” as that term is defined in, and interpreted in accordance with, 12 C.F.R. § 382.2(b).</w:t>
      </w:r>
    </w:p>
    <w:p>
      <w:pPr>
        <w:spacing w:after="0" w:line="231"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“Default Right” has the meaning assigned to that term in, and shall be interpreted in accordance with, 12 C.F.R. §§ 252.81, 47.2 or 382.1, as applicable.</w:t>
      </w:r>
    </w:p>
    <w:p>
      <w:pPr>
        <w:spacing w:after="0" w:line="175" w:lineRule="exact"/>
        <w:rPr>
          <w:sz w:val="20"/>
          <w:szCs w:val="20"/>
          <w:color w:val="auto"/>
        </w:rPr>
      </w:pPr>
    </w:p>
    <w:p>
      <w:pPr>
        <w:ind w:left="1300" w:right="140"/>
        <w:spacing w:after="0" w:line="253" w:lineRule="auto"/>
        <w:rPr>
          <w:sz w:val="20"/>
          <w:szCs w:val="20"/>
          <w:color w:val="auto"/>
        </w:rPr>
      </w:pPr>
      <w:r>
        <w:rPr>
          <w:rFonts w:ascii="Arial" w:cs="Arial" w:eastAsia="Arial" w:hAnsi="Arial"/>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1220"/>
          </w:cols>
          <w:pgMar w:left="320" w:top="1428" w:right="359" w:bottom="1440" w:gutter="0" w:footer="0" w:header="0"/>
        </w:sectPr>
      </w:pPr>
    </w:p>
    <w:bookmarkStart w:id="273" w:name="page274"/>
    <w:bookmarkEnd w:id="273"/>
    <w:p>
      <w:pPr>
        <w:ind w:left="-656" w:firstLine="656"/>
        <w:spacing w:after="0" w:line="294" w:lineRule="auto"/>
        <w:tabs>
          <w:tab w:leader="none" w:pos="635" w:val="left"/>
        </w:tabs>
        <w:numPr>
          <w:ilvl w:val="0"/>
          <w:numId w:val="206"/>
        </w:numPr>
        <w:rPr>
          <w:rFonts w:ascii="Arial" w:cs="Arial" w:eastAsia="Arial" w:hAnsi="Arial"/>
          <w:sz w:val="18"/>
          <w:szCs w:val="18"/>
          <w:color w:val="auto"/>
        </w:rPr>
      </w:pPr>
      <w:r>
        <w:rPr>
          <w:rFonts w:ascii="Arial" w:cs="Arial" w:eastAsia="Arial" w:hAnsi="Arial"/>
          <w:sz w:val="19"/>
          <w:szCs w:val="19"/>
          <w:i w:val="1"/>
          <w:iCs w:val="1"/>
          <w:color w:val="auto"/>
        </w:rPr>
        <w:t xml:space="preserve">Counterparts. </w:t>
      </w:r>
      <w:r>
        <w:rPr>
          <w:rFonts w:ascii="Arial" w:cs="Arial" w:eastAsia="Arial" w:hAnsi="Arial"/>
          <w:sz w:val="19"/>
          <w:szCs w:val="19"/>
          <w:color w:val="auto"/>
        </w:rPr>
        <w:t>This Agreement may be signed in counterparts (which may include counterparts delivered by any</w:t>
      </w:r>
      <w:r>
        <w:rPr>
          <w:rFonts w:ascii="Arial" w:cs="Arial" w:eastAsia="Arial" w:hAnsi="Arial"/>
          <w:sz w:val="19"/>
          <w:szCs w:val="19"/>
          <w:i w:val="1"/>
          <w:iCs w:val="1"/>
          <w:color w:val="auto"/>
        </w:rPr>
        <w:t xml:space="preserve"> </w:t>
      </w:r>
      <w:r>
        <w:rPr>
          <w:rFonts w:ascii="Arial" w:cs="Arial" w:eastAsia="Arial" w:hAnsi="Arial"/>
          <w:sz w:val="19"/>
          <w:szCs w:val="19"/>
          <w:color w:val="auto"/>
        </w:rPr>
        <w:t>standard form of telecommunication),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9" w:lineRule="exact"/>
        <w:rPr>
          <w:rFonts w:ascii="Arial" w:cs="Arial" w:eastAsia="Arial" w:hAnsi="Arial"/>
          <w:sz w:val="18"/>
          <w:szCs w:val="18"/>
          <w:color w:val="auto"/>
        </w:rPr>
      </w:pPr>
    </w:p>
    <w:p>
      <w:pPr>
        <w:ind w:left="-656" w:right="100" w:firstLine="656"/>
        <w:spacing w:after="0" w:line="253" w:lineRule="auto"/>
        <w:tabs>
          <w:tab w:leader="none" w:pos="628" w:val="left"/>
        </w:tabs>
        <w:numPr>
          <w:ilvl w:val="0"/>
          <w:numId w:val="206"/>
        </w:numPr>
        <w:rPr>
          <w:rFonts w:ascii="Arial" w:cs="Arial" w:eastAsia="Arial" w:hAnsi="Arial"/>
          <w:sz w:val="20"/>
          <w:szCs w:val="20"/>
          <w:color w:val="auto"/>
        </w:rPr>
      </w:pPr>
      <w:r>
        <w:rPr>
          <w:rFonts w:ascii="Arial" w:cs="Arial" w:eastAsia="Arial" w:hAnsi="Arial"/>
          <w:sz w:val="22"/>
          <w:szCs w:val="22"/>
          <w:i w:val="1"/>
          <w:iCs w:val="1"/>
          <w:color w:val="auto"/>
        </w:rPr>
        <w:t xml:space="preserve">Amendments or Waivers. </w:t>
      </w:r>
      <w:r>
        <w:rPr>
          <w:rFonts w:ascii="Arial" w:cs="Arial" w:eastAsia="Arial" w:hAnsi="Arial"/>
          <w:sz w:val="22"/>
          <w:szCs w:val="22"/>
          <w:color w:val="auto"/>
        </w:rPr>
        <w:t>No amendment or waiver of any provision of this Agreement, nor any consent or</w:t>
      </w:r>
      <w:r>
        <w:rPr>
          <w:rFonts w:ascii="Arial" w:cs="Arial" w:eastAsia="Arial" w:hAnsi="Arial"/>
          <w:sz w:val="22"/>
          <w:szCs w:val="22"/>
          <w:i w:val="1"/>
          <w:iCs w:val="1"/>
          <w:color w:val="auto"/>
        </w:rPr>
        <w:t xml:space="preserve"> </w:t>
      </w:r>
      <w:r>
        <w:rPr>
          <w:rFonts w:ascii="Arial" w:cs="Arial" w:eastAsia="Arial" w:hAnsi="Arial"/>
          <w:sz w:val="22"/>
          <w:szCs w:val="22"/>
          <w:color w:val="auto"/>
        </w:rPr>
        <w:t>approval to any departure therefrom, shall in any event be effective unless the same shall be in writing and signed by the parties hereto.</w:t>
      </w:r>
    </w:p>
    <w:p>
      <w:pPr>
        <w:spacing w:after="0" w:line="185" w:lineRule="exact"/>
        <w:rPr>
          <w:rFonts w:ascii="Arial" w:cs="Arial" w:eastAsia="Arial" w:hAnsi="Arial"/>
          <w:sz w:val="20"/>
          <w:szCs w:val="20"/>
          <w:color w:val="auto"/>
        </w:rPr>
      </w:pPr>
    </w:p>
    <w:p>
      <w:pPr>
        <w:ind w:left="-656" w:right="100" w:firstLine="656"/>
        <w:spacing w:after="0" w:line="263" w:lineRule="auto"/>
        <w:tabs>
          <w:tab w:leader="none" w:pos="628" w:val="left"/>
        </w:tabs>
        <w:numPr>
          <w:ilvl w:val="0"/>
          <w:numId w:val="206"/>
        </w:numPr>
        <w:rPr>
          <w:rFonts w:ascii="Arial" w:cs="Arial" w:eastAsia="Arial" w:hAnsi="Arial"/>
          <w:sz w:val="20"/>
          <w:szCs w:val="20"/>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herein are included for convenience of reference only and are not intended to be part of,</w:t>
      </w:r>
      <w:r>
        <w:rPr>
          <w:rFonts w:ascii="Arial" w:cs="Arial" w:eastAsia="Arial" w:hAnsi="Arial"/>
          <w:sz w:val="22"/>
          <w:szCs w:val="22"/>
          <w:i w:val="1"/>
          <w:iCs w:val="1"/>
          <w:color w:val="auto"/>
        </w:rPr>
        <w:t xml:space="preserve"> </w:t>
      </w:r>
      <w:r>
        <w:rPr>
          <w:rFonts w:ascii="Arial" w:cs="Arial" w:eastAsia="Arial" w:hAnsi="Arial"/>
          <w:sz w:val="22"/>
          <w:szCs w:val="22"/>
          <w:color w:val="auto"/>
        </w:rPr>
        <w:t>or to affect the meaning or interpretation of, this Agreement.</w:t>
      </w:r>
    </w:p>
    <w:p>
      <w:pPr>
        <w:sectPr>
          <w:pgSz w:w="11900" w:h="16838" w:orient="portrait"/>
          <w:cols w:equalWidth="0" w:num="1">
            <w:col w:w="10484"/>
          </w:cols>
          <w:pgMar w:left="976" w:top="1428" w:right="439" w:bottom="1440" w:gutter="0" w:footer="0" w:header="0"/>
        </w:sectPr>
      </w:pPr>
    </w:p>
    <w:bookmarkStart w:id="274" w:name="page275"/>
    <w:bookmarkEnd w:id="274"/>
    <w:p>
      <w:pPr>
        <w:ind w:firstLine="648"/>
        <w:spacing w:after="0" w:line="263" w:lineRule="auto"/>
        <w:rPr>
          <w:sz w:val="20"/>
          <w:szCs w:val="20"/>
          <w:color w:val="auto"/>
        </w:rPr>
      </w:pPr>
      <w:r>
        <w:rPr>
          <w:rFonts w:ascii="Arial" w:cs="Arial" w:eastAsia="Arial" w:hAnsi="Arial"/>
          <w:sz w:val="22"/>
          <w:szCs w:val="22"/>
          <w:color w:val="auto"/>
        </w:rPr>
        <w:t>If the foregoing is in accordance with your understanding, please indicate your acceptance of this Agreement by signing in the space provided below.</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Very truly yours,</w:t>
      </w:r>
    </w:p>
    <w:p>
      <w:pPr>
        <w:spacing w:after="0" w:line="32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SEER, INC.</w:t>
      </w:r>
    </w:p>
    <w:p>
      <w:pPr>
        <w:spacing w:after="0" w:line="200" w:lineRule="exact"/>
        <w:rPr>
          <w:sz w:val="20"/>
          <w:szCs w:val="20"/>
          <w:color w:val="auto"/>
        </w:rPr>
      </w:pPr>
    </w:p>
    <w:p>
      <w:pPr>
        <w:spacing w:after="0" w:line="39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24130</wp:posOffset>
            </wp:positionV>
            <wp:extent cx="15862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5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SELLING STOCKHOLDERS</w:t>
      </w:r>
    </w:p>
    <w:p>
      <w:pPr>
        <w:spacing w:after="0" w:line="200" w:lineRule="exact"/>
        <w:rPr>
          <w:sz w:val="20"/>
          <w:szCs w:val="20"/>
          <w:color w:val="auto"/>
        </w:rPr>
      </w:pPr>
    </w:p>
    <w:p>
      <w:pPr>
        <w:spacing w:after="0" w:line="39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24130</wp:posOffset>
            </wp:positionV>
            <wp:extent cx="15862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9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24130</wp:posOffset>
            </wp:positionV>
            <wp:extent cx="15862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5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As Attorneys-in-Fact acting on</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behalf of each of the Selling</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Stockholders, acting severally</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and not jointly, named in</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Schedule 2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Underwriting Agreement</w:t>
      </w:r>
      <w:r>
        <w:rPr>
          <w:rFonts w:ascii="Arial" w:cs="Arial" w:eastAsia="Arial" w:hAnsi="Arial"/>
          <w:sz w:val="22"/>
          <w:szCs w:val="22"/>
          <w:color w:val="auto"/>
        </w:rPr>
        <w:t>]</w:t>
      </w:r>
    </w:p>
    <w:p>
      <w:pPr>
        <w:sectPr>
          <w:pgSz w:w="11900" w:h="16838" w:orient="portrait"/>
          <w:cols w:equalWidth="0" w:num="1">
            <w:col w:w="11040"/>
          </w:cols>
          <w:pgMar w:left="320" w:top="1428" w:right="539" w:bottom="1440" w:gutter="0" w:footer="0" w:header="0"/>
        </w:sectPr>
      </w:pPr>
    </w:p>
    <w:bookmarkStart w:id="275" w:name="page276"/>
    <w:bookmarkEnd w:id="275"/>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auto"/>
        </w:rPr>
        <w:t>Each for itself and on behalf of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several Underwriters listed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 Schedule 1 hereto.</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24130</wp:posOffset>
            </wp:positionV>
            <wp:extent cx="29057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Authorized Signatory</w:t>
      </w:r>
    </w:p>
    <w:p>
      <w:pPr>
        <w:spacing w:after="0" w:line="32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24130</wp:posOffset>
            </wp:positionV>
            <wp:extent cx="29057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Authorized Signatory</w:t>
      </w:r>
    </w:p>
    <w:p>
      <w:pPr>
        <w:spacing w:after="0" w:line="32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Title: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24130</wp:posOffset>
            </wp:positionV>
            <wp:extent cx="2905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Authorized Signatory</w:t>
      </w:r>
    </w:p>
    <w:p>
      <w:pPr>
        <w:spacing w:after="0" w:line="32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Name:</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5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Underwriting Agreement</w:t>
      </w:r>
      <w:r>
        <w:rPr>
          <w:rFonts w:ascii="Arial" w:cs="Arial" w:eastAsia="Arial" w:hAnsi="Arial"/>
          <w:sz w:val="22"/>
          <w:szCs w:val="22"/>
          <w:color w:val="auto"/>
        </w:rPr>
        <w:t>]</w:t>
      </w:r>
    </w:p>
    <w:p>
      <w:pPr>
        <w:sectPr>
          <w:pgSz w:w="11900" w:h="16838" w:orient="portrait"/>
          <w:cols w:equalWidth="0" w:num="1">
            <w:col w:w="10119"/>
          </w:cols>
          <w:pgMar w:left="340" w:top="1440" w:right="1440" w:bottom="1440" w:gutter="0" w:footer="0" w:header="0"/>
        </w:sectPr>
      </w:pPr>
    </w:p>
    <w:bookmarkStart w:id="276" w:name="page277"/>
    <w:bookmarkEnd w:id="276"/>
    <w:p>
      <w:pPr>
        <w:jc w:val="right"/>
        <w:spacing w:after="0"/>
        <w:rPr>
          <w:sz w:val="20"/>
          <w:szCs w:val="20"/>
          <w:color w:val="auto"/>
        </w:rPr>
      </w:pPr>
      <w:r>
        <w:rPr>
          <w:rFonts w:ascii="Arial" w:cs="Arial" w:eastAsia="Arial" w:hAnsi="Arial"/>
          <w:sz w:val="22"/>
          <w:szCs w:val="22"/>
          <w:color w:val="auto"/>
        </w:rPr>
        <w:t>Schedule 1</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gridSpan w:val="2"/>
          </w:tcPr>
          <w:p>
            <w:pPr>
              <w:spacing w:after="0"/>
              <w:rPr>
                <w:sz w:val="20"/>
                <w:szCs w:val="20"/>
                <w:color w:val="auto"/>
              </w:rPr>
            </w:pPr>
            <w:r>
              <w:rPr>
                <w:rFonts w:ascii="Arial" w:cs="Arial" w:eastAsia="Arial" w:hAnsi="Arial"/>
                <w:sz w:val="22"/>
                <w:szCs w:val="22"/>
                <w:color w:val="auto"/>
              </w:rPr>
              <w:t>Underwriter</w:t>
            </w:r>
          </w:p>
        </w:tc>
        <w:tc>
          <w:tcPr>
            <w:tcW w:w="20" w:type="dxa"/>
            <w:vAlign w:val="bottom"/>
          </w:tcPr>
          <w:p>
            <w:pPr>
              <w:spacing w:after="0"/>
              <w:rPr>
                <w:sz w:val="21"/>
                <w:szCs w:val="21"/>
                <w:color w:val="auto"/>
              </w:rPr>
            </w:pPr>
          </w:p>
        </w:tc>
        <w:tc>
          <w:tcPr>
            <w:tcW w:w="2200" w:type="dxa"/>
            <w:vAlign w:val="bottom"/>
            <w:gridSpan w:val="2"/>
          </w:tcPr>
          <w:p>
            <w:pPr>
              <w:spacing w:after="0"/>
              <w:rPr>
                <w:sz w:val="20"/>
                <w:szCs w:val="20"/>
                <w:color w:val="auto"/>
              </w:rPr>
            </w:pPr>
            <w:r>
              <w:rPr>
                <w:rFonts w:ascii="Arial" w:cs="Arial" w:eastAsia="Arial" w:hAnsi="Arial"/>
                <w:sz w:val="22"/>
                <w:szCs w:val="22"/>
                <w:color w:val="auto"/>
              </w:rPr>
              <w:t>Number of Shares</w:t>
            </w:r>
          </w:p>
        </w:tc>
      </w:tr>
      <w:tr>
        <w:trPr>
          <w:trHeight w:val="20"/>
        </w:trPr>
        <w:tc>
          <w:tcPr>
            <w:tcW w:w="106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11"/>
        </w:trPr>
        <w:tc>
          <w:tcPr>
            <w:tcW w:w="5580" w:type="dxa"/>
            <w:vAlign w:val="bottom"/>
            <w:gridSpan w:val="2"/>
          </w:tcPr>
          <w:p>
            <w:pPr>
              <w:spacing w:after="0"/>
              <w:rPr>
                <w:sz w:val="20"/>
                <w:szCs w:val="20"/>
                <w:color w:val="auto"/>
              </w:rPr>
            </w:pPr>
            <w:r>
              <w:rPr>
                <w:rFonts w:ascii="Arial" w:cs="Arial" w:eastAsia="Arial" w:hAnsi="Arial"/>
                <w:sz w:val="22"/>
                <w:szCs w:val="22"/>
                <w:color w:val="auto"/>
              </w:rPr>
              <w:t>J.P. Morgan Securities LLC</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22"/>
                <w:szCs w:val="22"/>
                <w:color w:val="auto"/>
              </w:rPr>
              <w:t>[●]</w:t>
            </w:r>
          </w:p>
        </w:tc>
      </w:tr>
      <w:tr>
        <w:trPr>
          <w:trHeight w:val="310"/>
        </w:trPr>
        <w:tc>
          <w:tcPr>
            <w:tcW w:w="5580" w:type="dxa"/>
            <w:vAlign w:val="bottom"/>
            <w:gridSpan w:val="2"/>
          </w:tcPr>
          <w:p>
            <w:pPr>
              <w:spacing w:after="0"/>
              <w:rPr>
                <w:sz w:val="20"/>
                <w:szCs w:val="20"/>
                <w:color w:val="auto"/>
              </w:rPr>
            </w:pPr>
            <w:r>
              <w:rPr>
                <w:rFonts w:ascii="Arial" w:cs="Arial" w:eastAsia="Arial" w:hAnsi="Arial"/>
                <w:sz w:val="22"/>
                <w:szCs w:val="22"/>
                <w:color w:val="auto"/>
              </w:rPr>
              <w:t>Morgan Stanley &amp; Co. LLC</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22"/>
                <w:szCs w:val="22"/>
                <w:color w:val="auto"/>
              </w:rPr>
              <w:t>[●]</w:t>
            </w:r>
          </w:p>
        </w:tc>
      </w:tr>
      <w:tr>
        <w:trPr>
          <w:trHeight w:val="311"/>
        </w:trPr>
        <w:tc>
          <w:tcPr>
            <w:tcW w:w="5580" w:type="dxa"/>
            <w:vAlign w:val="bottom"/>
            <w:gridSpan w:val="2"/>
          </w:tcPr>
          <w:p>
            <w:pPr>
              <w:spacing w:after="0"/>
              <w:rPr>
                <w:sz w:val="20"/>
                <w:szCs w:val="20"/>
                <w:color w:val="auto"/>
              </w:rPr>
            </w:pPr>
            <w:r>
              <w:rPr>
                <w:rFonts w:ascii="Arial" w:cs="Arial" w:eastAsia="Arial" w:hAnsi="Arial"/>
                <w:sz w:val="22"/>
                <w:szCs w:val="22"/>
                <w:color w:val="auto"/>
              </w:rPr>
              <w:t>BofA Securities, Inc.</w:t>
            </w: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ind w:left="360"/>
              <w:spacing w:after="0"/>
              <w:rPr>
                <w:sz w:val="20"/>
                <w:szCs w:val="20"/>
                <w:color w:val="auto"/>
              </w:rPr>
            </w:pPr>
            <w:r>
              <w:rPr>
                <w:rFonts w:ascii="Arial" w:cs="Arial" w:eastAsia="Arial" w:hAnsi="Arial"/>
                <w:sz w:val="22"/>
                <w:szCs w:val="22"/>
                <w:color w:val="auto"/>
              </w:rPr>
              <w:t>[●]</w:t>
            </w:r>
          </w:p>
        </w:tc>
      </w:tr>
      <w:tr>
        <w:trPr>
          <w:trHeight w:val="321"/>
        </w:trPr>
        <w:tc>
          <w:tcPr>
            <w:tcW w:w="5580" w:type="dxa"/>
            <w:vAlign w:val="bottom"/>
            <w:gridSpan w:val="2"/>
          </w:tcPr>
          <w:p>
            <w:pPr>
              <w:spacing w:after="0"/>
              <w:rPr>
                <w:sz w:val="20"/>
                <w:szCs w:val="20"/>
                <w:color w:val="auto"/>
              </w:rPr>
            </w:pPr>
            <w:r>
              <w:rPr>
                <w:rFonts w:ascii="Arial" w:cs="Arial" w:eastAsia="Arial" w:hAnsi="Arial"/>
                <w:sz w:val="22"/>
                <w:szCs w:val="22"/>
                <w:color w:val="auto"/>
              </w:rPr>
              <w:t>Cowen and Company, LLC</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22"/>
                <w:szCs w:val="22"/>
                <w:color w:val="auto"/>
              </w:rPr>
              <w:t>[●]</w:t>
            </w:r>
          </w:p>
        </w:tc>
      </w:tr>
      <w:tr>
        <w:trPr>
          <w:trHeight w:val="304"/>
        </w:trPr>
        <w:tc>
          <w:tcPr>
            <w:tcW w:w="1060" w:type="dxa"/>
            <w:vAlign w:val="bottom"/>
          </w:tcPr>
          <w:p>
            <w:pPr>
              <w:spacing w:after="0"/>
              <w:rPr>
                <w:sz w:val="24"/>
                <w:szCs w:val="24"/>
                <w:color w:val="auto"/>
              </w:rPr>
            </w:pPr>
          </w:p>
        </w:tc>
        <w:tc>
          <w:tcPr>
            <w:tcW w:w="4520" w:type="dxa"/>
            <w:vAlign w:val="bottom"/>
          </w:tcPr>
          <w:p>
            <w:pPr>
              <w:ind w:left="4060"/>
              <w:spacing w:after="0"/>
              <w:rPr>
                <w:sz w:val="20"/>
                <w:szCs w:val="20"/>
                <w:color w:val="auto"/>
              </w:rPr>
            </w:pPr>
            <w:r>
              <w:rPr>
                <w:rFonts w:ascii="Arial" w:cs="Arial" w:eastAsia="Arial" w:hAnsi="Arial"/>
                <w:sz w:val="22"/>
                <w:szCs w:val="22"/>
                <w:color w:val="auto"/>
                <w:w w:val="89"/>
              </w:rPr>
              <w:t>Total</w:t>
            </w: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22"/>
                <w:szCs w:val="22"/>
                <w:color w:val="auto"/>
              </w:rPr>
              <w:t>[●]</w:t>
            </w:r>
          </w:p>
        </w:tc>
      </w:tr>
      <w:tr>
        <w:trPr>
          <w:trHeight w:val="27"/>
        </w:trPr>
        <w:tc>
          <w:tcPr>
            <w:tcW w:w="10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ectPr>
          <w:pgSz w:w="11900" w:h="16838" w:orient="portrait"/>
          <w:cols w:equalWidth="0" w:num="1">
            <w:col w:w="11220"/>
          </w:cols>
          <w:pgMar w:left="340" w:top="1428"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22"/>
          <w:szCs w:val="22"/>
          <w:color w:val="auto"/>
        </w:rPr>
        <w:t>Schedule 2</w:t>
      </w:r>
    </w:p>
    <w:p>
      <w:pPr>
        <w:spacing w:after="0" w:line="274" w:lineRule="exact"/>
        <w:rPr>
          <w:sz w:val="20"/>
          <w:szCs w:val="20"/>
          <w:color w:val="auto"/>
        </w:rPr>
      </w:pPr>
    </w:p>
    <w:p>
      <w:pPr>
        <w:spacing w:after="0"/>
        <w:tabs>
          <w:tab w:leader="none" w:pos="3660" w:val="left"/>
          <w:tab w:leader="none" w:pos="7540" w:val="left"/>
        </w:tabs>
        <w:rPr>
          <w:sz w:val="20"/>
          <w:szCs w:val="20"/>
          <w:color w:val="auto"/>
        </w:rPr>
      </w:pPr>
      <w:r>
        <w:rPr>
          <w:rFonts w:ascii="Arial" w:cs="Arial" w:eastAsia="Arial" w:hAnsi="Arial"/>
          <w:sz w:val="22"/>
          <w:szCs w:val="22"/>
          <w:u w:val="single" w:color="auto"/>
          <w:color w:val="auto"/>
        </w:rPr>
        <w:t>Selling Stockholder</w:t>
      </w:r>
      <w:r>
        <w:rPr>
          <w:sz w:val="20"/>
          <w:szCs w:val="20"/>
          <w:color w:val="auto"/>
        </w:rPr>
        <w:tab/>
      </w:r>
      <w:r>
        <w:rPr>
          <w:rFonts w:ascii="Arial" w:cs="Arial" w:eastAsia="Arial" w:hAnsi="Arial"/>
          <w:sz w:val="22"/>
          <w:szCs w:val="22"/>
          <w:u w:val="single" w:color="auto"/>
          <w:color w:val="auto"/>
        </w:rPr>
        <w:t>Number of Underwritten Shares:</w:t>
      </w:r>
      <w:r>
        <w:rPr>
          <w:sz w:val="20"/>
          <w:szCs w:val="20"/>
          <w:color w:val="auto"/>
        </w:rPr>
        <w:tab/>
      </w:r>
      <w:r>
        <w:rPr>
          <w:rFonts w:ascii="Arial" w:cs="Arial" w:eastAsia="Arial" w:hAnsi="Arial"/>
          <w:sz w:val="19"/>
          <w:szCs w:val="19"/>
          <w:u w:val="single" w:color="auto"/>
          <w:color w:val="auto"/>
        </w:rPr>
        <w:t>Number of Option Shares:</w:t>
      </w:r>
    </w:p>
    <w:p>
      <w:pPr>
        <w:sectPr>
          <w:pgSz w:w="11900" w:h="16838" w:orient="portrait"/>
          <w:cols w:equalWidth="0" w:num="1">
            <w:col w:w="11220"/>
          </w:cols>
          <w:pgMar w:left="340" w:top="1428"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22"/>
          <w:szCs w:val="22"/>
          <w:color w:val="auto"/>
        </w:rPr>
        <w:t>Schedule 3</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Significant Subsidiaries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Seer Securities Corporation</w:t>
      </w:r>
    </w:p>
    <w:p>
      <w:pPr>
        <w:sectPr>
          <w:pgSz w:w="11900" w:h="16838" w:orient="portrait"/>
          <w:cols w:equalWidth="0" w:num="1">
            <w:col w:w="10120"/>
          </w:cols>
          <w:pgMar w:left="1440" w:top="1428"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22"/>
          <w:szCs w:val="22"/>
          <w:color w:val="auto"/>
        </w:rPr>
        <w:t>Annex A</w:t>
      </w:r>
    </w:p>
    <w:p>
      <w:pPr>
        <w:spacing w:after="0" w:line="200" w:lineRule="exact"/>
        <w:rPr>
          <w:sz w:val="20"/>
          <w:szCs w:val="20"/>
          <w:color w:val="auto"/>
        </w:rPr>
      </w:pPr>
    </w:p>
    <w:p>
      <w:pPr>
        <w:spacing w:after="0" w:line="230" w:lineRule="exact"/>
        <w:rPr>
          <w:sz w:val="20"/>
          <w:szCs w:val="20"/>
          <w:color w:val="auto"/>
        </w:rPr>
      </w:pPr>
    </w:p>
    <w:p>
      <w:pPr>
        <w:ind w:left="660" w:right="8420" w:hanging="652"/>
        <w:spacing w:after="0" w:line="448" w:lineRule="auto"/>
        <w:tabs>
          <w:tab w:leader="none" w:pos="324" w:val="left"/>
        </w:tabs>
        <w:numPr>
          <w:ilvl w:val="0"/>
          <w:numId w:val="207"/>
        </w:numPr>
        <w:rPr>
          <w:rFonts w:ascii="Arial" w:cs="Arial" w:eastAsia="Arial" w:hAnsi="Arial"/>
          <w:sz w:val="22"/>
          <w:szCs w:val="22"/>
          <w:color w:val="auto"/>
        </w:rPr>
      </w:pPr>
      <w:r>
        <w:rPr>
          <w:rFonts w:ascii="Arial" w:cs="Arial" w:eastAsia="Arial" w:hAnsi="Arial"/>
          <w:sz w:val="22"/>
          <w:szCs w:val="22"/>
          <w:b w:val="1"/>
          <w:bCs w:val="1"/>
          <w:color w:val="auto"/>
        </w:rPr>
        <w:t xml:space="preserve">Pricing Disclosure Package </w:t>
      </w:r>
      <w:r>
        <w:rPr>
          <w:rFonts w:ascii="Arial" w:cs="Arial" w:eastAsia="Arial" w:hAnsi="Arial"/>
          <w:sz w:val="22"/>
          <w:szCs w:val="22"/>
          <w:color w:val="auto"/>
        </w:rPr>
        <w:t>[None.]</w:t>
      </w:r>
    </w:p>
    <w:p>
      <w:pPr>
        <w:ind w:left="660" w:right="5920" w:hanging="652"/>
        <w:spacing w:after="0" w:line="451" w:lineRule="auto"/>
        <w:tabs>
          <w:tab w:leader="none" w:pos="336" w:val="left"/>
        </w:tabs>
        <w:numPr>
          <w:ilvl w:val="0"/>
          <w:numId w:val="207"/>
        </w:numPr>
        <w:rPr>
          <w:rFonts w:ascii="Arial" w:cs="Arial" w:eastAsia="Arial" w:hAnsi="Arial"/>
          <w:sz w:val="22"/>
          <w:szCs w:val="22"/>
          <w:color w:val="auto"/>
        </w:rPr>
      </w:pPr>
      <w:r>
        <w:rPr>
          <w:rFonts w:ascii="Arial" w:cs="Arial" w:eastAsia="Arial" w:hAnsi="Arial"/>
          <w:sz w:val="22"/>
          <w:szCs w:val="22"/>
          <w:b w:val="1"/>
          <w:bCs w:val="1"/>
          <w:color w:val="auto"/>
        </w:rPr>
        <w:t xml:space="preserve">Pricing Information Provided Orally by Underwriters </w:t>
      </w:r>
      <w:r>
        <w:rPr>
          <w:rFonts w:ascii="Arial" w:cs="Arial" w:eastAsia="Arial" w:hAnsi="Arial"/>
          <w:sz w:val="22"/>
          <w:szCs w:val="22"/>
          <w:color w:val="auto"/>
        </w:rPr>
        <w:t>Underwritten Shares: [●] shares</w:t>
      </w:r>
    </w:p>
    <w:p>
      <w:pPr>
        <w:ind w:left="660"/>
        <w:spacing w:after="0"/>
        <w:rPr>
          <w:rFonts w:ascii="Arial" w:cs="Arial" w:eastAsia="Arial" w:hAnsi="Arial"/>
          <w:sz w:val="22"/>
          <w:szCs w:val="22"/>
          <w:color w:val="auto"/>
        </w:rPr>
      </w:pPr>
      <w:r>
        <w:rPr>
          <w:rFonts w:ascii="Arial" w:cs="Arial" w:eastAsia="Arial" w:hAnsi="Arial"/>
          <w:sz w:val="22"/>
          <w:szCs w:val="22"/>
          <w:color w:val="auto"/>
        </w:rPr>
        <w:t>Option Shares: [●] shares</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Public Offering Price Per Share: $[●]</w:t>
      </w:r>
    </w:p>
    <w:p>
      <w:pPr>
        <w:sectPr>
          <w:pgSz w:w="11900" w:h="16838" w:orient="portrait"/>
          <w:cols w:equalWidth="0" w:num="1">
            <w:col w:w="11240"/>
          </w:cols>
          <w:pgMar w:left="320" w:top="1428"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22"/>
          <w:szCs w:val="22"/>
          <w:color w:val="auto"/>
        </w:rPr>
        <w:t>Annex B</w:t>
      </w:r>
    </w:p>
    <w:p>
      <w:pPr>
        <w:spacing w:after="0" w:line="200" w:lineRule="exact"/>
        <w:rPr>
          <w:sz w:val="20"/>
          <w:szCs w:val="20"/>
          <w:color w:val="auto"/>
        </w:rPr>
      </w:pPr>
    </w:p>
    <w:p>
      <w:pPr>
        <w:spacing w:after="0" w:line="236" w:lineRule="exact"/>
        <w:rPr>
          <w:sz w:val="20"/>
          <w:szCs w:val="20"/>
          <w:color w:val="auto"/>
        </w:rPr>
      </w:pPr>
    </w:p>
    <w:p>
      <w:pPr>
        <w:ind w:left="3680"/>
        <w:spacing w:after="0"/>
        <w:rPr>
          <w:sz w:val="20"/>
          <w:szCs w:val="20"/>
          <w:color w:val="auto"/>
        </w:rPr>
      </w:pPr>
      <w:r>
        <w:rPr>
          <w:rFonts w:ascii="Arial" w:cs="Arial" w:eastAsia="Arial" w:hAnsi="Arial"/>
          <w:sz w:val="22"/>
          <w:szCs w:val="22"/>
          <w:u w:val="single" w:color="auto"/>
          <w:color w:val="auto"/>
        </w:rPr>
        <w:t>Pricing Term Sheet</w:t>
      </w:r>
    </w:p>
    <w:p>
      <w:pPr>
        <w:spacing w:after="0" w:line="200" w:lineRule="exact"/>
        <w:rPr>
          <w:sz w:val="20"/>
          <w:szCs w:val="20"/>
          <w:color w:val="auto"/>
        </w:rPr>
      </w:pPr>
    </w:p>
    <w:p>
      <w:pPr>
        <w:spacing w:after="0" w:line="23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120"/>
          </w:cols>
          <w:pgMar w:left="1440" w:top="1428"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22"/>
          <w:szCs w:val="22"/>
          <w:color w:val="auto"/>
        </w:rPr>
        <w:t>Exhibit D</w:t>
      </w:r>
    </w:p>
    <w:p>
      <w:pPr>
        <w:spacing w:after="0" w:line="200" w:lineRule="exact"/>
        <w:rPr>
          <w:sz w:val="20"/>
          <w:szCs w:val="20"/>
          <w:color w:val="auto"/>
        </w:rPr>
      </w:pPr>
    </w:p>
    <w:p>
      <w:pPr>
        <w:spacing w:after="0" w:line="23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FORM OF LOCK-UP AGREEMENT</w:t>
      </w:r>
    </w:p>
    <w:p>
      <w:pPr>
        <w:spacing w:after="0" w:line="200" w:lineRule="exact"/>
        <w:rPr>
          <w:sz w:val="20"/>
          <w:szCs w:val="20"/>
          <w:color w:val="auto"/>
        </w:rPr>
      </w:pP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Draft circulated separately</w:t>
      </w:r>
      <w:r>
        <w:rPr>
          <w:rFonts w:ascii="Arial" w:cs="Arial" w:eastAsia="Arial" w:hAnsi="Arial"/>
          <w:sz w:val="22"/>
          <w:szCs w:val="22"/>
          <w:color w:val="auto"/>
        </w:rPr>
        <w:t>]</w:t>
      </w:r>
    </w:p>
    <w:p>
      <w:pPr>
        <w:sectPr>
          <w:pgSz w:w="11900" w:h="16838" w:orient="portrait"/>
          <w:cols w:equalWidth="0" w:num="1">
            <w:col w:w="10120"/>
          </w:cols>
          <w:pgMar w:left="1440" w:top="1428"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INVESTORS’ RIGHTS AGREEMENT</w:t>
      </w:r>
    </w:p>
    <w:p>
      <w:pPr>
        <w:spacing w:after="0" w:line="16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color w:val="auto"/>
        </w:rPr>
        <w:t>THIS AMENDED AND RESTATED INVESTORS’ RIGHTS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is made as of December 9, 2020, by and among Seer,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each of the investors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hereto, each of which is referred to in this Agreement as an “</w:t>
      </w:r>
      <w:r>
        <w:rPr>
          <w:rFonts w:ascii="Arial" w:cs="Arial" w:eastAsia="Arial" w:hAnsi="Arial"/>
          <w:sz w:val="21"/>
          <w:szCs w:val="21"/>
          <w:b w:val="1"/>
          <w:bCs w:val="1"/>
          <w:color w:val="auto"/>
        </w:rPr>
        <w:t>Investor</w:t>
      </w:r>
      <w:r>
        <w:rPr>
          <w:rFonts w:ascii="Arial" w:cs="Arial" w:eastAsia="Arial" w:hAnsi="Arial"/>
          <w:sz w:val="21"/>
          <w:szCs w:val="21"/>
          <w:color w:val="auto"/>
        </w:rPr>
        <w:t xml:space="preserve">,” and each of the stockholders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hereto, each of whom is referred to herein as a “</w:t>
      </w:r>
      <w:r>
        <w:rPr>
          <w:rFonts w:ascii="Arial" w:cs="Arial" w:eastAsia="Arial" w:hAnsi="Arial"/>
          <w:sz w:val="21"/>
          <w:szCs w:val="21"/>
          <w:b w:val="1"/>
          <w:bCs w:val="1"/>
          <w:color w:val="auto"/>
        </w:rPr>
        <w:t>Key Holder</w:t>
      </w:r>
      <w:r>
        <w:rPr>
          <w:rFonts w:ascii="Arial" w:cs="Arial" w:eastAsia="Arial" w:hAnsi="Arial"/>
          <w:sz w:val="21"/>
          <w:szCs w:val="21"/>
          <w:color w:val="auto"/>
        </w:rPr>
        <w:t xml:space="preserve">” and any Additional Purchaser (as defined in the Purchase Agreement) that becomes a party to this Agreement in accordance with </w:t>
      </w:r>
      <w:r>
        <w:rPr>
          <w:rFonts w:ascii="Arial" w:cs="Arial" w:eastAsia="Arial" w:hAnsi="Arial"/>
          <w:sz w:val="21"/>
          <w:szCs w:val="21"/>
          <w:u w:val="single" w:color="auto"/>
          <w:color w:val="auto"/>
        </w:rPr>
        <w:t>Section 6.9</w:t>
      </w:r>
      <w:r>
        <w:rPr>
          <w:rFonts w:ascii="Arial" w:cs="Arial" w:eastAsia="Arial" w:hAnsi="Arial"/>
          <w:sz w:val="21"/>
          <w:szCs w:val="21"/>
          <w:color w:val="auto"/>
        </w:rPr>
        <w:t xml:space="preserv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6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certain of the Investors (the “</w:t>
      </w:r>
      <w:r>
        <w:rPr>
          <w:rFonts w:ascii="Arial" w:cs="Arial" w:eastAsia="Arial" w:hAnsi="Arial"/>
          <w:sz w:val="21"/>
          <w:szCs w:val="21"/>
          <w:b w:val="1"/>
          <w:bCs w:val="1"/>
          <w:color w:val="auto"/>
        </w:rPr>
        <w:t>Existing Investors</w:t>
      </w:r>
      <w:r>
        <w:rPr>
          <w:rFonts w:ascii="Arial" w:cs="Arial" w:eastAsia="Arial" w:hAnsi="Arial"/>
          <w:sz w:val="21"/>
          <w:szCs w:val="21"/>
          <w:color w:val="auto"/>
        </w:rPr>
        <w:t>”) hold shares of the Company’s Preferred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and/or shares of Common Stock issued upon conversion thereof and possess registration rights, information rights, rights of first offer and other rights pursuant to that certain Amended and Restated Investors’ Rights Agreement dated as of May 12, 2020, by and among the Company and such Existing Investors (the “</w:t>
      </w:r>
      <w:r>
        <w:rPr>
          <w:rFonts w:ascii="Arial" w:cs="Arial" w:eastAsia="Arial" w:hAnsi="Arial"/>
          <w:sz w:val="21"/>
          <w:szCs w:val="21"/>
          <w:b w:val="1"/>
          <w:bCs w:val="1"/>
          <w:color w:val="auto"/>
        </w:rPr>
        <w:t>Prior Agreement</w:t>
      </w:r>
      <w:r>
        <w:rPr>
          <w:rFonts w:ascii="Arial" w:cs="Arial" w:eastAsia="Arial" w:hAnsi="Arial"/>
          <w:sz w:val="21"/>
          <w:szCs w:val="21"/>
          <w:color w:val="auto"/>
        </w:rPr>
        <w:t>”);</w:t>
      </w:r>
    </w:p>
    <w:p>
      <w:pPr>
        <w:spacing w:after="0" w:line="11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Existing Investors are holders of at least a majority of the Registrable Securities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the Prior Agreement), and desire to amend and restate the Prior Agreement in its entirety and to accept the rights created pursuant to this Agreement in lieu of the rights granted to them under the Prior Agreement; and</w:t>
      </w:r>
    </w:p>
    <w:p>
      <w:pPr>
        <w:spacing w:after="0" w:line="10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that certain Class A Common Stock Purchase Agreement dated November 12, 2020, by</w:t>
      </w:r>
      <w:r>
        <w:rPr>
          <w:rFonts w:ascii="Arial" w:cs="Arial" w:eastAsia="Arial" w:hAnsi="Arial"/>
          <w:sz w:val="22"/>
          <w:szCs w:val="22"/>
          <w:b w:val="1"/>
          <w:bCs w:val="1"/>
          <w:color w:val="auto"/>
        </w:rPr>
        <w:t xml:space="preserve"> </w:t>
      </w:r>
      <w:r>
        <w:rPr>
          <w:rFonts w:ascii="Arial" w:cs="Arial" w:eastAsia="Arial" w:hAnsi="Arial"/>
          <w:sz w:val="22"/>
          <w:szCs w:val="22"/>
          <w:color w:val="auto"/>
        </w:rPr>
        <w:t>and among the Company and such Investors (the “</w:t>
      </w:r>
      <w:r>
        <w:rPr>
          <w:rFonts w:ascii="Arial" w:cs="Arial" w:eastAsia="Arial" w:hAnsi="Arial"/>
          <w:sz w:val="22"/>
          <w:szCs w:val="22"/>
          <w:b w:val="1"/>
          <w:bCs w:val="1"/>
          <w:color w:val="auto"/>
        </w:rPr>
        <w:t>Private Placement Agreement</w:t>
      </w:r>
      <w:r>
        <w:rPr>
          <w:rFonts w:ascii="Arial" w:cs="Arial" w:eastAsia="Arial" w:hAnsi="Arial"/>
          <w:sz w:val="22"/>
          <w:szCs w:val="22"/>
          <w:color w:val="auto"/>
        </w:rPr>
        <w:t>”), certain of the Company’s and such Investors’ obligations are conditioned upon the execution and delivery of this Agreement by such Investors, Existing Investors holding at least a majority of the Registrable Securities and the Company;</w:t>
      </w:r>
    </w:p>
    <w:p>
      <w:pPr>
        <w:spacing w:after="0" w:line="12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Existing Investors hereby agree that the Prior Agreement shall be amended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restated as follows and the parties to this Agreement further agree as follows:</w:t>
      </w:r>
    </w:p>
    <w:p>
      <w:pPr>
        <w:spacing w:after="0" w:line="114" w:lineRule="exact"/>
        <w:rPr>
          <w:sz w:val="20"/>
          <w:szCs w:val="20"/>
          <w:color w:val="auto"/>
        </w:rPr>
      </w:pPr>
    </w:p>
    <w:p>
      <w:pPr>
        <w:ind w:left="1300" w:hanging="644"/>
        <w:spacing w:after="0"/>
        <w:tabs>
          <w:tab w:leader="none" w:pos="1300"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16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one or more general partners or managing members of, or shares the same management company or investment adviser with, such Person.</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the board of directors of the Company.</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A Common Stock”</w:t>
      </w:r>
      <w:r>
        <w:rPr>
          <w:rFonts w:ascii="Arial" w:cs="Arial" w:eastAsia="Arial" w:hAnsi="Arial"/>
          <w:sz w:val="19"/>
          <w:szCs w:val="19"/>
          <w:color w:val="auto"/>
        </w:rPr>
        <w:t xml:space="preserve"> means shares of the Company’s Class A common stock, $0.00001 par value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Class B Common Stock</w:t>
      </w:r>
      <w:r>
        <w:rPr>
          <w:rFonts w:ascii="Arial" w:cs="Arial" w:eastAsia="Arial" w:hAnsi="Arial"/>
          <w:sz w:val="19"/>
          <w:szCs w:val="19"/>
          <w:color w:val="auto"/>
        </w:rPr>
        <w:t>” means shares of the Company’s Class B common stock, $0.00001 par value per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283" w:name="page284"/>
    <w:bookmarkEnd w:id="283"/>
    <w:p>
      <w:pPr>
        <w:ind w:left="1300"/>
        <w:spacing w:after="0"/>
        <w:tabs>
          <w:tab w:leader="none" w:pos="19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collectively, shares of Class A Common Stock and Class B Common Stock.</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Competitor</w:t>
      </w:r>
      <w:r>
        <w:rPr>
          <w:rFonts w:ascii="Arial" w:cs="Arial" w:eastAsia="Arial" w:hAnsi="Arial"/>
          <w:sz w:val="22"/>
          <w:szCs w:val="22"/>
          <w:color w:val="auto"/>
        </w:rPr>
        <w:t>” means a Person engaged, directly or indirectly (including through any partnership, limited liability company, corporation, joint venture or similar arrangement (whether now existing or formed hereafter)), in proteomics measurement combined with a data platform to draw inference, but shall not include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w:t>
      </w:r>
    </w:p>
    <w:p>
      <w:pPr>
        <w:spacing w:after="0" w:line="133"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1.7 “</w:t>
      </w:r>
      <w:r>
        <w:rPr>
          <w:rFonts w:ascii="Arial" w:cs="Arial" w:eastAsia="Arial" w:hAnsi="Arial"/>
          <w:sz w:val="19"/>
          <w:szCs w:val="19"/>
          <w:b w:val="1"/>
          <w:bCs w:val="1"/>
          <w:color w:val="auto"/>
        </w:rPr>
        <w:t>Damages</w:t>
      </w:r>
      <w:r>
        <w:rPr>
          <w:rFonts w:ascii="Arial" w:cs="Arial" w:eastAsia="Arial" w:hAnsi="Arial"/>
          <w:sz w:val="19"/>
          <w:szCs w:val="19"/>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Derivative Securities</w:t>
      </w:r>
      <w:r>
        <w:rPr>
          <w:rFonts w:ascii="Arial" w:cs="Arial" w:eastAsia="Arial" w:hAnsi="Arial"/>
          <w:sz w:val="22"/>
          <w:szCs w:val="22"/>
          <w:color w:val="auto"/>
        </w:rPr>
        <w:t>” means any securities or rights convertible into, or exercisable or exchangeable for (in each case, directly or indirectly)</w:t>
      </w:r>
      <w:r>
        <w:rPr>
          <w:rFonts w:ascii="Arial" w:cs="Arial" w:eastAsia="Arial" w:hAnsi="Arial"/>
          <w:sz w:val="22"/>
          <w:szCs w:val="22"/>
          <w:b w:val="1"/>
          <w:bCs w:val="1"/>
          <w:color w:val="auto"/>
        </w:rPr>
        <w:t>,</w:t>
      </w:r>
      <w:r>
        <w:rPr>
          <w:rFonts w:ascii="Arial" w:cs="Arial" w:eastAsia="Arial" w:hAnsi="Arial"/>
          <w:sz w:val="22"/>
          <w:szCs w:val="22"/>
          <w:color w:val="auto"/>
        </w:rPr>
        <w:t xml:space="preserve"> Common Stock, including options and warrants.</w:t>
      </w:r>
    </w:p>
    <w:p>
      <w:pPr>
        <w:spacing w:after="0" w:line="10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1.9 “</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08"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b w:val="1"/>
          <w:bCs w:val="1"/>
          <w:color w:val="auto"/>
        </w:rPr>
        <w:t>Excluded Registration</w:t>
      </w:r>
      <w:r>
        <w:rPr>
          <w:rFonts w:ascii="Arial" w:cs="Arial" w:eastAsia="Arial" w:hAnsi="Arial"/>
          <w:sz w:val="19"/>
          <w:szCs w:val="19"/>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8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b w:val="1"/>
          <w:bCs w:val="1"/>
          <w:color w:val="auto"/>
        </w:rPr>
        <w:t>FOIA Party</w:t>
      </w:r>
      <w:r>
        <w:rPr>
          <w:rFonts w:ascii="Arial" w:cs="Arial" w:eastAsia="Arial" w:hAnsi="Arial"/>
          <w:sz w:val="22"/>
          <w:szCs w:val="22"/>
          <w:color w:val="auto"/>
        </w:rPr>
        <w:t>” means a Person that, in the reasonable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22"/>
          <w:szCs w:val="22"/>
          <w:b w:val="1"/>
          <w:bCs w:val="1"/>
          <w:color w:val="auto"/>
        </w:rPr>
        <w:t>FOIA</w:t>
      </w:r>
      <w:r>
        <w:rPr>
          <w:rFonts w:ascii="Arial" w:cs="Arial" w:eastAsia="Arial" w:hAnsi="Arial"/>
          <w:sz w:val="22"/>
          <w:szCs w:val="22"/>
          <w:color w:val="auto"/>
        </w:rPr>
        <w:t>”), any state public records access law, any state or other jurisdiction’s laws similar in intent or effect to FOIA, or any other similar statutory or regulatory requirement.</w:t>
      </w:r>
    </w:p>
    <w:p>
      <w:pPr>
        <w:spacing w:after="0" w:line="12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Form S-1</w:t>
      </w:r>
      <w:r>
        <w:rPr>
          <w:rFonts w:ascii="Arial" w:cs="Arial" w:eastAsia="Arial" w:hAnsi="Arial"/>
          <w:sz w:val="22"/>
          <w:szCs w:val="22"/>
          <w:color w:val="auto"/>
        </w:rPr>
        <w:t>” means such form under the Securities Act as in effect on the date hereof or any successor registration form under the Securities Act subsequently adopted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284" w:name="page285"/>
    <w:bookmarkEnd w:id="284"/>
    <w:p>
      <w:pPr>
        <w:jc w:val="both"/>
        <w:ind w:firstLine="1296"/>
        <w:spacing w:after="0" w:line="25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Form S-3</w:t>
      </w:r>
      <w:r>
        <w:rPr>
          <w:rFonts w:ascii="Arial" w:cs="Arial" w:eastAsia="Arial" w:hAnsi="Arial"/>
          <w:sz w:val="22"/>
          <w:szCs w:val="22"/>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2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Fully Diluted Capitalization</w:t>
      </w:r>
      <w:r>
        <w:rPr>
          <w:rFonts w:ascii="Arial" w:cs="Arial" w:eastAsia="Arial" w:hAnsi="Arial"/>
          <w:sz w:val="22"/>
          <w:szCs w:val="22"/>
          <w:color w:val="auto"/>
        </w:rPr>
        <w:t>” means the sum of (i) the outstanding shares of Common Stock; (ii) the shares of Common Stock directly or indirectly issuable upon conversion or exchange of all outstanding securities directly or indirectly convertible into or exchangeable for Common Stock and the exercise of all outstanding options and warrants; and (iii) the shares of Common Stock reserved, but neither issued nor the subject of outstanding awards, under any equity incentive or similar plan of the Company.</w:t>
      </w:r>
    </w:p>
    <w:p>
      <w:pPr>
        <w:spacing w:after="0" w:line="13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 in the United States.</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Holder</w:t>
      </w:r>
      <w:r>
        <w:rPr>
          <w:rFonts w:ascii="Arial" w:cs="Arial" w:eastAsia="Arial" w:hAnsi="Arial"/>
          <w:sz w:val="19"/>
          <w:szCs w:val="19"/>
          <w:color w:val="auto"/>
        </w:rPr>
        <w:t>” means any holder of Registrable Securities who is a party to this Agreement.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Immediate Family Member</w:t>
      </w:r>
      <w:r>
        <w:rPr>
          <w:rFonts w:ascii="Arial" w:cs="Arial" w:eastAsia="Arial" w:hAnsi="Arial"/>
          <w:sz w:val="22"/>
          <w:szCs w:val="22"/>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Initiating Holders</w:t>
      </w:r>
      <w:r>
        <w:rPr>
          <w:rFonts w:ascii="Arial" w:cs="Arial" w:eastAsia="Arial" w:hAnsi="Arial"/>
          <w:sz w:val="19"/>
          <w:szCs w:val="19"/>
          <w:color w:val="auto"/>
        </w:rPr>
        <w:t>” means, collectively, Holders who properly initiate a registration request under this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IPO</w:t>
      </w:r>
      <w:r>
        <w:rPr>
          <w:rFonts w:ascii="Arial" w:cs="Arial" w:eastAsia="Arial" w:hAnsi="Arial"/>
          <w:sz w:val="19"/>
          <w:szCs w:val="19"/>
          <w:color w:val="auto"/>
        </w:rPr>
        <w:t>” means the Company’s first underwritten public offering of its Common Stock under the Securities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Act.</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b w:val="1"/>
          <w:bCs w:val="1"/>
          <w:color w:val="auto"/>
        </w:rPr>
        <w:t>Key Employee</w:t>
      </w:r>
      <w:r>
        <w:rPr>
          <w:rFonts w:ascii="Arial" w:cs="Arial" w:eastAsia="Arial" w:hAnsi="Arial"/>
          <w:sz w:val="22"/>
          <w:szCs w:val="22"/>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Investor</w:t>
      </w:r>
      <w:r>
        <w:rPr>
          <w:rFonts w:ascii="Arial" w:cs="Arial" w:eastAsia="Arial" w:hAnsi="Arial"/>
          <w:sz w:val="19"/>
          <w:szCs w:val="19"/>
          <w:color w:val="auto"/>
        </w:rPr>
        <w:t>” means any Investor that, individually or together with such Investor’s Affiliates, holds</w:t>
      </w:r>
    </w:p>
    <w:p>
      <w:pPr>
        <w:spacing w:after="0" w:line="27" w:lineRule="exact"/>
        <w:rPr>
          <w:sz w:val="20"/>
          <w:szCs w:val="20"/>
          <w:color w:val="auto"/>
        </w:rPr>
      </w:pPr>
    </w:p>
    <w:p>
      <w:pPr>
        <w:jc w:val="both"/>
        <w:ind w:firstLine="8"/>
        <w:spacing w:after="0" w:line="245" w:lineRule="auto"/>
        <w:tabs>
          <w:tab w:leader="none" w:pos="258"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at least 2,000,000 shares of Registrable Securities or (ii) shares of Registrable Securities representing at least 2.5% of the Fully Diluted Capitalization (in each case, as adjusted for any stock split, stock dividend, combination, or other recapitalization or reclassification effected after the date hereof).</w:t>
      </w:r>
    </w:p>
    <w:p>
      <w:pPr>
        <w:spacing w:after="0" w:line="13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New Securities</w:t>
      </w:r>
      <w:r>
        <w:rPr>
          <w:rFonts w:ascii="Arial" w:cs="Arial" w:eastAsia="Arial" w:hAnsi="Arial"/>
          <w:sz w:val="22"/>
          <w:szCs w:val="22"/>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2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trust, limited liability company, association or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other entity</w:t>
      </w:r>
      <w:r>
        <w:rPr>
          <w:rFonts w:ascii="Arial" w:cs="Arial" w:eastAsia="Arial" w:hAnsi="Arial"/>
          <w:sz w:val="22"/>
          <w:szCs w:val="22"/>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285" w:name="page286"/>
    <w:bookmarkEnd w:id="285"/>
    <w:p>
      <w:pPr>
        <w:jc w:val="both"/>
        <w:ind w:firstLine="1296"/>
        <w:spacing w:after="0" w:line="269"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b w:val="1"/>
          <w:bCs w:val="1"/>
          <w:color w:val="auto"/>
        </w:rPr>
        <w:t>Preferred Stock</w:t>
      </w:r>
      <w:r>
        <w:rPr>
          <w:rFonts w:ascii="Arial" w:cs="Arial" w:eastAsia="Arial" w:hAnsi="Arial"/>
          <w:sz w:val="22"/>
          <w:szCs w:val="22"/>
          <w:color w:val="auto"/>
        </w:rPr>
        <w:t>” means, collectively, shares of Series A Preferred Stock, Series B Preferred Stock, Series C Preferred Stock, Series D Preferred Stock and Series D-1 Preferred Stock.</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Purchase Agreement</w:t>
      </w:r>
      <w:r>
        <w:rPr>
          <w:rFonts w:ascii="Arial" w:cs="Arial" w:eastAsia="Arial" w:hAnsi="Arial"/>
          <w:sz w:val="19"/>
          <w:szCs w:val="19"/>
          <w:color w:val="auto"/>
        </w:rPr>
        <w:t>” means the Series D-1 Preferred Stock Purchase Agreement dated as of May 12,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2020, by and among the Company and certain of the Investors.</w:t>
      </w:r>
    </w:p>
    <w:p>
      <w:pPr>
        <w:spacing w:after="0" w:line="14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Registrable Securities</w:t>
      </w:r>
      <w:r>
        <w:rPr>
          <w:rFonts w:ascii="Arial" w:cs="Arial" w:eastAsia="Arial" w:hAnsi="Arial"/>
          <w:sz w:val="21"/>
          <w:szCs w:val="21"/>
          <w:color w:val="auto"/>
        </w:rPr>
        <w:t xml:space="preserve">” means (i) the Class A Common Stock issuable or issued upon conversion of the Preferred Stock; (ii) any Common Stock, or any Common Stock issued or issuable (directly or indirectly) upon conversion and/or exercise of any other securities of the Company, acquired by the Investors after the date hereof; (iii) the Class A Common Stock issued pursuant to the Private Placement Agreement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21"/>
          <w:szCs w:val="21"/>
          <w:u w:val="single" w:color="auto"/>
          <w:color w:val="auto"/>
        </w:rPr>
        <w:t>(i)</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21"/>
          <w:szCs w:val="21"/>
          <w:u w:val="single" w:color="auto"/>
          <w:color w:val="auto"/>
        </w:rPr>
        <w:t>Subsection 6.1</w:t>
      </w:r>
      <w:r>
        <w:rPr>
          <w:rFonts w:ascii="Arial" w:cs="Arial" w:eastAsia="Arial" w:hAnsi="Arial"/>
          <w:sz w:val="21"/>
          <w:szCs w:val="21"/>
          <w:color w:val="auto"/>
        </w:rPr>
        <w:t xml:space="preserve">, and excluding for purposes of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any shares for which registration rights have terminated pursuant to </w:t>
      </w:r>
      <w:r>
        <w:rPr>
          <w:rFonts w:ascii="Arial" w:cs="Arial" w:eastAsia="Arial" w:hAnsi="Arial"/>
          <w:sz w:val="21"/>
          <w:szCs w:val="21"/>
          <w:u w:val="single" w:color="auto"/>
          <w:color w:val="auto"/>
        </w:rPr>
        <w:t>Subsection 2.13</w:t>
      </w:r>
      <w:r>
        <w:rPr>
          <w:rFonts w:ascii="Arial" w:cs="Arial" w:eastAsia="Arial" w:hAnsi="Arial"/>
          <w:sz w:val="21"/>
          <w:szCs w:val="21"/>
          <w:color w:val="auto"/>
        </w:rPr>
        <w:t xml:space="preserve"> of this Agreement.</w:t>
      </w:r>
    </w:p>
    <w:p>
      <w:pPr>
        <w:spacing w:after="0" w:line="125"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color w:val="auto"/>
        </w:rPr>
        <w:t>1.27 “</w:t>
      </w:r>
      <w:r>
        <w:rPr>
          <w:rFonts w:ascii="Arial" w:cs="Arial" w:eastAsia="Arial" w:hAnsi="Arial"/>
          <w:sz w:val="19"/>
          <w:szCs w:val="19"/>
          <w:b w:val="1"/>
          <w:bCs w:val="1"/>
          <w:color w:val="auto"/>
        </w:rPr>
        <w:t>Registrable Securities then outstanding</w:t>
      </w:r>
      <w:r>
        <w:rPr>
          <w:rFonts w:ascii="Arial" w:cs="Arial" w:eastAsia="Arial" w:hAnsi="Arial"/>
          <w:sz w:val="19"/>
          <w:szCs w:val="19"/>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7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Restricted Securities</w:t>
      </w:r>
      <w:r>
        <w:rPr>
          <w:rFonts w:ascii="Arial" w:cs="Arial" w:eastAsia="Arial" w:hAnsi="Arial"/>
          <w:sz w:val="22"/>
          <w:szCs w:val="22"/>
          <w:color w:val="auto"/>
        </w:rPr>
        <w:t xml:space="preserve">” means the securities of the Company required to be notated with the legend set forth in </w:t>
      </w:r>
      <w:r>
        <w:rPr>
          <w:rFonts w:ascii="Arial" w:cs="Arial" w:eastAsia="Arial" w:hAnsi="Arial"/>
          <w:sz w:val="22"/>
          <w:szCs w:val="22"/>
          <w:u w:val="single" w:color="auto"/>
          <w:color w:val="auto"/>
        </w:rPr>
        <w:t>Subsection 2.12(b)</w:t>
      </w:r>
      <w:r>
        <w:rPr>
          <w:rFonts w:ascii="Arial" w:cs="Arial" w:eastAsia="Arial" w:hAnsi="Arial"/>
          <w:sz w:val="22"/>
          <w:szCs w:val="22"/>
          <w:color w:val="auto"/>
        </w:rPr>
        <w:t xml:space="preserve"> hereof.</w:t>
      </w:r>
    </w:p>
    <w:p>
      <w:pPr>
        <w:spacing w:after="0" w:line="10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w:t>
      </w:r>
      <w:r>
        <w:rPr>
          <w:rFonts w:ascii="Arial" w:cs="Arial" w:eastAsia="Arial" w:hAnsi="Arial"/>
          <w:sz w:val="19"/>
          <w:szCs w:val="19"/>
          <w:color w:val="auto"/>
        </w:rPr>
        <w:t>” means the Securities and Exchange Commission.</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144</w:t>
      </w:r>
      <w:r>
        <w:rPr>
          <w:rFonts w:ascii="Arial" w:cs="Arial" w:eastAsia="Arial" w:hAnsi="Arial"/>
          <w:sz w:val="19"/>
          <w:szCs w:val="19"/>
          <w:color w:val="auto"/>
        </w:rPr>
        <w:t>” means Rule 144 promulgated by the SEC under the Securities Act.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 Rule 145</w:t>
      </w:r>
      <w:r>
        <w:rPr>
          <w:rFonts w:ascii="Arial" w:cs="Arial" w:eastAsia="Arial" w:hAnsi="Arial"/>
          <w:sz w:val="19"/>
          <w:szCs w:val="19"/>
          <w:color w:val="auto"/>
        </w:rPr>
        <w:t>” means Rule 145 promulgated by the SEC under the Securities Act.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Securities Act</w:t>
      </w:r>
      <w:r>
        <w:rPr>
          <w:rFonts w:ascii="Arial" w:cs="Arial" w:eastAsia="Arial" w:hAnsi="Arial"/>
          <w:sz w:val="19"/>
          <w:szCs w:val="19"/>
          <w:color w:val="auto"/>
        </w:rPr>
        <w:t>” means the Securities Act of 1933, as amended, and the rules and regulations promulgated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42"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1.33 “</w:t>
      </w:r>
      <w:r>
        <w:rPr>
          <w:rFonts w:ascii="Arial" w:cs="Arial" w:eastAsia="Arial" w:hAnsi="Arial"/>
          <w:sz w:val="21"/>
          <w:szCs w:val="21"/>
          <w:b w:val="1"/>
          <w:bCs w:val="1"/>
          <w:color w:val="auto"/>
        </w:rPr>
        <w:t>Selling Expenses</w:t>
      </w:r>
      <w:r>
        <w:rPr>
          <w:rFonts w:ascii="Arial" w:cs="Arial" w:eastAsia="Arial" w:hAnsi="Arial"/>
          <w:sz w:val="21"/>
          <w:szCs w:val="21"/>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21"/>
          <w:szCs w:val="21"/>
          <w:u w:val="single" w:color="auto"/>
          <w:color w:val="auto"/>
        </w:rPr>
        <w:t>Subsection 2.6</w:t>
      </w:r>
      <w:r>
        <w:rPr>
          <w:rFonts w:ascii="Arial" w:cs="Arial" w:eastAsia="Arial" w:hAnsi="Arial"/>
          <w:sz w:val="21"/>
          <w:szCs w:val="21"/>
          <w:color w:val="auto"/>
        </w:rPr>
        <w:t>.</w:t>
      </w:r>
    </w:p>
    <w:p>
      <w:pPr>
        <w:spacing w:after="0" w:line="104"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color w:val="auto"/>
        </w:rPr>
        <w:t>Preferred Director</w:t>
      </w:r>
      <w:r>
        <w:rPr>
          <w:rFonts w:ascii="Arial" w:cs="Arial" w:eastAsia="Arial" w:hAnsi="Arial"/>
          <w:sz w:val="22"/>
          <w:szCs w:val="22"/>
          <w:color w:val="auto"/>
        </w:rPr>
        <w:t>” means any director of the Company that the holders of record of the Preferred Stock are entitled to elect pursuant to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2" w:right="339" w:bottom="1440" w:gutter="0" w:footer="0" w:header="0"/>
        </w:sectPr>
      </w:pPr>
    </w:p>
    <w:bookmarkStart w:id="286" w:name="page287"/>
    <w:bookmarkEnd w:id="286"/>
    <w:p>
      <w:pPr>
        <w:ind w:left="1300"/>
        <w:spacing w:after="0"/>
        <w:tabs>
          <w:tab w:leader="none" w:pos="19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A Preferred Stock</w:t>
      </w:r>
      <w:r>
        <w:rPr>
          <w:rFonts w:ascii="Arial" w:cs="Arial" w:eastAsia="Arial" w:hAnsi="Arial"/>
          <w:sz w:val="19"/>
          <w:szCs w:val="19"/>
          <w:color w:val="auto"/>
        </w:rPr>
        <w:t>” means shares of the Company’s Series A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B Preferred Stock</w:t>
      </w:r>
      <w:r>
        <w:rPr>
          <w:rFonts w:ascii="Arial" w:cs="Arial" w:eastAsia="Arial" w:hAnsi="Arial"/>
          <w:sz w:val="19"/>
          <w:szCs w:val="19"/>
          <w:color w:val="auto"/>
        </w:rPr>
        <w:t>” means shares of the Company’s Series B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C Preferred Stock</w:t>
      </w:r>
      <w:r>
        <w:rPr>
          <w:rFonts w:ascii="Arial" w:cs="Arial" w:eastAsia="Arial" w:hAnsi="Arial"/>
          <w:sz w:val="19"/>
          <w:szCs w:val="19"/>
          <w:color w:val="auto"/>
        </w:rPr>
        <w:t>” means shares of the Company’s Series C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Series D Preferred Stock</w:t>
      </w:r>
      <w:r>
        <w:rPr>
          <w:rFonts w:ascii="Arial" w:cs="Arial" w:eastAsia="Arial" w:hAnsi="Arial"/>
          <w:sz w:val="19"/>
          <w:szCs w:val="19"/>
          <w:color w:val="auto"/>
        </w:rPr>
        <w:t>” means shares of the Company’s Series D Preferred Stock, par value $0.00001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per share.</w:t>
      </w:r>
    </w:p>
    <w:p>
      <w:pPr>
        <w:spacing w:after="0" w:line="142"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color w:val="auto"/>
        </w:rPr>
        <w:t>1.39 “</w:t>
      </w:r>
      <w:r>
        <w:rPr>
          <w:rFonts w:ascii="Arial" w:cs="Arial" w:eastAsia="Arial" w:hAnsi="Arial"/>
          <w:sz w:val="22"/>
          <w:szCs w:val="22"/>
          <w:b w:val="1"/>
          <w:bCs w:val="1"/>
          <w:color w:val="auto"/>
        </w:rPr>
        <w:t>Series D-1 Preferred Stock</w:t>
      </w:r>
      <w:r>
        <w:rPr>
          <w:rFonts w:ascii="Arial" w:cs="Arial" w:eastAsia="Arial" w:hAnsi="Arial"/>
          <w:sz w:val="22"/>
          <w:szCs w:val="22"/>
          <w:color w:val="auto"/>
        </w:rPr>
        <w:t>” means shares of the Company’s Series D-1 Preferred Stock, par value $0.00001 per share.</w:t>
      </w:r>
    </w:p>
    <w:p>
      <w:pPr>
        <w:spacing w:after="0" w:line="114" w:lineRule="exact"/>
        <w:rPr>
          <w:sz w:val="20"/>
          <w:szCs w:val="20"/>
          <w:color w:val="auto"/>
        </w:rPr>
      </w:pPr>
    </w:p>
    <w:p>
      <w:pPr>
        <w:ind w:left="1300" w:hanging="644"/>
        <w:spacing w:after="0"/>
        <w:tabs>
          <w:tab w:leader="none" w:pos="1300" w:val="left"/>
        </w:tabs>
        <w:numPr>
          <w:ilvl w:val="1"/>
          <w:numId w:val="210"/>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The Company covenants and agrees as follows:</w:t>
      </w:r>
    </w:p>
    <w:p>
      <w:pPr>
        <w:spacing w:after="0" w:line="16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Demand Registration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firstLine="1952"/>
        <w:spacing w:after="0" w:line="285" w:lineRule="auto"/>
        <w:tabs>
          <w:tab w:leader="none" w:pos="2589" w:val="left"/>
        </w:tabs>
        <w:numPr>
          <w:ilvl w:val="2"/>
          <w:numId w:val="210"/>
        </w:numPr>
        <w:rPr>
          <w:rFonts w:ascii="Arial" w:cs="Arial" w:eastAsia="Arial" w:hAnsi="Arial"/>
          <w:sz w:val="19"/>
          <w:szCs w:val="19"/>
          <w:color w:val="auto"/>
        </w:rPr>
      </w:pPr>
      <w:r>
        <w:rPr>
          <w:rFonts w:ascii="Arial" w:cs="Arial" w:eastAsia="Arial" w:hAnsi="Arial"/>
          <w:sz w:val="19"/>
          <w:szCs w:val="19"/>
          <w:u w:val="single" w:color="auto"/>
          <w:color w:val="auto"/>
        </w:rPr>
        <w:t>Form S-1 Demand</w:t>
      </w:r>
      <w:r>
        <w:rPr>
          <w:rFonts w:ascii="Arial" w:cs="Arial" w:eastAsia="Arial" w:hAnsi="Arial"/>
          <w:sz w:val="19"/>
          <w:szCs w:val="19"/>
          <w:color w:val="auto"/>
        </w:rPr>
        <w:t>. If at any time after the earlier of (i) five (5) years after the date of this Agreement or (ii) one hundred eighty (180) days after the effective date of the registration statement for the IPO, the Company receives a request from Holders of a majority of the Registrable Securities then outstanding that the Company file a Form S-1 registration statement with respect to at least forty percent (40%) of the Registrable Securities then outstanding (or lesser percent if the anticipated aggregate offering price, net of Selling Expenses, would exceed $10,000,000), then the Company shall</w:t>
      </w:r>
    </w:p>
    <w:p>
      <w:pPr>
        <w:spacing w:after="0" w:line="3" w:lineRule="exact"/>
        <w:rPr>
          <w:rFonts w:ascii="Arial" w:cs="Arial" w:eastAsia="Arial" w:hAnsi="Arial"/>
          <w:sz w:val="19"/>
          <w:szCs w:val="19"/>
          <w:color w:val="auto"/>
        </w:rPr>
      </w:pPr>
    </w:p>
    <w:p>
      <w:pPr>
        <w:jc w:val="both"/>
        <w:ind w:firstLine="8"/>
        <w:spacing w:after="0" w:line="290" w:lineRule="auto"/>
        <w:tabs>
          <w:tab w:leader="none" w:pos="312" w:val="left"/>
        </w:tabs>
        <w:numPr>
          <w:ilvl w:val="0"/>
          <w:numId w:val="211"/>
        </w:numPr>
        <w:rPr>
          <w:rFonts w:ascii="Arial" w:cs="Arial" w:eastAsia="Arial" w:hAnsi="Arial"/>
          <w:sz w:val="19"/>
          <w:szCs w:val="19"/>
          <w:color w:val="auto"/>
        </w:rPr>
      </w:pPr>
      <w:r>
        <w:rPr>
          <w:rFonts w:ascii="Arial" w:cs="Arial" w:eastAsia="Arial" w:hAnsi="Arial"/>
          <w:sz w:val="19"/>
          <w:szCs w:val="19"/>
          <w:color w:val="auto"/>
        </w:rPr>
        <w:t>within ten (10) days after the date such request is given, give notice thereof (the “</w:t>
      </w:r>
      <w:r>
        <w:rPr>
          <w:rFonts w:ascii="Arial" w:cs="Arial" w:eastAsia="Arial" w:hAnsi="Arial"/>
          <w:sz w:val="19"/>
          <w:szCs w:val="19"/>
          <w:b w:val="1"/>
          <w:bCs w:val="1"/>
          <w:color w:val="auto"/>
        </w:rPr>
        <w:t>Demand Notice</w:t>
      </w:r>
      <w:r>
        <w:rPr>
          <w:rFonts w:ascii="Arial" w:cs="Arial" w:eastAsia="Arial" w:hAnsi="Arial"/>
          <w:sz w:val="19"/>
          <w:szCs w:val="19"/>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p>
    <w:p>
      <w:pPr>
        <w:spacing w:after="0" w:line="99" w:lineRule="exact"/>
        <w:rPr>
          <w:rFonts w:ascii="Arial" w:cs="Arial" w:eastAsia="Arial" w:hAnsi="Arial"/>
          <w:sz w:val="19"/>
          <w:szCs w:val="19"/>
          <w:color w:val="auto"/>
        </w:rPr>
      </w:pPr>
    </w:p>
    <w:p>
      <w:pPr>
        <w:jc w:val="both"/>
        <w:ind w:firstLine="1952"/>
        <w:spacing w:after="0" w:line="289" w:lineRule="auto"/>
        <w:tabs>
          <w:tab w:leader="none" w:pos="2587" w:val="left"/>
        </w:tabs>
        <w:numPr>
          <w:ilvl w:val="2"/>
          <w:numId w:val="211"/>
        </w:numPr>
        <w:rPr>
          <w:rFonts w:ascii="Arial" w:cs="Arial" w:eastAsia="Arial" w:hAnsi="Arial"/>
          <w:sz w:val="19"/>
          <w:szCs w:val="19"/>
          <w:color w:val="auto"/>
        </w:rPr>
      </w:pPr>
      <w:r>
        <w:rPr>
          <w:rFonts w:ascii="Arial" w:cs="Arial" w:eastAsia="Arial" w:hAnsi="Arial"/>
          <w:sz w:val="19"/>
          <w:szCs w:val="19"/>
          <w:u w:val="single" w:color="auto"/>
          <w:color w:val="auto"/>
        </w:rPr>
        <w:t>Form S-3 Demand</w:t>
      </w:r>
      <w:r>
        <w:rPr>
          <w:rFonts w:ascii="Arial" w:cs="Arial" w:eastAsia="Arial" w:hAnsi="Arial"/>
          <w:sz w:val="19"/>
          <w:szCs w:val="19"/>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9"/>
          <w:szCs w:val="19"/>
          <w:u w:val="single" w:color="auto"/>
          <w:color w:val="auto"/>
        </w:rPr>
        <w:t>Subsections 2.1(c)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287" w:name="page288"/>
    <w:bookmarkEnd w:id="287"/>
    <w:p>
      <w:pPr>
        <w:jc w:val="both"/>
        <w:ind w:firstLine="1952"/>
        <w:spacing w:after="0" w:line="257" w:lineRule="auto"/>
        <w:tabs>
          <w:tab w:leader="none" w:pos="2589"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Notwithstanding the foregoing obligations, if the Company furnishes to Holders requesting a registration pursuant to this </w:t>
      </w:r>
      <w:r>
        <w:rPr>
          <w:rFonts w:ascii="Arial" w:cs="Arial" w:eastAsia="Arial" w:hAnsi="Arial"/>
          <w:sz w:val="21"/>
          <w:szCs w:val="21"/>
          <w:u w:val="single" w:color="auto"/>
          <w:color w:val="auto"/>
        </w:rPr>
        <w:t>Subsection 2.1</w:t>
      </w:r>
      <w:r>
        <w:rPr>
          <w:rFonts w:ascii="Arial" w:cs="Arial" w:eastAsia="Arial" w:hAnsi="Arial"/>
          <w:sz w:val="21"/>
          <w:szCs w:val="21"/>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may not invoke this right more than twice in any twelve (12) month period;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the Company shall not register any securities for its own account or that of any other stockholder during such ninety (90) day period other than an Excluded Registration.</w:t>
      </w:r>
    </w:p>
    <w:p>
      <w:pPr>
        <w:spacing w:after="0" w:line="134" w:lineRule="exact"/>
        <w:rPr>
          <w:rFonts w:ascii="Arial" w:cs="Arial" w:eastAsia="Arial" w:hAnsi="Arial"/>
          <w:sz w:val="21"/>
          <w:szCs w:val="21"/>
          <w:color w:val="auto"/>
        </w:rPr>
      </w:pPr>
    </w:p>
    <w:p>
      <w:pPr>
        <w:jc w:val="both"/>
        <w:ind w:firstLine="1952"/>
        <w:spacing w:after="0" w:line="285" w:lineRule="auto"/>
        <w:tabs>
          <w:tab w:leader="none" w:pos="2587"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The Company shall not be obligated to effect, or to take any action to effect, any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(ii) after the Company has effected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The Company shall not be obligated to effect, or to take any action to effect, any registration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within the twelve (12) month period immediately preceding the date of such request. A registration shall not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9"/>
          <w:szCs w:val="19"/>
          <w:u w:val="single" w:color="auto"/>
          <w:color w:val="auto"/>
        </w:rPr>
        <w:t>Subsection 2.6</w:t>
      </w:r>
      <w:r>
        <w:rPr>
          <w:rFonts w:ascii="Arial" w:cs="Arial" w:eastAsia="Arial" w:hAnsi="Arial"/>
          <w:sz w:val="19"/>
          <w:szCs w:val="19"/>
          <w:color w:val="auto"/>
        </w:rPr>
        <w:t xml:space="preserve">, in which case such withdrawn registration statement shall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withdrawal is during a period the Company has deferred taking action pursuant to </w:t>
      </w:r>
      <w:r>
        <w:rPr>
          <w:rFonts w:ascii="Arial" w:cs="Arial" w:eastAsia="Arial" w:hAnsi="Arial"/>
          <w:sz w:val="19"/>
          <w:szCs w:val="19"/>
          <w:u w:val="single" w:color="auto"/>
          <w:color w:val="auto"/>
        </w:rPr>
        <w:t>Subsection 2.1(c)</w:t>
      </w:r>
      <w:r>
        <w:rPr>
          <w:rFonts w:ascii="Arial" w:cs="Arial" w:eastAsia="Arial" w:hAnsi="Arial"/>
          <w:sz w:val="19"/>
          <w:szCs w:val="19"/>
          <w:color w:val="auto"/>
        </w:rPr>
        <w:t xml:space="preserve">, then the Initiating Holders may withdraw their request for registration and such registration will not be counted as “effected” for purposes of this </w:t>
      </w:r>
      <w:r>
        <w:rPr>
          <w:rFonts w:ascii="Arial" w:cs="Arial" w:eastAsia="Arial" w:hAnsi="Arial"/>
          <w:sz w:val="19"/>
          <w:szCs w:val="19"/>
          <w:u w:val="single" w:color="auto"/>
          <w:color w:val="auto"/>
        </w:rPr>
        <w:t>Subsection 2.1(d)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288" w:name="page289"/>
    <w:bookmarkEnd w:id="288"/>
    <w:p>
      <w:pPr>
        <w:jc w:val="both"/>
        <w:ind w:firstLine="1296"/>
        <w:spacing w:after="0" w:line="28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Company Registration</w:t>
      </w:r>
      <w:r>
        <w:rPr>
          <w:rFonts w:ascii="Arial" w:cs="Arial" w:eastAsia="Arial" w:hAnsi="Arial"/>
          <w:sz w:val="19"/>
          <w:szCs w:val="19"/>
          <w:color w:val="auto"/>
        </w:rPr>
        <w:t xml:space="preserve">. If the Company proposes to register (including, for this purpose, a registration effected by the Company for stockholders other than the Holders) any of its Class A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9"/>
          <w:szCs w:val="19"/>
          <w:u w:val="single" w:color="auto"/>
          <w:color w:val="auto"/>
        </w:rPr>
        <w:t>Subsection 2.2</w:t>
      </w:r>
      <w:r>
        <w:rPr>
          <w:rFonts w:ascii="Arial" w:cs="Arial" w:eastAsia="Arial" w:hAnsi="Arial"/>
          <w:sz w:val="19"/>
          <w:szCs w:val="19"/>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9"/>
          <w:szCs w:val="19"/>
          <w:u w:val="single" w:color="auto"/>
          <w:color w:val="auto"/>
        </w:rPr>
        <w:t>Subsection 2.6</w:t>
      </w:r>
      <w:r>
        <w:rPr>
          <w:rFonts w:ascii="Arial" w:cs="Arial" w:eastAsia="Arial" w:hAnsi="Arial"/>
          <w:sz w:val="19"/>
          <w:szCs w:val="19"/>
          <w:color w:val="auto"/>
        </w:rPr>
        <w:t>.</w:t>
      </w:r>
    </w:p>
    <w:p>
      <w:pPr>
        <w:spacing w:after="0" w:line="10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Underwriting Requirements</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82" w:lineRule="auto"/>
        <w:tabs>
          <w:tab w:leader="none" w:pos="2589" w:val="left"/>
        </w:tabs>
        <w:numPr>
          <w:ilvl w:val="1"/>
          <w:numId w:val="213"/>
        </w:numPr>
        <w:rPr>
          <w:rFonts w:ascii="Arial" w:cs="Arial" w:eastAsia="Arial" w:hAnsi="Arial"/>
          <w:sz w:val="19"/>
          <w:szCs w:val="19"/>
          <w:color w:val="auto"/>
        </w:rPr>
      </w:pPr>
      <w:r>
        <w:rPr>
          <w:rFonts w:ascii="Arial" w:cs="Arial" w:eastAsia="Arial" w:hAnsi="Arial"/>
          <w:sz w:val="19"/>
          <w:szCs w:val="19"/>
          <w:color w:val="auto"/>
        </w:rPr>
        <w:t xml:space="preserve">If,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9"/>
          <w:szCs w:val="19"/>
          <w:u w:val="single" w:color="auto"/>
          <w:color w:val="auto"/>
        </w:rPr>
        <w:t>Subsection 2.4(e)</w:t>
      </w:r>
      <w:r>
        <w:rPr>
          <w:rFonts w:ascii="Arial" w:cs="Arial" w:eastAsia="Arial" w:hAnsi="Arial"/>
          <w:sz w:val="19"/>
          <w:szCs w:val="19"/>
          <w:color w:val="auto"/>
        </w:rPr>
        <w:t xml:space="preserve">) enter into an underwriting agreement in customary form with the underwriter(s) selected for such underwriting. Notwithstanding any other provision of this </w:t>
      </w:r>
      <w:r>
        <w:rPr>
          <w:rFonts w:ascii="Arial" w:cs="Arial" w:eastAsia="Arial" w:hAnsi="Arial"/>
          <w:sz w:val="19"/>
          <w:szCs w:val="19"/>
          <w:u w:val="single" w:color="auto"/>
          <w:color w:val="auto"/>
        </w:rPr>
        <w:t>Subsection 2.3</w:t>
      </w:r>
      <w:r>
        <w:rPr>
          <w:rFonts w:ascii="Arial" w:cs="Arial" w:eastAsia="Arial" w:hAnsi="Arial"/>
          <w:sz w:val="19"/>
          <w:szCs w:val="19"/>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w:t>
      </w:r>
    </w:p>
    <w:p>
      <w:pPr>
        <w:spacing w:after="0" w:line="14" w:lineRule="exact"/>
        <w:rPr>
          <w:rFonts w:ascii="Arial" w:cs="Arial" w:eastAsia="Arial" w:hAnsi="Arial"/>
          <w:sz w:val="19"/>
          <w:szCs w:val="19"/>
          <w:color w:val="auto"/>
        </w:rPr>
      </w:pPr>
    </w:p>
    <w:p>
      <w:pPr>
        <w:ind w:left="520" w:hanging="512"/>
        <w:spacing w:after="0"/>
        <w:tabs>
          <w:tab w:leader="none" w:pos="52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shares.</w:t>
      </w:r>
    </w:p>
    <w:p>
      <w:pPr>
        <w:spacing w:after="0" w:line="159" w:lineRule="exact"/>
        <w:rPr>
          <w:rFonts w:ascii="Arial" w:cs="Arial" w:eastAsia="Arial" w:hAnsi="Arial"/>
          <w:sz w:val="21"/>
          <w:szCs w:val="21"/>
          <w:color w:val="auto"/>
        </w:rPr>
      </w:pPr>
    </w:p>
    <w:p>
      <w:pPr>
        <w:jc w:val="both"/>
        <w:ind w:firstLine="1952"/>
        <w:spacing w:after="0" w:line="265" w:lineRule="auto"/>
        <w:tabs>
          <w:tab w:leader="none" w:pos="2587" w:val="left"/>
        </w:tabs>
        <w:numPr>
          <w:ilvl w:val="1"/>
          <w:numId w:val="214"/>
        </w:numPr>
        <w:rPr>
          <w:rFonts w:ascii="Arial" w:cs="Arial" w:eastAsia="Arial" w:hAnsi="Arial"/>
          <w:sz w:val="21"/>
          <w:szCs w:val="21"/>
          <w:color w:val="auto"/>
        </w:rPr>
      </w:pPr>
      <w:r>
        <w:rPr>
          <w:rFonts w:ascii="Arial" w:cs="Arial" w:eastAsia="Arial" w:hAnsi="Arial"/>
          <w:sz w:val="21"/>
          <w:szCs w:val="21"/>
          <w:color w:val="auto"/>
        </w:rPr>
        <w:t xml:space="preserve">In connection with any offering involving an underwriting of shares of the Company’s capital stock pursuant to </w:t>
      </w:r>
      <w:r>
        <w:rPr>
          <w:rFonts w:ascii="Arial" w:cs="Arial" w:eastAsia="Arial" w:hAnsi="Arial"/>
          <w:sz w:val="21"/>
          <w:szCs w:val="21"/>
          <w:u w:val="single" w:color="auto"/>
          <w:color w:val="auto"/>
        </w:rPr>
        <w:t>Subsection 2.2</w:t>
      </w:r>
      <w:r>
        <w:rPr>
          <w:rFonts w:ascii="Arial" w:cs="Arial" w:eastAsia="Arial" w:hAnsi="Arial"/>
          <w:sz w:val="21"/>
          <w:szCs w:val="21"/>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289" w:name="page290"/>
    <w:bookmarkEnd w:id="289"/>
    <w:p>
      <w:pPr>
        <w:jc w:val="both"/>
        <w:spacing w:after="0" w:line="284" w:lineRule="auto"/>
        <w:rPr>
          <w:sz w:val="20"/>
          <w:szCs w:val="20"/>
          <w:color w:val="auto"/>
        </w:rPr>
      </w:pPr>
      <w:r>
        <w:rPr>
          <w:rFonts w:ascii="Arial" w:cs="Arial" w:eastAsia="Arial" w:hAnsi="Arial"/>
          <w:sz w:val="19"/>
          <w:szCs w:val="19"/>
          <w:color w:val="auto"/>
        </w:rPr>
        <w:t xml:space="preserve">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9"/>
          <w:szCs w:val="19"/>
          <w:u w:val="single" w:color="auto"/>
          <w:color w:val="auto"/>
        </w:rPr>
        <w:t>Subsection 2.3(b)</w:t>
      </w:r>
      <w:r>
        <w:rPr>
          <w:rFonts w:ascii="Arial" w:cs="Arial" w:eastAsia="Arial" w:hAnsi="Arial"/>
          <w:sz w:val="19"/>
          <w:szCs w:val="19"/>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37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Obligations of the Company</w:t>
      </w:r>
      <w:r>
        <w:rPr>
          <w:rFonts w:ascii="Arial" w:cs="Arial" w:eastAsia="Arial" w:hAnsi="Arial"/>
          <w:sz w:val="19"/>
          <w:szCs w:val="19"/>
          <w:color w:val="auto"/>
        </w:rPr>
        <w:t>. Whenever required under this</w:t>
      </w:r>
      <w:r>
        <w:rPr>
          <w:rFonts w:ascii="Arial" w:cs="Arial" w:eastAsia="Arial" w:hAnsi="Arial"/>
          <w:sz w:val="19"/>
          <w:szCs w:val="19"/>
          <w:u w:val="single" w:color="auto"/>
          <w:color w:val="auto"/>
        </w:rPr>
        <w:t xml:space="preserve"> Section 2 </w:t>
      </w:r>
      <w:r>
        <w:rPr>
          <w:rFonts w:ascii="Arial" w:cs="Arial" w:eastAsia="Arial" w:hAnsi="Arial"/>
          <w:sz w:val="19"/>
          <w:szCs w:val="19"/>
          <w:color w:val="auto"/>
        </w:rPr>
        <w:t>to effect the registration of any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Registrable Securities, the Company shall, as expeditiously as reasonably possible:</w:t>
      </w:r>
    </w:p>
    <w:p>
      <w:pPr>
        <w:spacing w:after="0" w:line="148" w:lineRule="exact"/>
        <w:rPr>
          <w:sz w:val="20"/>
          <w:szCs w:val="20"/>
          <w:color w:val="auto"/>
        </w:rPr>
      </w:pPr>
    </w:p>
    <w:p>
      <w:pPr>
        <w:jc w:val="both"/>
        <w:ind w:firstLine="1952"/>
        <w:spacing w:after="0" w:line="259" w:lineRule="auto"/>
        <w:tabs>
          <w:tab w:leader="none" w:pos="258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290" w:name="page291"/>
    <w:bookmarkEnd w:id="290"/>
    <w:p>
      <w:pPr>
        <w:spacing w:after="0" w:line="263" w:lineRule="auto"/>
        <w:rPr>
          <w:sz w:val="20"/>
          <w:szCs w:val="20"/>
          <w:color w:val="auto"/>
        </w:rPr>
      </w:pPr>
      <w:r>
        <w:rPr>
          <w:rFonts w:ascii="Arial" w:cs="Arial" w:eastAsia="Arial" w:hAnsi="Arial"/>
          <w:sz w:val="22"/>
          <w:szCs w:val="22"/>
          <w:color w:val="auto"/>
        </w:rPr>
        <w:t>period shall be extended for up to thirty (30) days, if necessary, to keep the registration statement effective until all such Registrable Securities are sold;</w:t>
      </w:r>
    </w:p>
    <w:p>
      <w:pPr>
        <w:spacing w:after="0" w:line="121" w:lineRule="exact"/>
        <w:rPr>
          <w:sz w:val="20"/>
          <w:szCs w:val="20"/>
          <w:color w:val="auto"/>
        </w:rPr>
      </w:pPr>
    </w:p>
    <w:p>
      <w:pPr>
        <w:jc w:val="both"/>
        <w:ind w:firstLine="1952"/>
        <w:spacing w:after="0" w:line="253" w:lineRule="auto"/>
        <w:tabs>
          <w:tab w:leader="none" w:pos="258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58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1" w:lineRule="exact"/>
        <w:rPr>
          <w:rFonts w:ascii="Arial" w:cs="Arial" w:eastAsia="Arial" w:hAnsi="Arial"/>
          <w:sz w:val="22"/>
          <w:szCs w:val="22"/>
          <w:color w:val="auto"/>
        </w:rPr>
      </w:pPr>
    </w:p>
    <w:p>
      <w:pPr>
        <w:jc w:val="both"/>
        <w:ind w:firstLine="1952"/>
        <w:spacing w:after="0" w:line="248" w:lineRule="auto"/>
        <w:tabs>
          <w:tab w:leader="none" w:pos="258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37" w:lineRule="exact"/>
        <w:rPr>
          <w:rFonts w:ascii="Arial" w:cs="Arial" w:eastAsia="Arial" w:hAnsi="Arial"/>
          <w:sz w:val="22"/>
          <w:szCs w:val="22"/>
          <w:color w:val="auto"/>
        </w:rPr>
      </w:pPr>
    </w:p>
    <w:p>
      <w:pPr>
        <w:ind w:right="20" w:firstLine="1952"/>
        <w:spacing w:after="0" w:line="263" w:lineRule="auto"/>
        <w:tabs>
          <w:tab w:leader="none" w:pos="258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in the event of any underwritten public offering, enter into and perform its obligations under an underwriting agreement, in usual and customary form, with the underwriter(s) of such offering;</w:t>
      </w:r>
    </w:p>
    <w:p>
      <w:pPr>
        <w:spacing w:after="0" w:line="120" w:lineRule="exact"/>
        <w:rPr>
          <w:rFonts w:ascii="Arial" w:cs="Arial" w:eastAsia="Arial" w:hAnsi="Arial"/>
          <w:sz w:val="22"/>
          <w:szCs w:val="22"/>
          <w:color w:val="auto"/>
        </w:rPr>
      </w:pPr>
    </w:p>
    <w:p>
      <w:pPr>
        <w:jc w:val="both"/>
        <w:ind w:firstLine="1952"/>
        <w:spacing w:after="0" w:line="253" w:lineRule="auto"/>
        <w:tabs>
          <w:tab w:leader="none" w:pos="2592" w:val="left"/>
        </w:tabs>
        <w:numPr>
          <w:ilvl w:val="0"/>
          <w:numId w:val="216"/>
        </w:numPr>
        <w:rPr>
          <w:rFonts w:ascii="Arial" w:cs="Arial" w:eastAsia="Arial" w:hAnsi="Arial"/>
          <w:sz w:val="22"/>
          <w:szCs w:val="22"/>
          <w:color w:val="auto"/>
        </w:rPr>
      </w:pPr>
      <w:r>
        <w:rPr>
          <w:rFonts w:ascii="Arial" w:cs="Arial" w:eastAsia="Arial" w:hAnsi="Arial"/>
          <w:sz w:val="22"/>
          <w:szCs w:val="22"/>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31" w:lineRule="exact"/>
        <w:rPr>
          <w:rFonts w:ascii="Arial" w:cs="Arial" w:eastAsia="Arial" w:hAnsi="Arial"/>
          <w:sz w:val="22"/>
          <w:szCs w:val="22"/>
          <w:color w:val="auto"/>
        </w:rPr>
      </w:pPr>
    </w:p>
    <w:p>
      <w:pPr>
        <w:jc w:val="both"/>
        <w:ind w:firstLine="1952"/>
        <w:spacing w:after="0" w:line="253" w:lineRule="auto"/>
        <w:tabs>
          <w:tab w:leader="none" w:pos="258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1" w:lineRule="exact"/>
        <w:rPr>
          <w:rFonts w:ascii="Arial" w:cs="Arial" w:eastAsia="Arial" w:hAnsi="Arial"/>
          <w:sz w:val="22"/>
          <w:szCs w:val="22"/>
          <w:color w:val="auto"/>
        </w:rPr>
      </w:pPr>
    </w:p>
    <w:p>
      <w:pPr>
        <w:jc w:val="both"/>
        <w:ind w:firstLine="1952"/>
        <w:spacing w:after="0" w:line="246" w:lineRule="auto"/>
        <w:tabs>
          <w:tab w:leader="none" w:pos="258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2" w:lineRule="exact"/>
        <w:rPr>
          <w:rFonts w:ascii="Arial" w:cs="Arial" w:eastAsia="Arial" w:hAnsi="Arial"/>
          <w:sz w:val="22"/>
          <w:szCs w:val="22"/>
          <w:color w:val="auto"/>
        </w:rPr>
      </w:pPr>
    </w:p>
    <w:p>
      <w:pPr>
        <w:jc w:val="both"/>
        <w:ind w:firstLine="1952"/>
        <w:spacing w:after="0" w:line="253" w:lineRule="auto"/>
        <w:tabs>
          <w:tab w:leader="none" w:pos="25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291" w:name="page292"/>
    <w:bookmarkEnd w:id="291"/>
    <w:p>
      <w:pPr>
        <w:ind w:firstLine="1952"/>
        <w:spacing w:after="0" w:line="263" w:lineRule="auto"/>
        <w:tabs>
          <w:tab w:leader="none" w:pos="258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after such registration statement becomes effective, notify each selling Holder of any request by the SEC that the Company amend or supplement such registration statement or prospectus.</w:t>
      </w:r>
    </w:p>
    <w:p>
      <w:pPr>
        <w:spacing w:after="0" w:line="12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1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Furnish Information</w:t>
      </w:r>
      <w:r>
        <w:rPr>
          <w:rFonts w:ascii="Arial" w:cs="Arial" w:eastAsia="Arial" w:hAnsi="Arial"/>
          <w:sz w:val="19"/>
          <w:szCs w:val="19"/>
          <w:color w:val="auto"/>
        </w:rPr>
        <w:t xml:space="preserve">. It shall be a condition precedent to the obligations of the Company to take any action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Expenses of Registration</w:t>
      </w:r>
      <w:r>
        <w:rPr>
          <w:rFonts w:ascii="Arial" w:cs="Arial" w:eastAsia="Arial" w:hAnsi="Arial"/>
          <w:sz w:val="19"/>
          <w:szCs w:val="19"/>
          <w:color w:val="auto"/>
        </w:rPr>
        <w:t xml:space="preserve">. All expenses (other than Selling Expenses) incurred in connection with registrations, filings, or qualifications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including all registration, filing, and qualification fees; printers’ and accounting fees; fees and disbursements of counsel for the Company; and the reasonable fees and disbursements, not to exceed $35,000, of one counsel for the selling Holders (“</w:t>
      </w:r>
      <w:r>
        <w:rPr>
          <w:rFonts w:ascii="Arial" w:cs="Arial" w:eastAsia="Arial" w:hAnsi="Arial"/>
          <w:sz w:val="19"/>
          <w:szCs w:val="19"/>
          <w:b w:val="1"/>
          <w:bCs w:val="1"/>
          <w:color w:val="auto"/>
        </w:rPr>
        <w:t>Selling Holder Counsel</w:t>
      </w:r>
      <w:r>
        <w:rPr>
          <w:rFonts w:ascii="Arial" w:cs="Arial" w:eastAsia="Arial" w:hAnsi="Arial"/>
          <w:sz w:val="19"/>
          <w:szCs w:val="19"/>
          <w:color w:val="auto"/>
        </w:rPr>
        <w:t xml:space="preserve">”), shall be borne and paid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pay for any expenses of any registration proceeding begun pursuant to </w:t>
      </w:r>
      <w:r>
        <w:rPr>
          <w:rFonts w:ascii="Arial" w:cs="Arial" w:eastAsia="Arial" w:hAnsi="Arial"/>
          <w:sz w:val="19"/>
          <w:szCs w:val="19"/>
          <w:u w:val="single" w:color="auto"/>
          <w:color w:val="auto"/>
        </w:rPr>
        <w:t>Subsection 2.1</w:t>
      </w:r>
      <w:r>
        <w:rPr>
          <w:rFonts w:ascii="Arial" w:cs="Arial" w:eastAsia="Arial" w:hAnsi="Arial"/>
          <w:sz w:val="19"/>
          <w:szCs w:val="19"/>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9"/>
          <w:szCs w:val="19"/>
          <w:u w:val="single" w:color="auto"/>
          <w:color w:val="auto"/>
        </w:rPr>
        <w:t>Subsections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 Holders shall not be required to pay any of such expenses and shall not forfeit their right to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All Selling Expenses relating to Registrable Securities registered pursuant to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shall be borne and paid by the Holders pro rata on the basis of the number of Registrable Securities registered on their behalf.</w:t>
      </w:r>
    </w:p>
    <w:p>
      <w:pPr>
        <w:spacing w:after="0" w:line="36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Delay of Registration</w:t>
      </w:r>
      <w:r>
        <w:rPr>
          <w:rFonts w:ascii="Arial" w:cs="Arial" w:eastAsia="Arial" w:hAnsi="Arial"/>
          <w:sz w:val="22"/>
          <w:szCs w:val="22"/>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13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 If any Registrable Securities are included in a registration statement under this</w:t>
      </w:r>
      <w:r>
        <w:rPr>
          <w:rFonts w:ascii="Arial" w:cs="Arial" w:eastAsia="Arial" w:hAnsi="Arial"/>
          <w:sz w:val="19"/>
          <w:szCs w:val="19"/>
          <w:u w:val="single" w:color="auto"/>
          <w:color w:val="auto"/>
        </w:rPr>
        <w:t xml:space="preserve"> Section 2</w:t>
      </w:r>
      <w:r>
        <w:rPr>
          <w:rFonts w:ascii="Arial" w:cs="Arial" w:eastAsia="Arial" w:hAnsi="Arial"/>
          <w:sz w:val="19"/>
          <w:szCs w:val="19"/>
          <w:color w:val="auto"/>
        </w:rPr>
        <w:t>:</w:t>
      </w:r>
    </w:p>
    <w:p>
      <w:pPr>
        <w:spacing w:after="0" w:line="166" w:lineRule="exact"/>
        <w:rPr>
          <w:sz w:val="20"/>
          <w:szCs w:val="20"/>
          <w:color w:val="auto"/>
        </w:rPr>
      </w:pPr>
    </w:p>
    <w:p>
      <w:pPr>
        <w:ind w:right="20" w:firstLine="1952"/>
        <w:spacing w:after="0" w:line="263" w:lineRule="auto"/>
        <w:tabs>
          <w:tab w:leader="none" w:pos="2589"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To the extent permitted by law, the Company will indemnify and hold harmless each selling Holder, and the partners, members, officers,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292" w:name="page293"/>
    <w:bookmarkEnd w:id="292"/>
    <w:p>
      <w:pPr>
        <w:jc w:val="both"/>
        <w:spacing w:after="0" w:line="258" w:lineRule="auto"/>
        <w:rPr>
          <w:sz w:val="20"/>
          <w:szCs w:val="20"/>
          <w:color w:val="auto"/>
        </w:rPr>
      </w:pPr>
      <w:r>
        <w:rPr>
          <w:rFonts w:ascii="Arial" w:cs="Arial" w:eastAsia="Arial" w:hAnsi="Arial"/>
          <w:sz w:val="21"/>
          <w:szCs w:val="21"/>
          <w:color w:val="auto"/>
        </w:rPr>
        <w:t xml:space="preserve">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indemnity agreement contained in this </w:t>
      </w:r>
      <w:r>
        <w:rPr>
          <w:rFonts w:ascii="Arial" w:cs="Arial" w:eastAsia="Arial" w:hAnsi="Arial"/>
          <w:sz w:val="21"/>
          <w:szCs w:val="21"/>
          <w:u w:val="single" w:color="auto"/>
          <w:color w:val="auto"/>
        </w:rPr>
        <w:t>Subsection 2.8(a)</w:t>
      </w:r>
      <w:r>
        <w:rPr>
          <w:rFonts w:ascii="Arial" w:cs="Arial" w:eastAsia="Arial" w:hAnsi="Arial"/>
          <w:sz w:val="21"/>
          <w:szCs w:val="21"/>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28" w:lineRule="exact"/>
        <w:rPr>
          <w:sz w:val="20"/>
          <w:szCs w:val="20"/>
          <w:color w:val="auto"/>
        </w:rPr>
      </w:pPr>
    </w:p>
    <w:p>
      <w:pPr>
        <w:jc w:val="both"/>
        <w:ind w:firstLine="1952"/>
        <w:spacing w:after="0" w:line="286" w:lineRule="auto"/>
        <w:tabs>
          <w:tab w:leader="none" w:pos="2587" w:val="left"/>
        </w:tabs>
        <w:numPr>
          <w:ilvl w:val="0"/>
          <w:numId w:val="219"/>
        </w:numPr>
        <w:rPr>
          <w:rFonts w:ascii="Arial" w:cs="Arial" w:eastAsia="Arial" w:hAnsi="Arial"/>
          <w:sz w:val="19"/>
          <w:szCs w:val="19"/>
          <w:color w:val="auto"/>
        </w:rPr>
      </w:pPr>
      <w:r>
        <w:rPr>
          <w:rFonts w:ascii="Arial" w:cs="Arial" w:eastAsia="Arial" w:hAnsi="Arial"/>
          <w:sz w:val="19"/>
          <w:szCs w:val="19"/>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indemnity agreement contained in this </w:t>
      </w:r>
      <w:r>
        <w:rPr>
          <w:rFonts w:ascii="Arial" w:cs="Arial" w:eastAsia="Arial" w:hAnsi="Arial"/>
          <w:sz w:val="19"/>
          <w:szCs w:val="19"/>
          <w:u w:val="single" w:color="auto"/>
          <w:color w:val="auto"/>
        </w:rPr>
        <w:t>Subsection 2.8(b)</w:t>
      </w:r>
      <w:r>
        <w:rPr>
          <w:rFonts w:ascii="Arial" w:cs="Arial" w:eastAsia="Arial" w:hAnsi="Arial"/>
          <w:sz w:val="19"/>
          <w:szCs w:val="19"/>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the aggregate amounts payable by any Holder by way of indemnity or contribution under </w:t>
      </w:r>
      <w:r>
        <w:rPr>
          <w:rFonts w:ascii="Arial" w:cs="Arial" w:eastAsia="Arial" w:hAnsi="Arial"/>
          <w:sz w:val="19"/>
          <w:szCs w:val="19"/>
          <w:u w:val="single" w:color="auto"/>
          <w:color w:val="auto"/>
        </w:rPr>
        <w:t>Subsections 2.8(b)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2.8(d)</w:t>
      </w:r>
      <w:r>
        <w:rPr>
          <w:rFonts w:ascii="Arial" w:cs="Arial" w:eastAsia="Arial" w:hAnsi="Arial"/>
          <w:sz w:val="19"/>
          <w:szCs w:val="19"/>
          <w:color w:val="auto"/>
        </w:rPr>
        <w:t xml:space="preserve"> exceed the proceeds from the offering received by such Holder (net of any Selling Expenses paid by such Holder), except in the case of fraud or willful misconduct by such Holder.</w:t>
      </w:r>
    </w:p>
    <w:p>
      <w:pPr>
        <w:spacing w:after="0" w:line="107" w:lineRule="exact"/>
        <w:rPr>
          <w:rFonts w:ascii="Arial" w:cs="Arial" w:eastAsia="Arial" w:hAnsi="Arial"/>
          <w:sz w:val="19"/>
          <w:szCs w:val="19"/>
          <w:color w:val="auto"/>
        </w:rPr>
      </w:pPr>
    </w:p>
    <w:p>
      <w:pPr>
        <w:jc w:val="both"/>
        <w:ind w:firstLine="1952"/>
        <w:spacing w:after="0" w:line="259" w:lineRule="auto"/>
        <w:tabs>
          <w:tab w:leader="none" w:pos="2589" w:val="left"/>
        </w:tabs>
        <w:numPr>
          <w:ilvl w:val="0"/>
          <w:numId w:val="219"/>
        </w:numPr>
        <w:rPr>
          <w:rFonts w:ascii="Arial" w:cs="Arial" w:eastAsia="Arial" w:hAnsi="Arial"/>
          <w:sz w:val="21"/>
          <w:szCs w:val="21"/>
          <w:color w:val="auto"/>
        </w:rPr>
      </w:pPr>
      <w:r>
        <w:rPr>
          <w:rFonts w:ascii="Arial" w:cs="Arial" w:eastAsia="Arial" w:hAnsi="Arial"/>
          <w:sz w:val="21"/>
          <w:szCs w:val="21"/>
          <w:color w:val="auto"/>
        </w:rPr>
        <w:t xml:space="preserve">Promptly after receipt by an indemnified party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 indemnified party (together with all other indemnified parties that may be represented without conflict by one counsel) shall have the right to retain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293" w:name="page294"/>
    <w:bookmarkEnd w:id="293"/>
    <w:p>
      <w:pPr>
        <w:jc w:val="both"/>
        <w:spacing w:after="0" w:line="260" w:lineRule="auto"/>
        <w:rPr>
          <w:sz w:val="20"/>
          <w:szCs w:val="20"/>
          <w:color w:val="auto"/>
        </w:rPr>
      </w:pPr>
      <w:r>
        <w:rPr>
          <w:rFonts w:ascii="Arial" w:cs="Arial" w:eastAsia="Arial" w:hAnsi="Arial"/>
          <w:sz w:val="21"/>
          <w:szCs w:val="21"/>
          <w:color w:val="auto"/>
        </w:rPr>
        <w:t xml:space="preserve">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21"/>
          <w:szCs w:val="21"/>
          <w:u w:val="single" w:color="auto"/>
          <w:color w:val="auto"/>
        </w:rPr>
        <w:t>Subsection 2.8</w:t>
      </w:r>
      <w:r>
        <w:rPr>
          <w:rFonts w:ascii="Arial" w:cs="Arial" w:eastAsia="Arial" w:hAnsi="Arial"/>
          <w:sz w:val="21"/>
          <w:szCs w:val="21"/>
          <w:color w:val="auto"/>
        </w:rPr>
        <w:t>.</w:t>
      </w:r>
    </w:p>
    <w:p>
      <w:pPr>
        <w:spacing w:after="0" w:line="126" w:lineRule="exact"/>
        <w:rPr>
          <w:sz w:val="20"/>
          <w:szCs w:val="20"/>
          <w:color w:val="auto"/>
        </w:rPr>
      </w:pPr>
    </w:p>
    <w:p>
      <w:pPr>
        <w:jc w:val="both"/>
        <w:ind w:firstLine="1952"/>
        <w:spacing w:after="0" w:line="284" w:lineRule="auto"/>
        <w:tabs>
          <w:tab w:leader="none" w:pos="2587"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9"/>
          <w:szCs w:val="19"/>
          <w:u w:val="single" w:color="auto"/>
          <w:color w:val="auto"/>
        </w:rPr>
        <w:t>Subsection 2.8</w:t>
      </w:r>
      <w:r>
        <w:rPr>
          <w:rFonts w:ascii="Arial" w:cs="Arial" w:eastAsia="Arial" w:hAnsi="Arial"/>
          <w:sz w:val="19"/>
          <w:szCs w:val="19"/>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no event shall a Holder’s liability pursuant to this </w:t>
      </w:r>
      <w:r>
        <w:rPr>
          <w:rFonts w:ascii="Arial" w:cs="Arial" w:eastAsia="Arial" w:hAnsi="Arial"/>
          <w:sz w:val="19"/>
          <w:szCs w:val="19"/>
          <w:u w:val="single" w:color="auto"/>
          <w:color w:val="auto"/>
        </w:rPr>
        <w:t>Subsection 2.8(d)</w:t>
      </w:r>
      <w:r>
        <w:rPr>
          <w:rFonts w:ascii="Arial" w:cs="Arial" w:eastAsia="Arial" w:hAnsi="Arial"/>
          <w:sz w:val="19"/>
          <w:szCs w:val="19"/>
          <w:color w:val="auto"/>
        </w:rPr>
        <w:t xml:space="preserve">, when combined with the amounts paid or payable by such Holder pursuant to </w:t>
      </w:r>
      <w:r>
        <w:rPr>
          <w:rFonts w:ascii="Arial" w:cs="Arial" w:eastAsia="Arial" w:hAnsi="Arial"/>
          <w:sz w:val="19"/>
          <w:szCs w:val="19"/>
          <w:u w:val="single" w:color="auto"/>
          <w:color w:val="auto"/>
        </w:rPr>
        <w:t>Subsection 2.8(b)</w:t>
      </w:r>
      <w:r>
        <w:rPr>
          <w:rFonts w:ascii="Arial" w:cs="Arial" w:eastAsia="Arial" w:hAnsi="Arial"/>
          <w:sz w:val="19"/>
          <w:szCs w:val="19"/>
          <w:color w:val="auto"/>
        </w:rPr>
        <w:t>, exceed the proceeds from the offering received by such Holder (net of any Selling Expenses paid by such Holder), except in the case of willful misconduct or fraud by such Holder.</w:t>
      </w:r>
    </w:p>
    <w:p>
      <w:pPr>
        <w:spacing w:after="0" w:line="377" w:lineRule="exact"/>
        <w:rPr>
          <w:rFonts w:ascii="Arial" w:cs="Arial" w:eastAsia="Arial" w:hAnsi="Arial"/>
          <w:sz w:val="19"/>
          <w:szCs w:val="19"/>
          <w:color w:val="auto"/>
        </w:rPr>
      </w:pPr>
    </w:p>
    <w:p>
      <w:pPr>
        <w:jc w:val="both"/>
        <w:ind w:firstLine="1952"/>
        <w:spacing w:after="0" w:line="253" w:lineRule="auto"/>
        <w:tabs>
          <w:tab w:leader="none" w:pos="2589" w:val="left"/>
        </w:tabs>
        <w:numPr>
          <w:ilvl w:val="0"/>
          <w:numId w:val="220"/>
        </w:numPr>
        <w:rPr>
          <w:rFonts w:ascii="Arial" w:cs="Arial" w:eastAsia="Arial" w:hAnsi="Arial"/>
          <w:sz w:val="22"/>
          <w:szCs w:val="22"/>
          <w:color w:val="auto"/>
        </w:rPr>
      </w:pPr>
      <w:r>
        <w:rPr>
          <w:rFonts w:ascii="Arial" w:cs="Arial" w:eastAsia="Arial" w:hAnsi="Arial"/>
          <w:sz w:val="22"/>
          <w:szCs w:val="2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294" w:name="page295"/>
    <w:bookmarkEnd w:id="294"/>
    <w:p>
      <w:pPr>
        <w:jc w:val="both"/>
        <w:ind w:firstLine="1952"/>
        <w:spacing w:after="0" w:line="250" w:lineRule="auto"/>
        <w:tabs>
          <w:tab w:leader="none" w:pos="2592"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22"/>
          <w:szCs w:val="22"/>
          <w:u w:val="single" w:color="auto"/>
          <w:color w:val="auto"/>
        </w:rPr>
        <w:t>Subsection 2.8</w:t>
      </w:r>
      <w:r>
        <w:rPr>
          <w:rFonts w:ascii="Arial" w:cs="Arial" w:eastAsia="Arial" w:hAnsi="Arial"/>
          <w:sz w:val="22"/>
          <w:szCs w:val="22"/>
          <w:color w:val="auto"/>
        </w:rPr>
        <w:t xml:space="preserve"> shall survive the completion of any offering of Registrable Securities in a registration under this </w:t>
      </w:r>
      <w:r>
        <w:rPr>
          <w:rFonts w:ascii="Arial" w:cs="Arial" w:eastAsia="Arial" w:hAnsi="Arial"/>
          <w:sz w:val="22"/>
          <w:szCs w:val="22"/>
          <w:u w:val="single" w:color="auto"/>
          <w:color w:val="auto"/>
        </w:rPr>
        <w:t>Section 2</w:t>
      </w:r>
      <w:r>
        <w:rPr>
          <w:rFonts w:ascii="Arial" w:cs="Arial" w:eastAsia="Arial" w:hAnsi="Arial"/>
          <w:sz w:val="22"/>
          <w:szCs w:val="22"/>
          <w:color w:val="auto"/>
        </w:rPr>
        <w:t>, and otherwise shall survive the termination of this Agreement.</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Reports Under Exchange Act</w:t>
      </w:r>
      <w:r>
        <w:rPr>
          <w:rFonts w:ascii="Arial" w:cs="Arial" w:eastAsia="Arial" w:hAnsi="Arial"/>
          <w:sz w:val="22"/>
          <w:szCs w:val="22"/>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31" w:lineRule="exact"/>
        <w:rPr>
          <w:sz w:val="20"/>
          <w:szCs w:val="20"/>
          <w:color w:val="auto"/>
        </w:rPr>
      </w:pPr>
    </w:p>
    <w:p>
      <w:pPr>
        <w:ind w:firstLine="1952"/>
        <w:spacing w:after="0" w:line="343" w:lineRule="auto"/>
        <w:tabs>
          <w:tab w:leader="none" w:pos="2589" w:val="left"/>
        </w:tabs>
        <w:numPr>
          <w:ilvl w:val="0"/>
          <w:numId w:val="222"/>
        </w:numPr>
        <w:rPr>
          <w:rFonts w:ascii="Arial" w:cs="Arial" w:eastAsia="Arial" w:hAnsi="Arial"/>
          <w:sz w:val="19"/>
          <w:szCs w:val="19"/>
          <w:color w:val="auto"/>
        </w:rPr>
      </w:pPr>
      <w:r>
        <w:rPr>
          <w:rFonts w:ascii="Arial" w:cs="Arial" w:eastAsia="Arial" w:hAnsi="Arial"/>
          <w:sz w:val="19"/>
          <w:szCs w:val="19"/>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50"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1" w:lineRule="exact"/>
        <w:rPr>
          <w:rFonts w:ascii="Arial" w:cs="Arial" w:eastAsia="Arial" w:hAnsi="Arial"/>
          <w:sz w:val="22"/>
          <w:szCs w:val="22"/>
          <w:color w:val="auto"/>
        </w:rPr>
      </w:pPr>
    </w:p>
    <w:p>
      <w:pPr>
        <w:jc w:val="both"/>
        <w:ind w:firstLine="1952"/>
        <w:spacing w:after="0" w:line="259" w:lineRule="auto"/>
        <w:tabs>
          <w:tab w:leader="none" w:pos="2589" w:val="left"/>
        </w:tabs>
        <w:numPr>
          <w:ilvl w:val="0"/>
          <w:numId w:val="222"/>
        </w:numPr>
        <w:rPr>
          <w:rFonts w:ascii="Arial" w:cs="Arial" w:eastAsia="Arial" w:hAnsi="Arial"/>
          <w:sz w:val="21"/>
          <w:szCs w:val="21"/>
          <w:color w:val="auto"/>
        </w:rPr>
      </w:pPr>
      <w:r>
        <w:rPr>
          <w:rFonts w:ascii="Arial" w:cs="Arial" w:eastAsia="Arial" w:hAnsi="Arial"/>
          <w:sz w:val="21"/>
          <w:szCs w:val="21"/>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Limitations on Subsequent Registration Rights</w:t>
      </w:r>
      <w:r>
        <w:rPr>
          <w:rFonts w:ascii="Arial" w:cs="Arial" w:eastAsia="Arial" w:hAnsi="Arial"/>
          <w:sz w:val="19"/>
          <w:szCs w:val="19"/>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limitation shall not apply to any additional Investor who becomes a party to this Agreement in accordance with </w:t>
      </w:r>
      <w:r>
        <w:rPr>
          <w:rFonts w:ascii="Arial" w:cs="Arial" w:eastAsia="Arial" w:hAnsi="Arial"/>
          <w:sz w:val="19"/>
          <w:szCs w:val="19"/>
          <w:u w:val="single" w:color="auto"/>
          <w:color w:val="auto"/>
        </w:rPr>
        <w:t>Subsection 6.9</w:t>
      </w:r>
      <w:r>
        <w:rPr>
          <w:rFonts w:ascii="Arial" w:cs="Arial" w:eastAsia="Arial" w:hAnsi="Arial"/>
          <w:sz w:val="19"/>
          <w:szCs w:val="19"/>
          <w:color w:val="auto"/>
        </w:rPr>
        <w:t>.</w:t>
      </w:r>
    </w:p>
    <w:p>
      <w:pPr>
        <w:spacing w:after="0" w:line="1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“Market Stand-off” Agreement</w:t>
      </w:r>
      <w:r>
        <w:rPr>
          <w:rFonts w:ascii="Arial" w:cs="Arial" w:eastAsia="Arial" w:hAnsi="Arial"/>
          <w:sz w:val="22"/>
          <w:szCs w:val="22"/>
          <w:color w:val="auto"/>
        </w:rPr>
        <w:t>. Each Holder hereby agrees that it will not, without the prior written consent of the managing underwriter, during the period commencing on the date of the final prospectus relating to the IPO, and ending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295" w:name="page296"/>
    <w:bookmarkEnd w:id="295"/>
    <w:p>
      <w:pPr>
        <w:jc w:val="both"/>
        <w:spacing w:after="0" w:line="269" w:lineRule="auto"/>
        <w:rPr>
          <w:sz w:val="20"/>
          <w:szCs w:val="20"/>
          <w:color w:val="auto"/>
        </w:rPr>
      </w:pPr>
      <w:r>
        <w:rPr>
          <w:rFonts w:ascii="Arial" w:cs="Arial" w:eastAsia="Arial" w:hAnsi="Arial"/>
          <w:sz w:val="20"/>
          <w:szCs w:val="20"/>
          <w:color w:val="auto"/>
        </w:rPr>
        <w:t xml:space="preserve">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(for the avoidance of doubt, such agreement shall not apply to shares of Common Stock acquired by the Holder in the IPO or in the open market following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20"/>
          <w:szCs w:val="20"/>
          <w:u w:val="single" w:color="auto"/>
          <w:color w:val="auto"/>
        </w:rPr>
        <w:t>Subsection 2.11</w:t>
      </w:r>
      <w:r>
        <w:rPr>
          <w:rFonts w:ascii="Arial" w:cs="Arial" w:eastAsia="Arial" w:hAnsi="Arial"/>
          <w:sz w:val="20"/>
          <w:szCs w:val="20"/>
          <w:color w:val="auto"/>
        </w:rPr>
        <w:t xml:space="preserve">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trustee of the trust agrees to be bound in writing by the restrictions set forth herein,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such transfer shall not involve a disposition for value, and shall be applicable to the Holders only if all officers and directors of the Company and all stockholders individually owning more than one percent (1%) of the Company’s outstanding Common Stock (after giving effect to conversion into Class A Common Stock of all outstanding Preferred Stock) enter into similar agreements. The underwriters in connection with such registration are intended third-party beneficiaries of this </w:t>
      </w:r>
      <w:r>
        <w:rPr>
          <w:rFonts w:ascii="Arial" w:cs="Arial" w:eastAsia="Arial" w:hAnsi="Arial"/>
          <w:sz w:val="20"/>
          <w:szCs w:val="20"/>
          <w:u w:val="single" w:color="auto"/>
          <w:color w:val="auto"/>
        </w:rPr>
        <w:t>Subsection 2.11</w:t>
      </w:r>
      <w:r>
        <w:rPr>
          <w:rFonts w:ascii="Arial" w:cs="Arial" w:eastAsia="Arial" w:hAnsi="Arial"/>
          <w:sz w:val="20"/>
          <w:szCs w:val="20"/>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20"/>
          <w:szCs w:val="20"/>
          <w:u w:val="single" w:color="auto"/>
          <w:color w:val="auto"/>
        </w:rPr>
        <w:t>Subsection 2.11</w:t>
      </w:r>
      <w:r>
        <w:rPr>
          <w:rFonts w:ascii="Arial" w:cs="Arial" w:eastAsia="Arial" w:hAnsi="Arial"/>
          <w:sz w:val="20"/>
          <w:szCs w:val="20"/>
          <w:color w:val="auto"/>
        </w:rPr>
        <w:t xml:space="preserve"> or that are necessary to give further effect thereto. Any discretionary waiver or termination of the restrictions of any or all of such agreements (or any Holder, officer, director or greater than 1% stockholder) by the Company or the underwriters shall apply to all Holders subject to such agreements </w:t>
      </w:r>
      <w:r>
        <w:rPr>
          <w:rFonts w:ascii="Arial" w:cs="Arial" w:eastAsia="Arial" w:hAnsi="Arial"/>
          <w:sz w:val="17"/>
          <w:szCs w:val="17"/>
          <w:color w:val="auto"/>
        </w:rPr>
        <w:t>to the same extent and with respect to the same percentage of securities as the highest percentage of securities released from any</w:t>
      </w:r>
      <w:r>
        <w:rPr>
          <w:rFonts w:ascii="Arial" w:cs="Arial" w:eastAsia="Arial" w:hAnsi="Arial"/>
          <w:sz w:val="20"/>
          <w:szCs w:val="20"/>
          <w:color w:val="auto"/>
        </w:rPr>
        <w:t xml:space="preserve"> </w:t>
      </w:r>
      <w:r>
        <w:rPr>
          <w:rFonts w:ascii="Arial" w:cs="Arial" w:eastAsia="Arial" w:hAnsi="Arial"/>
          <w:sz w:val="17"/>
          <w:szCs w:val="17"/>
          <w:color w:val="auto"/>
        </w:rPr>
        <w:t>such agreements</w:t>
      </w:r>
      <w:r>
        <w:rPr>
          <w:rFonts w:ascii="Arial" w:cs="Arial" w:eastAsia="Arial" w:hAnsi="Arial"/>
          <w:sz w:val="19"/>
          <w:szCs w:val="19"/>
          <w:color w:val="auto"/>
        </w:rPr>
        <w:t>.</w:t>
      </w:r>
    </w:p>
    <w:p>
      <w:pPr>
        <w:spacing w:after="0" w:line="13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Restrictions on Transfer</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94" w:lineRule="auto"/>
        <w:tabs>
          <w:tab w:leader="none" w:pos="258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296" w:name="page297"/>
    <w:bookmarkEnd w:id="296"/>
    <w:p>
      <w:pPr>
        <w:ind w:right="20"/>
        <w:spacing w:after="0" w:line="263" w:lineRule="auto"/>
        <w:rPr>
          <w:sz w:val="20"/>
          <w:szCs w:val="20"/>
          <w:color w:val="auto"/>
        </w:rPr>
      </w:pPr>
      <w:r>
        <w:rPr>
          <w:rFonts w:ascii="Arial" w:cs="Arial" w:eastAsia="Arial" w:hAnsi="Arial"/>
          <w:sz w:val="22"/>
          <w:szCs w:val="22"/>
          <w:color w:val="auto"/>
        </w:rPr>
        <w:t>not require any transferee of shares pursuant to an effective registration statement or, following the IPO, SEC Rule 144 to be bound by the terms of this Agreement.</w:t>
      </w:r>
    </w:p>
    <w:p>
      <w:pPr>
        <w:spacing w:after="0" w:line="121" w:lineRule="exact"/>
        <w:rPr>
          <w:sz w:val="20"/>
          <w:szCs w:val="20"/>
          <w:color w:val="auto"/>
        </w:rPr>
      </w:pPr>
    </w:p>
    <w:p>
      <w:pPr>
        <w:jc w:val="both"/>
        <w:ind w:firstLine="1952"/>
        <w:spacing w:after="0" w:line="265" w:lineRule="auto"/>
        <w:tabs>
          <w:tab w:leader="none" w:pos="2587" w:val="left"/>
        </w:tabs>
        <w:numPr>
          <w:ilvl w:val="0"/>
          <w:numId w:val="224"/>
        </w:numPr>
        <w:rPr>
          <w:rFonts w:ascii="Arial" w:cs="Arial" w:eastAsia="Arial" w:hAnsi="Arial"/>
          <w:sz w:val="21"/>
          <w:szCs w:val="21"/>
          <w:color w:val="auto"/>
        </w:rPr>
      </w:pPr>
      <w:r>
        <w:rPr>
          <w:rFonts w:ascii="Arial" w:cs="Arial" w:eastAsia="Arial" w:hAnsi="Arial"/>
          <w:sz w:val="21"/>
          <w:szCs w:val="21"/>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21"/>
          <w:szCs w:val="21"/>
          <w:u w:val="single" w:color="auto"/>
          <w:color w:val="auto"/>
        </w:rPr>
        <w:t>Subsection 2.12(c)</w:t>
      </w:r>
      <w:r>
        <w:rPr>
          <w:rFonts w:ascii="Arial" w:cs="Arial" w:eastAsia="Arial" w:hAnsi="Arial"/>
          <w:sz w:val="21"/>
          <w:szCs w:val="21"/>
          <w:color w:val="auto"/>
        </w:rPr>
        <w:t>) be notated with a legend substantially in the following form:</w:t>
      </w:r>
    </w:p>
    <w:p>
      <w:pPr>
        <w:spacing w:after="0" w:line="121" w:lineRule="exact"/>
        <w:rPr>
          <w:sz w:val="20"/>
          <w:szCs w:val="20"/>
          <w:color w:val="auto"/>
        </w:rPr>
      </w:pPr>
    </w:p>
    <w:p>
      <w:pPr>
        <w:jc w:val="both"/>
        <w:ind w:left="660" w:right="660"/>
        <w:spacing w:after="0" w:line="302" w:lineRule="auto"/>
        <w:rPr>
          <w:sz w:val="20"/>
          <w:szCs w:val="20"/>
          <w:color w:val="auto"/>
        </w:rPr>
      </w:pPr>
      <w:r>
        <w:rPr>
          <w:rFonts w:ascii="Arial" w:cs="Arial" w:eastAsia="Arial" w:hAnsi="Arial"/>
          <w:sz w:val="19"/>
          <w:szCs w:val="19"/>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88" w:lineRule="exact"/>
        <w:rPr>
          <w:sz w:val="20"/>
          <w:szCs w:val="20"/>
          <w:color w:val="auto"/>
        </w:rPr>
      </w:pPr>
    </w:p>
    <w:p>
      <w:pPr>
        <w:jc w:val="both"/>
        <w:ind w:left="660" w:right="660"/>
        <w:spacing w:after="0" w:line="253" w:lineRule="auto"/>
        <w:rPr>
          <w:sz w:val="20"/>
          <w:szCs w:val="20"/>
          <w:color w:val="auto"/>
        </w:rPr>
      </w:pPr>
      <w:r>
        <w:rPr>
          <w:rFonts w:ascii="Arial" w:cs="Arial" w:eastAsia="Arial" w:hAnsi="Arial"/>
          <w:sz w:val="22"/>
          <w:szCs w:val="22"/>
          <w:color w:val="auto"/>
        </w:rPr>
        <w:t>THE SECURITIES REPRESENTED HEREBY MAY BE TRANSFERRED ONLY IN ACCORDANCE WITH THE TERMS OF AN AGREEMENT BETWEEN THE COMPANY AND THE STOCKHOLDER, A COPY OF WHICH IS ON FILE WITH THE SECRETARY OF THE COMPANY.</w:t>
      </w:r>
    </w:p>
    <w:p>
      <w:pPr>
        <w:spacing w:after="0" w:line="131"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9"/>
          <w:szCs w:val="19"/>
          <w:u w:val="single" w:color="auto"/>
          <w:color w:val="auto"/>
        </w:rPr>
        <w:t>Subsection 2.12</w:t>
      </w:r>
      <w:r>
        <w:rPr>
          <w:rFonts w:ascii="Arial" w:cs="Arial" w:eastAsia="Arial" w:hAnsi="Arial"/>
          <w:sz w:val="19"/>
          <w:szCs w:val="19"/>
          <w:color w:val="auto"/>
        </w:rPr>
        <w:t>.</w:t>
      </w:r>
    </w:p>
    <w:p>
      <w:pPr>
        <w:spacing w:after="0" w:line="50" w:lineRule="exact"/>
        <w:rPr>
          <w:sz w:val="20"/>
          <w:szCs w:val="20"/>
          <w:color w:val="auto"/>
        </w:rPr>
      </w:pPr>
    </w:p>
    <w:p>
      <w:pPr>
        <w:jc w:val="both"/>
        <w:ind w:firstLine="1952"/>
        <w:spacing w:after="0" w:line="285" w:lineRule="auto"/>
        <w:tabs>
          <w:tab w:leader="none" w:pos="2589"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The holder of such Restricted Securities, by acceptance of ownership thereof, agrees to comply in all respects with the provisions of this </w:t>
      </w:r>
      <w:r>
        <w:rPr>
          <w:rFonts w:ascii="Arial" w:cs="Arial" w:eastAsia="Arial" w:hAnsi="Arial"/>
          <w:sz w:val="19"/>
          <w:szCs w:val="19"/>
          <w:u w:val="single" w:color="auto"/>
          <w:color w:val="auto"/>
        </w:rPr>
        <w:t>Section 2</w:t>
      </w:r>
      <w:r>
        <w:rPr>
          <w:rFonts w:ascii="Arial" w:cs="Arial" w:eastAsia="Arial" w:hAnsi="Arial"/>
          <w:sz w:val="19"/>
          <w:szCs w:val="19"/>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w:t>
      </w:r>
    </w:p>
    <w:p>
      <w:pPr>
        <w:jc w:val="both"/>
        <w:ind w:firstLine="8"/>
        <w:spacing w:after="0" w:line="281" w:lineRule="auto"/>
        <w:tabs>
          <w:tab w:leader="none" w:pos="294" w:val="left"/>
        </w:tabs>
        <w:numPr>
          <w:ilvl w:val="0"/>
          <w:numId w:val="226"/>
        </w:numPr>
        <w:rPr>
          <w:rFonts w:ascii="Arial" w:cs="Arial" w:eastAsia="Arial" w:hAnsi="Arial"/>
          <w:sz w:val="19"/>
          <w:szCs w:val="19"/>
          <w:color w:val="auto"/>
        </w:rPr>
      </w:pPr>
      <w:r>
        <w:rPr>
          <w:rFonts w:ascii="Arial" w:cs="Arial" w:eastAsia="Arial" w:hAnsi="Arial"/>
          <w:sz w:val="19"/>
          <w:szCs w:val="19"/>
          <w:color w:val="auto"/>
        </w:rPr>
        <w:t>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spacing w:after="0" w:line="2" w:lineRule="exact"/>
        <w:rPr>
          <w:rFonts w:ascii="Arial" w:cs="Arial" w:eastAsia="Arial" w:hAnsi="Arial"/>
          <w:sz w:val="19"/>
          <w:szCs w:val="19"/>
          <w:color w:val="auto"/>
        </w:rPr>
      </w:pPr>
    </w:p>
    <w:p>
      <w:pPr>
        <w:jc w:val="both"/>
        <w:ind w:firstLine="8"/>
        <w:spacing w:after="0" w:line="257" w:lineRule="auto"/>
        <w:tabs>
          <w:tab w:leader="none" w:pos="386"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other than in connection with a transaction in compliance with SEC Rule 144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297" w:name="page298"/>
    <w:bookmarkEnd w:id="297"/>
    <w:p>
      <w:pPr>
        <w:jc w:val="both"/>
        <w:spacing w:after="0" w:line="292" w:lineRule="auto"/>
        <w:rPr>
          <w:sz w:val="20"/>
          <w:szCs w:val="20"/>
          <w:color w:val="auto"/>
        </w:rPr>
      </w:pPr>
      <w:r>
        <w:rPr>
          <w:rFonts w:ascii="Arial" w:cs="Arial" w:eastAsia="Arial" w:hAnsi="Arial"/>
          <w:sz w:val="19"/>
          <w:szCs w:val="19"/>
          <w:color w:val="auto"/>
        </w:rPr>
        <w:t xml:space="preserve">IPO, each transferee agrees in writing to be subject to the terms of this </w:t>
      </w:r>
      <w:r>
        <w:rPr>
          <w:rFonts w:ascii="Arial" w:cs="Arial" w:eastAsia="Arial" w:hAnsi="Arial"/>
          <w:sz w:val="19"/>
          <w:szCs w:val="19"/>
          <w:u w:val="single" w:color="auto"/>
          <w:color w:val="auto"/>
        </w:rPr>
        <w:t>Subsection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each case, the Holder shall provide the Company or its counsel with such certificates or other representations regarding such transaction as the Company or its counsel may reasonably request.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Arial" w:cs="Arial" w:eastAsia="Arial" w:hAnsi="Arial"/>
          <w:sz w:val="19"/>
          <w:szCs w:val="19"/>
          <w:u w:val="single" w:color="auto"/>
          <w:color w:val="auto"/>
        </w:rPr>
        <w:t>Subsection 2.12(b)</w:t>
      </w:r>
      <w:r>
        <w:rPr>
          <w:rFonts w:ascii="Arial" w:cs="Arial" w:eastAsia="Arial" w:hAnsi="Arial"/>
          <w:sz w:val="19"/>
          <w:szCs w:val="19"/>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1"/>
          <w:szCs w:val="21"/>
          <w:u w:val="single" w:color="auto"/>
          <w:color w:val="auto"/>
        </w:rPr>
        <w:t>Termination of Registration Rights</w:t>
      </w:r>
      <w:r>
        <w:rPr>
          <w:rFonts w:ascii="Arial" w:cs="Arial" w:eastAsia="Arial" w:hAnsi="Arial"/>
          <w:sz w:val="21"/>
          <w:szCs w:val="21"/>
          <w:color w:val="auto"/>
        </w:rPr>
        <w:t>. The right of any Holder to request registration or inclusion of</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Registrable Securities in any registration pursuant to </w:t>
      </w:r>
      <w:r>
        <w:rPr>
          <w:rFonts w:ascii="Arial" w:cs="Arial" w:eastAsia="Arial" w:hAnsi="Arial"/>
          <w:sz w:val="21"/>
          <w:szCs w:val="21"/>
          <w:u w:val="single" w:color="auto"/>
          <w:color w:val="auto"/>
        </w:rPr>
        <w:t>Subsections 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2.2</w:t>
      </w:r>
      <w:r>
        <w:rPr>
          <w:rFonts w:ascii="Arial" w:cs="Arial" w:eastAsia="Arial" w:hAnsi="Arial"/>
          <w:sz w:val="21"/>
          <w:szCs w:val="21"/>
          <w:color w:val="auto"/>
        </w:rPr>
        <w:t xml:space="preserve"> shall terminate upon the earliest to occur of:</w:t>
      </w:r>
    </w:p>
    <w:p>
      <w:pPr>
        <w:spacing w:after="0" w:line="159" w:lineRule="exact"/>
        <w:rPr>
          <w:sz w:val="20"/>
          <w:szCs w:val="20"/>
          <w:color w:val="auto"/>
        </w:rPr>
      </w:pPr>
    </w:p>
    <w:p>
      <w:pPr>
        <w:ind w:left="2600" w:hanging="648"/>
        <w:spacing w:after="0"/>
        <w:tabs>
          <w:tab w:leader="none" w:pos="260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closing of a Deemed Liquidation Event, as such term is defined in the Company’s Certificate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Incorporation;</w:t>
      </w:r>
    </w:p>
    <w:p>
      <w:pPr>
        <w:spacing w:after="0" w:line="148" w:lineRule="exact"/>
        <w:rPr>
          <w:sz w:val="20"/>
          <w:szCs w:val="20"/>
          <w:color w:val="auto"/>
        </w:rPr>
      </w:pPr>
    </w:p>
    <w:p>
      <w:pPr>
        <w:ind w:firstLine="1952"/>
        <w:spacing w:after="0" w:line="343" w:lineRule="auto"/>
        <w:tabs>
          <w:tab w:leader="none" w:pos="2587" w:val="left"/>
        </w:tabs>
        <w:numPr>
          <w:ilvl w:val="1"/>
          <w:numId w:val="229"/>
        </w:numPr>
        <w:rPr>
          <w:rFonts w:ascii="Arial" w:cs="Arial" w:eastAsia="Arial" w:hAnsi="Arial"/>
          <w:sz w:val="19"/>
          <w:szCs w:val="19"/>
          <w:color w:val="auto"/>
        </w:rPr>
      </w:pPr>
      <w:r>
        <w:rPr>
          <w:rFonts w:ascii="Arial" w:cs="Arial" w:eastAsia="Arial" w:hAnsi="Arial"/>
          <w:sz w:val="19"/>
          <w:szCs w:val="19"/>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50" w:lineRule="exact"/>
        <w:rPr>
          <w:rFonts w:ascii="Arial" w:cs="Arial" w:eastAsia="Arial" w:hAnsi="Arial"/>
          <w:sz w:val="19"/>
          <w:szCs w:val="19"/>
          <w:color w:val="auto"/>
        </w:rPr>
      </w:pPr>
    </w:p>
    <w:p>
      <w:pPr>
        <w:ind w:left="2600" w:hanging="648"/>
        <w:spacing w:after="0"/>
        <w:tabs>
          <w:tab w:leader="none" w:pos="260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the third anniversary of the IPO.</w:t>
      </w:r>
    </w:p>
    <w:p>
      <w:pPr>
        <w:spacing w:after="0" w:line="165" w:lineRule="exact"/>
        <w:rPr>
          <w:rFonts w:ascii="Arial" w:cs="Arial" w:eastAsia="Arial" w:hAnsi="Arial"/>
          <w:sz w:val="22"/>
          <w:szCs w:val="22"/>
          <w:color w:val="auto"/>
        </w:rPr>
      </w:pPr>
    </w:p>
    <w:p>
      <w:pPr>
        <w:ind w:left="1300" w:hanging="644"/>
        <w:spacing w:after="0"/>
        <w:tabs>
          <w:tab w:leader="none" w:pos="1300"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Information and Observer Rights</w:t>
      </w:r>
      <w:r>
        <w:rPr>
          <w:rFonts w:ascii="Arial" w:cs="Arial" w:eastAsia="Arial" w:hAnsi="Arial"/>
          <w:sz w:val="22"/>
          <w:szCs w:val="22"/>
          <w:color w:val="auto"/>
        </w:rPr>
        <w: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Delivery of Financial Statements</w:t>
      </w:r>
      <w:r>
        <w:rPr>
          <w:rFonts w:ascii="Arial" w:cs="Arial" w:eastAsia="Arial" w:hAnsi="Arial"/>
          <w:sz w:val="19"/>
          <w:szCs w:val="19"/>
          <w:color w:val="auto"/>
        </w:rPr>
        <w:t>. The Company shall deliver to each Major Investor,</w:t>
      </w:r>
      <w:r>
        <w:rPr>
          <w:rFonts w:ascii="Arial" w:cs="Arial" w:eastAsia="Arial" w:hAnsi="Arial"/>
          <w:sz w:val="19"/>
          <w:szCs w:val="19"/>
          <w:u w:val="single" w:color="auto"/>
          <w:color w:val="auto"/>
        </w:rPr>
        <w:t xml:space="preserve"> provided </w:t>
      </w:r>
      <w:r>
        <w:rPr>
          <w:rFonts w:ascii="Arial" w:cs="Arial" w:eastAsia="Arial" w:hAnsi="Arial"/>
          <w:sz w:val="19"/>
          <w:szCs w:val="19"/>
          <w:color w:val="auto"/>
        </w:rPr>
        <w:t>that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 has not reasonably determined that such Major Investor is a Competitor of the Company:</w:t>
      </w:r>
    </w:p>
    <w:p>
      <w:pPr>
        <w:spacing w:after="0" w:line="148" w:lineRule="exact"/>
        <w:rPr>
          <w:sz w:val="20"/>
          <w:szCs w:val="20"/>
          <w:color w:val="auto"/>
        </w:rPr>
      </w:pPr>
    </w:p>
    <w:p>
      <w:pPr>
        <w:ind w:left="2600" w:hanging="648"/>
        <w:spacing w:after="0"/>
        <w:tabs>
          <w:tab w:leader="none" w:pos="260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as soon as practicable, but in any event not later than the first day of August of each calendar year</w:t>
      </w:r>
    </w:p>
    <w:p>
      <w:pPr>
        <w:spacing w:after="0" w:line="55" w:lineRule="exact"/>
        <w:rPr>
          <w:rFonts w:ascii="Arial" w:cs="Arial" w:eastAsia="Arial" w:hAnsi="Arial"/>
          <w:sz w:val="19"/>
          <w:szCs w:val="19"/>
          <w:color w:val="auto"/>
        </w:rPr>
      </w:pPr>
    </w:p>
    <w:p>
      <w:pPr>
        <w:ind w:left="260" w:hanging="252"/>
        <w:spacing w:after="0"/>
        <w:tabs>
          <w:tab w:leader="none" w:pos="260" w:val="left"/>
        </w:tabs>
        <w:numPr>
          <w:ilvl w:val="0"/>
          <w:numId w:val="232"/>
        </w:numPr>
        <w:rPr>
          <w:rFonts w:ascii="Arial" w:cs="Arial" w:eastAsia="Arial" w:hAnsi="Arial"/>
          <w:sz w:val="19"/>
          <w:szCs w:val="19"/>
          <w:color w:val="auto"/>
        </w:rPr>
      </w:pPr>
      <w:r>
        <w:rPr>
          <w:rFonts w:ascii="Arial" w:cs="Arial" w:eastAsia="Arial" w:hAnsi="Arial"/>
          <w:sz w:val="19"/>
          <w:szCs w:val="19"/>
          <w:color w:val="auto"/>
        </w:rPr>
        <w:t>a balance sheet as of the end of the immediately preceding year, (ii) statements of income and of cash flows for such year, and</w:t>
      </w:r>
    </w:p>
    <w:p>
      <w:pPr>
        <w:spacing w:after="0" w:line="38" w:lineRule="exact"/>
        <w:rPr>
          <w:rFonts w:ascii="Arial" w:cs="Arial" w:eastAsia="Arial" w:hAnsi="Arial"/>
          <w:sz w:val="19"/>
          <w:szCs w:val="19"/>
          <w:color w:val="auto"/>
        </w:rPr>
      </w:pPr>
    </w:p>
    <w:p>
      <w:pPr>
        <w:ind w:right="20" w:firstLine="8"/>
        <w:spacing w:after="0" w:line="246" w:lineRule="auto"/>
        <w:tabs>
          <w:tab w:leader="none" w:pos="42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 statement of stockholders’ equity as of the end of such year, all such financial statements audited and certified by independent public accountants of regionally recognized standing selected by the Company;</w:t>
      </w:r>
    </w:p>
    <w:p>
      <w:pPr>
        <w:spacing w:after="0" w:line="138" w:lineRule="exact"/>
        <w:rPr>
          <w:rFonts w:ascii="Arial" w:cs="Arial" w:eastAsia="Arial" w:hAnsi="Arial"/>
          <w:sz w:val="22"/>
          <w:szCs w:val="22"/>
          <w:color w:val="auto"/>
        </w:rPr>
      </w:pPr>
    </w:p>
    <w:p>
      <w:pPr>
        <w:jc w:val="both"/>
        <w:ind w:firstLine="1952"/>
        <w:spacing w:after="0" w:line="248" w:lineRule="auto"/>
        <w:tabs>
          <w:tab w:leader="none" w:pos="2587" w:val="left"/>
        </w:tabs>
        <w:numPr>
          <w:ilvl w:val="1"/>
          <w:numId w:val="233"/>
        </w:numPr>
        <w:rPr>
          <w:rFonts w:ascii="Arial" w:cs="Arial" w:eastAsia="Arial" w:hAnsi="Arial"/>
          <w:sz w:val="22"/>
          <w:szCs w:val="22"/>
          <w:color w:val="auto"/>
        </w:rPr>
      </w:pPr>
      <w:r>
        <w:rPr>
          <w:rFonts w:ascii="Arial" w:cs="Arial" w:eastAsia="Arial" w:hAnsi="Arial"/>
          <w:sz w:val="22"/>
          <w:szCs w:val="22"/>
          <w:color w:val="auto"/>
        </w:rPr>
        <w:t>as soon as practicable, but in any event within forty-five (45) days after the end of each of the first three (3) quarters of each year,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 and</w:t>
      </w:r>
    </w:p>
    <w:p>
      <w:pPr>
        <w:spacing w:after="0" w:line="137" w:lineRule="exact"/>
        <w:rPr>
          <w:rFonts w:ascii="Arial" w:cs="Arial" w:eastAsia="Arial" w:hAnsi="Arial"/>
          <w:sz w:val="22"/>
          <w:szCs w:val="22"/>
          <w:color w:val="auto"/>
        </w:rPr>
      </w:pPr>
    </w:p>
    <w:p>
      <w:pPr>
        <w:jc w:val="both"/>
        <w:ind w:firstLine="1952"/>
        <w:spacing w:after="0" w:line="265" w:lineRule="auto"/>
        <w:tabs>
          <w:tab w:leader="none" w:pos="2589" w:val="left"/>
        </w:tabs>
        <w:numPr>
          <w:ilvl w:val="1"/>
          <w:numId w:val="233"/>
        </w:numPr>
        <w:rPr>
          <w:rFonts w:ascii="Arial" w:cs="Arial" w:eastAsia="Arial" w:hAnsi="Arial"/>
          <w:sz w:val="21"/>
          <w:szCs w:val="21"/>
          <w:color w:val="auto"/>
        </w:rPr>
      </w:pPr>
      <w:r>
        <w:rPr>
          <w:rFonts w:ascii="Arial" w:cs="Arial" w:eastAsia="Arial" w:hAnsi="Arial"/>
          <w:sz w:val="21"/>
          <w:szCs w:val="21"/>
          <w:color w:val="auto"/>
        </w:rPr>
        <w:t>upon request, a statement showing the number of shares of each class and series of capital stock and securities convertible into or exercisable for shares of capital stock outstanding as of the date of such request, the Common Stock issuable upon conversion or exercise of any outstanding securities convertible or exercisable for Common Stock and the exchange ratio or exercise price applicable thereto, and the number of shares of issued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98" w:name="page299"/>
    <w:bookmarkEnd w:id="298"/>
    <w:p>
      <w:pPr>
        <w:jc w:val="both"/>
        <w:spacing w:after="0" w:line="253" w:lineRule="auto"/>
        <w:rPr>
          <w:sz w:val="20"/>
          <w:szCs w:val="20"/>
          <w:color w:val="auto"/>
        </w:rPr>
      </w:pPr>
      <w:r>
        <w:rPr>
          <w:rFonts w:ascii="Arial" w:cs="Arial" w:eastAsia="Arial" w:hAnsi="Arial"/>
          <w:sz w:val="22"/>
          <w:szCs w:val="22"/>
          <w:color w:val="auto"/>
        </w:rPr>
        <w:t>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31" w:lineRule="exact"/>
        <w:rPr>
          <w:sz w:val="20"/>
          <w:szCs w:val="20"/>
          <w:color w:val="auto"/>
        </w:rPr>
      </w:pPr>
    </w:p>
    <w:p>
      <w:pPr>
        <w:jc w:val="both"/>
        <w:ind w:firstLine="1952"/>
        <w:spacing w:after="0" w:line="250" w:lineRule="auto"/>
        <w:tabs>
          <w:tab w:leader="none" w:pos="2587" w:val="left"/>
        </w:tabs>
        <w:numPr>
          <w:ilvl w:val="0"/>
          <w:numId w:val="234"/>
        </w:numPr>
        <w:rPr>
          <w:rFonts w:ascii="Arial" w:cs="Arial" w:eastAsia="Arial" w:hAnsi="Arial"/>
          <w:sz w:val="22"/>
          <w:szCs w:val="22"/>
          <w:color w:val="auto"/>
        </w:rPr>
      </w:pPr>
      <w:r>
        <w:rPr>
          <w:rFonts w:ascii="Arial" w:cs="Arial" w:eastAsia="Arial" w:hAnsi="Arial"/>
          <w:sz w:val="22"/>
          <w:szCs w:val="22"/>
          <w:color w:val="auto"/>
        </w:rPr>
        <w:t>as soon as practicable, but in any event thirty (30) days before the end of each year, a budget and business plan for the next year (collectively, the “</w:t>
      </w:r>
      <w:r>
        <w:rPr>
          <w:rFonts w:ascii="Arial" w:cs="Arial" w:eastAsia="Arial" w:hAnsi="Arial"/>
          <w:sz w:val="22"/>
          <w:szCs w:val="22"/>
          <w:b w:val="1"/>
          <w:bCs w:val="1"/>
          <w:color w:val="auto"/>
        </w:rPr>
        <w:t>Budget</w:t>
      </w:r>
      <w:r>
        <w:rPr>
          <w:rFonts w:ascii="Arial" w:cs="Arial" w:eastAsia="Arial" w:hAnsi="Arial"/>
          <w:sz w:val="22"/>
          <w:szCs w:val="22"/>
          <w:color w:val="auto"/>
        </w:rPr>
        <w:t>”), prepared on a monthly basis, including balance sheets, income statements and statements of cash flow for such months and, promptly after prepared and approved by the Board of Directors, any other budgets or revised budgets prepared by the Company;</w:t>
      </w:r>
    </w:p>
    <w:p>
      <w:pPr>
        <w:spacing w:after="0" w:line="13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3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Notwithstanding anything else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to the contrary, the Company may cease providing the information set forth in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Company’s covenants under this </w:t>
      </w:r>
      <w:r>
        <w:rPr>
          <w:rFonts w:ascii="Arial" w:cs="Arial" w:eastAsia="Arial" w:hAnsi="Arial"/>
          <w:sz w:val="21"/>
          <w:szCs w:val="21"/>
          <w:u w:val="single" w:color="auto"/>
          <w:color w:val="auto"/>
        </w:rPr>
        <w:t>Subsection 3.1</w:t>
      </w:r>
      <w:r>
        <w:rPr>
          <w:rFonts w:ascii="Arial" w:cs="Arial" w:eastAsia="Arial" w:hAnsi="Arial"/>
          <w:sz w:val="21"/>
          <w:szCs w:val="21"/>
          <w:color w:val="auto"/>
        </w:rPr>
        <w:t xml:space="preserve"> shall be reinstated at such time as the Company is no longer actively employing its commercially reasonable efforts to cause such registration statement to become effective.</w:t>
      </w:r>
    </w:p>
    <w:p>
      <w:pPr>
        <w:spacing w:after="0" w:line="1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Inspection</w:t>
      </w:r>
      <w:r>
        <w:rPr>
          <w:rFonts w:ascii="Arial" w:cs="Arial" w:eastAsia="Arial" w:hAnsi="Arial"/>
          <w:sz w:val="21"/>
          <w:szCs w:val="21"/>
          <w:color w:val="auto"/>
        </w:rPr>
        <w:t>. The Company shall permit each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Company shall not be obligated pursuant to this </w:t>
      </w:r>
      <w:r>
        <w:rPr>
          <w:rFonts w:ascii="Arial" w:cs="Arial" w:eastAsia="Arial" w:hAnsi="Arial"/>
          <w:sz w:val="21"/>
          <w:szCs w:val="21"/>
          <w:u w:val="single" w:color="auto"/>
          <w:color w:val="auto"/>
        </w:rPr>
        <w:t>Subsection 3.2</w:t>
      </w:r>
      <w:r>
        <w:rPr>
          <w:rFonts w:ascii="Arial" w:cs="Arial" w:eastAsia="Arial" w:hAnsi="Arial"/>
          <w:sz w:val="21"/>
          <w:szCs w:val="21"/>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2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Observer Rights</w:t>
      </w:r>
      <w:r>
        <w:rPr>
          <w:rFonts w:ascii="Arial" w:cs="Arial" w:eastAsia="Arial" w:hAnsi="Arial"/>
          <w:sz w:val="19"/>
          <w:szCs w:val="19"/>
          <w:color w:val="auto"/>
        </w:rPr>
        <w:t>.</w:t>
      </w:r>
    </w:p>
    <w:p>
      <w:pPr>
        <w:spacing w:after="0" w:line="160" w:lineRule="exact"/>
        <w:rPr>
          <w:sz w:val="20"/>
          <w:szCs w:val="20"/>
          <w:color w:val="auto"/>
        </w:rPr>
      </w:pPr>
    </w:p>
    <w:p>
      <w:pPr>
        <w:jc w:val="both"/>
        <w:ind w:firstLine="1952"/>
        <w:spacing w:after="0" w:line="293" w:lineRule="auto"/>
        <w:tabs>
          <w:tab w:leader="none" w:pos="2589" w:val="left"/>
        </w:tabs>
        <w:numPr>
          <w:ilvl w:val="0"/>
          <w:numId w:val="235"/>
        </w:numPr>
        <w:rPr>
          <w:rFonts w:ascii="Arial" w:cs="Arial" w:eastAsia="Arial" w:hAnsi="Arial"/>
          <w:sz w:val="19"/>
          <w:szCs w:val="19"/>
          <w:color w:val="auto"/>
        </w:rPr>
      </w:pPr>
      <w:r>
        <w:rPr>
          <w:rFonts w:ascii="Arial" w:cs="Arial" w:eastAsia="Arial" w:hAnsi="Arial"/>
          <w:sz w:val="19"/>
          <w:szCs w:val="19"/>
          <w:color w:val="auto"/>
        </w:rPr>
        <w:t>As long as Artal International S.C.A. (together with its affiliates, “</w:t>
      </w:r>
      <w:r>
        <w:rPr>
          <w:rFonts w:ascii="Arial" w:cs="Arial" w:eastAsia="Arial" w:hAnsi="Arial"/>
          <w:sz w:val="19"/>
          <w:szCs w:val="19"/>
          <w:b w:val="1"/>
          <w:bCs w:val="1"/>
          <w:color w:val="auto"/>
        </w:rPr>
        <w:t>Artal</w:t>
      </w:r>
      <w:r>
        <w:rPr>
          <w:rFonts w:ascii="Arial" w:cs="Arial" w:eastAsia="Arial" w:hAnsi="Arial"/>
          <w:sz w:val="19"/>
          <w:szCs w:val="19"/>
          <w:color w:val="auto"/>
        </w:rPr>
        <w:t>”) owns not less than fifty percent (50%) of the shares of the Series B Preferred Stock it purchased under the Series B Preferred Stock Purchase Agreement dated March 23, 2018 (or an equivalent amount of Common Stock issued upon conversion thereof), the Company shall invite a representative of Artal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99" w:name="page300"/>
    <w:bookmarkEnd w:id="299"/>
    <w:p>
      <w:pPr>
        <w:jc w:val="both"/>
        <w:spacing w:after="0" w:line="294" w:lineRule="auto"/>
        <w:rPr>
          <w:sz w:val="20"/>
          <w:szCs w:val="20"/>
          <w:color w:val="auto"/>
        </w:rPr>
      </w:pPr>
      <w:r>
        <w:rPr>
          <w:rFonts w:ascii="Arial" w:cs="Arial" w:eastAsia="Arial" w:hAnsi="Arial"/>
          <w:sz w:val="19"/>
          <w:szCs w:val="19"/>
          <w:color w:val="auto"/>
        </w:rPr>
        <w:t>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95" w:lineRule="exact"/>
        <w:rPr>
          <w:sz w:val="20"/>
          <w:szCs w:val="20"/>
          <w:color w:val="auto"/>
        </w:rPr>
      </w:pPr>
    </w:p>
    <w:p>
      <w:pPr>
        <w:jc w:val="both"/>
        <w:ind w:firstLine="1952"/>
        <w:spacing w:after="0" w:line="286" w:lineRule="auto"/>
        <w:tabs>
          <w:tab w:leader="none" w:pos="2587"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As long as Aju Life Science 3.0 Venture Fund and Aju Good Venture Fund (together with their affiliates, “</w:t>
      </w:r>
      <w:r>
        <w:rPr>
          <w:rFonts w:ascii="Arial" w:cs="Arial" w:eastAsia="Arial" w:hAnsi="Arial"/>
          <w:sz w:val="19"/>
          <w:szCs w:val="19"/>
          <w:b w:val="1"/>
          <w:bCs w:val="1"/>
          <w:color w:val="auto"/>
        </w:rPr>
        <w:t>Aju IB</w:t>
      </w:r>
      <w:r>
        <w:rPr>
          <w:rFonts w:ascii="Arial" w:cs="Arial" w:eastAsia="Arial" w:hAnsi="Arial"/>
          <w:sz w:val="19"/>
          <w:szCs w:val="19"/>
          <w:color w:val="auto"/>
        </w:rPr>
        <w:t>”) own in the aggregate not less than fifty percent (50%) of the shares of the Series C Preferred Stock purchased by Aju IB under the Series C Preferred Stock Purchase Agreement dated March 7, 2019 (or an equivalent amount of Common Stock issued upon conversion thereof), the Company shall invite a representative of Aju IB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105" w:lineRule="exact"/>
        <w:rPr>
          <w:rFonts w:ascii="Arial" w:cs="Arial" w:eastAsia="Arial" w:hAnsi="Arial"/>
          <w:sz w:val="19"/>
          <w:szCs w:val="19"/>
          <w:color w:val="auto"/>
        </w:rPr>
      </w:pPr>
    </w:p>
    <w:p>
      <w:pPr>
        <w:jc w:val="both"/>
        <w:ind w:firstLine="1952"/>
        <w:spacing w:after="0" w:line="287" w:lineRule="auto"/>
        <w:tabs>
          <w:tab w:leader="none" w:pos="2589"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As long as aMoon 2 Fund, Limited Partnership (together with its affiliates, “</w:t>
      </w:r>
      <w:r>
        <w:rPr>
          <w:rFonts w:ascii="Arial" w:cs="Arial" w:eastAsia="Arial" w:hAnsi="Arial"/>
          <w:sz w:val="19"/>
          <w:szCs w:val="19"/>
          <w:b w:val="1"/>
          <w:bCs w:val="1"/>
          <w:color w:val="auto"/>
        </w:rPr>
        <w:t>aMoon</w:t>
      </w:r>
      <w:r>
        <w:rPr>
          <w:rFonts w:ascii="Arial" w:cs="Arial" w:eastAsia="Arial" w:hAnsi="Arial"/>
          <w:sz w:val="19"/>
          <w:szCs w:val="19"/>
          <w:color w:val="auto"/>
        </w:rPr>
        <w:t>”) owns in the aggregate not less than fifty percent (50%) of the shares of the Series D Preferred Stock it is purchasing under the Purchase Agreement (or an equivalent amount of Common Stock issued upon conversion thereof), the Company shall invite a representative of aMoon to attend all meetings of the Board of Directors in a nonvoting observer capacity and, in this respect, shall give such representative copies of all notices, minutes, consents and other materials that it provides to its directors at the same time and in the same manner as provided to such directors; provided, however, that such representative shall agree to hold in confidence and trust and to act in a fiduciary manner with respect to all information so provided; provided further, that such representative may be excluded from attending any closed executive sessions of the Board of Directors if the Board of Directors reasonably determines that having such representative at such closed executive session would be detrimental to the Company;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 or if such Investor or its representative is a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300" w:name="page301"/>
    <w:bookmarkEnd w:id="300"/>
    <w:p>
      <w:pPr>
        <w:jc w:val="both"/>
        <w:ind w:firstLine="1296"/>
        <w:spacing w:after="0" w:line="29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Termination of Information and Observer Rights</w:t>
      </w:r>
      <w:r>
        <w:rPr>
          <w:rFonts w:ascii="Arial" w:cs="Arial" w:eastAsia="Arial" w:hAnsi="Arial"/>
          <w:sz w:val="19"/>
          <w:szCs w:val="19"/>
          <w:color w:val="auto"/>
        </w:rPr>
        <w:t xml:space="preserve">. The covenants set forth in </w:t>
      </w:r>
      <w:r>
        <w:rPr>
          <w:rFonts w:ascii="Arial" w:cs="Arial" w:eastAsia="Arial" w:hAnsi="Arial"/>
          <w:sz w:val="19"/>
          <w:szCs w:val="19"/>
          <w:u w:val="single" w:color="auto"/>
          <w:color w:val="auto"/>
        </w:rPr>
        <w:t>Subsection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Subsection 3.3</w:t>
      </w:r>
      <w:r>
        <w:rPr>
          <w:rFonts w:ascii="Arial" w:cs="Arial" w:eastAsia="Arial" w:hAnsi="Arial"/>
          <w:sz w:val="19"/>
          <w:szCs w:val="19"/>
          <w:color w:val="auto"/>
        </w:rPr>
        <w:t xml:space="preserve"> shall terminate and be of no further force or effect (i) immediately before the consummation of the IPO,</w:t>
      </w:r>
    </w:p>
    <w:p>
      <w:pPr>
        <w:spacing w:after="0" w:line="1" w:lineRule="exact"/>
        <w:rPr>
          <w:sz w:val="20"/>
          <w:szCs w:val="20"/>
          <w:color w:val="auto"/>
        </w:rPr>
      </w:pPr>
    </w:p>
    <w:p>
      <w:pPr>
        <w:jc w:val="both"/>
        <w:ind w:firstLine="8"/>
        <w:spacing w:after="0" w:line="245" w:lineRule="auto"/>
        <w:tabs>
          <w:tab w:leader="none" w:pos="33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3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21"/>
          <w:szCs w:val="21"/>
          <w:u w:val="single" w:color="auto"/>
          <w:color w:val="auto"/>
        </w:rPr>
        <w:t>Subsection 3.5</w:t>
      </w:r>
      <w:r>
        <w:rPr>
          <w:rFonts w:ascii="Arial" w:cs="Arial" w:eastAsia="Arial" w:hAnsi="Arial"/>
          <w:sz w:val="21"/>
          <w:szCs w:val="21"/>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21"/>
          <w:szCs w:val="21"/>
          <w:u w:val="single" w:color="auto"/>
          <w:color w:val="auto"/>
        </w:rPr>
        <w:t>Subsection 3.5</w:t>
      </w:r>
      <w:r>
        <w:rPr>
          <w:rFonts w:ascii="Arial" w:cs="Arial" w:eastAsia="Arial" w:hAnsi="Arial"/>
          <w:sz w:val="21"/>
          <w:szCs w:val="21"/>
          <w:color w:val="auto"/>
        </w:rPr>
        <w:t xml:space="preserve">; (iii) to any existing Affiliate, partner, member, stockholder or wholly owned subsidiary of such Investor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Investor promptly notifies the Company of such disclosure and takes reasonable steps to minimize the extent of any such required disclosure.</w:t>
      </w:r>
    </w:p>
    <w:p>
      <w:pPr>
        <w:spacing w:after="0" w:line="131"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Rights to Future Stock Issuances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Right of First Offer</w:t>
      </w:r>
      <w:r>
        <w:rPr>
          <w:rFonts w:ascii="Arial" w:cs="Arial" w:eastAsia="Arial" w:hAnsi="Arial"/>
          <w:sz w:val="19"/>
          <w:szCs w:val="19"/>
          <w:color w:val="auto"/>
        </w:rPr>
        <w:t xml:space="preserve">. Subject to the terms and conditions of this </w:t>
      </w:r>
      <w:r>
        <w:rPr>
          <w:rFonts w:ascii="Arial" w:cs="Arial" w:eastAsia="Arial" w:hAnsi="Arial"/>
          <w:sz w:val="19"/>
          <w:szCs w:val="19"/>
          <w:u w:val="single" w:color="auto"/>
          <w:color w:val="auto"/>
        </w:rPr>
        <w:t>Subsection 4.1</w:t>
      </w:r>
      <w:r>
        <w:rPr>
          <w:rFonts w:ascii="Arial" w:cs="Arial" w:eastAsia="Arial" w:hAnsi="Arial"/>
          <w:sz w:val="19"/>
          <w:szCs w:val="19"/>
          <w:color w:val="auto"/>
        </w:rPr>
        <w:t xml:space="preserve"> and applicable securities laws, if the Company proposes to offer or sell any New Securities, the Company shall first offer such New Securities to (i) each Major Investor, (ii) each other Investor that, individually or together with such Investor’s Affiliates, holds at least 100,000 shares of Registrable Securities (as adjusted for any stock split, stock dividend, combination or other recapitalization or reclassification effected after the date hereof) and (iii) each Key Holder (each a “</w:t>
      </w:r>
      <w:r>
        <w:rPr>
          <w:rFonts w:ascii="Arial" w:cs="Arial" w:eastAsia="Arial" w:hAnsi="Arial"/>
          <w:sz w:val="19"/>
          <w:szCs w:val="19"/>
          <w:b w:val="1"/>
          <w:bCs w:val="1"/>
          <w:color w:val="auto"/>
        </w:rPr>
        <w:t>First Offer Participant</w:t>
      </w:r>
      <w:r>
        <w:rPr>
          <w:rFonts w:ascii="Arial" w:cs="Arial" w:eastAsia="Arial" w:hAnsi="Arial"/>
          <w:sz w:val="19"/>
          <w:szCs w:val="19"/>
          <w:color w:val="auto"/>
        </w:rPr>
        <w:t>,” and collectively, the “</w:t>
      </w:r>
      <w:r>
        <w:rPr>
          <w:rFonts w:ascii="Arial" w:cs="Arial" w:eastAsia="Arial" w:hAnsi="Arial"/>
          <w:sz w:val="19"/>
          <w:szCs w:val="19"/>
          <w:b w:val="1"/>
          <w:bCs w:val="1"/>
          <w:color w:val="auto"/>
        </w:rPr>
        <w:t>First Offer</w:t>
      </w:r>
      <w:r>
        <w:rPr>
          <w:rFonts w:ascii="Arial" w:cs="Arial" w:eastAsia="Arial" w:hAnsi="Arial"/>
          <w:sz w:val="19"/>
          <w:szCs w:val="19"/>
          <w:color w:val="auto"/>
        </w:rPr>
        <w:t xml:space="preserve"> </w:t>
      </w:r>
      <w:r>
        <w:rPr>
          <w:rFonts w:ascii="Arial" w:cs="Arial" w:eastAsia="Arial" w:hAnsi="Arial"/>
          <w:sz w:val="19"/>
          <w:szCs w:val="19"/>
          <w:b w:val="1"/>
          <w:bCs w:val="1"/>
          <w:color w:val="auto"/>
        </w:rPr>
        <w:t>Participants</w:t>
      </w:r>
      <w:r>
        <w:rPr>
          <w:rFonts w:ascii="Arial" w:cs="Arial" w:eastAsia="Arial" w:hAnsi="Arial"/>
          <w:sz w:val="19"/>
          <w:szCs w:val="19"/>
          <w:color w:val="auto"/>
        </w:rPr>
        <w:t>”). A First Offer Participant shall be entitled to apportion the right of first offer hereby granted to it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proportions as it deems appropriate, among (i) itself and (ii)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Affiliate (x) is not a Competitor or FOIA Party, unless such party’s purchase of New Securities is otherwise consented to by the Board of Directors,</w:t>
      </w:r>
    </w:p>
    <w:p>
      <w:pPr>
        <w:spacing w:after="0" w:line="2" w:lineRule="exact"/>
        <w:rPr>
          <w:sz w:val="20"/>
          <w:szCs w:val="20"/>
          <w:color w:val="auto"/>
        </w:rPr>
      </w:pPr>
    </w:p>
    <w:p>
      <w:pPr>
        <w:jc w:val="both"/>
        <w:ind w:firstLine="8"/>
        <w:spacing w:after="0" w:line="258" w:lineRule="auto"/>
        <w:tabs>
          <w:tab w:leader="none" w:pos="327"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agrees to enter into this Agreement and each of the Amended and Restated Voting Agreement and Amended and Restated Right of First Refusal and Co-Sale Agreement of even date herewith among the Company, the Investors and the other parties named therein, as an “</w:t>
      </w:r>
      <w:r>
        <w:rPr>
          <w:rFonts w:ascii="Arial" w:cs="Arial" w:eastAsia="Arial" w:hAnsi="Arial"/>
          <w:sz w:val="21"/>
          <w:szCs w:val="21"/>
          <w:b w:val="1"/>
          <w:bCs w:val="1"/>
          <w:color w:val="auto"/>
        </w:rPr>
        <w:t>Investor</w:t>
      </w:r>
      <w:r>
        <w:rPr>
          <w:rFonts w:ascii="Arial" w:cs="Arial" w:eastAsia="Arial" w:hAnsi="Arial"/>
          <w:sz w:val="21"/>
          <w:szCs w:val="21"/>
          <w:color w:val="auto"/>
        </w:rPr>
        <w:t>” or “</w:t>
      </w:r>
      <w:r>
        <w:rPr>
          <w:rFonts w:ascii="Arial" w:cs="Arial" w:eastAsia="Arial" w:hAnsi="Arial"/>
          <w:sz w:val="21"/>
          <w:szCs w:val="21"/>
          <w:b w:val="1"/>
          <w:bCs w:val="1"/>
          <w:color w:val="auto"/>
        </w:rPr>
        <w:t>Key Holder</w:t>
      </w:r>
      <w:r>
        <w:rPr>
          <w:rFonts w:ascii="Arial" w:cs="Arial" w:eastAsia="Arial" w:hAnsi="Arial"/>
          <w:sz w:val="21"/>
          <w:szCs w:val="21"/>
          <w:color w:val="auto"/>
        </w:rPr>
        <w:t>,” as applicable, under each such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except as set forth in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any Competitor or FOIA Party shall not be entitled to any rights as a Major Investor under </w:t>
      </w:r>
      <w:r>
        <w:rPr>
          <w:rFonts w:ascii="Arial" w:cs="Arial" w:eastAsia="Arial" w:hAnsi="Arial"/>
          <w:sz w:val="21"/>
          <w:szCs w:val="21"/>
          <w:u w:val="single" w:color="auto"/>
          <w:color w:val="auto"/>
        </w:rPr>
        <w:t>Subsections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3.2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4.1</w:t>
      </w:r>
      <w:r>
        <w:rPr>
          <w:rFonts w:ascii="Arial" w:cs="Arial" w:eastAsia="Arial" w:hAnsi="Arial"/>
          <w:sz w:val="21"/>
          <w:szCs w:val="21"/>
          <w:color w:val="auto"/>
        </w:rPr>
        <w:t xml:space="preserve"> hereof), and (z) agrees to purchase at least such number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301" w:name="page302"/>
    <w:bookmarkEnd w:id="301"/>
    <w:p>
      <w:pPr>
        <w:jc w:val="both"/>
        <w:spacing w:after="0" w:line="312" w:lineRule="auto"/>
        <w:rPr>
          <w:sz w:val="20"/>
          <w:szCs w:val="20"/>
          <w:color w:val="auto"/>
        </w:rPr>
      </w:pPr>
      <w:r>
        <w:rPr>
          <w:rFonts w:ascii="Arial" w:cs="Arial" w:eastAsia="Arial" w:hAnsi="Arial"/>
          <w:sz w:val="19"/>
          <w:szCs w:val="19"/>
          <w:color w:val="auto"/>
        </w:rPr>
        <w:t>Securities as are allocable hereunder to the First Offer Participant holding the fewest number of shares of Common Stock (including all shares of Class A Common Stock then issuable (directly or indirectly) upon conversion and/or exercise, as applicable, of the Preferred Stock and any other Derivative Securities then held by such First Offer Participant).</w:t>
      </w:r>
    </w:p>
    <w:p>
      <w:pPr>
        <w:spacing w:after="0" w:line="73" w:lineRule="exact"/>
        <w:rPr>
          <w:sz w:val="20"/>
          <w:szCs w:val="20"/>
          <w:color w:val="auto"/>
        </w:rPr>
      </w:pPr>
    </w:p>
    <w:p>
      <w:pPr>
        <w:jc w:val="both"/>
        <w:ind w:firstLine="1952"/>
        <w:spacing w:after="0" w:line="256" w:lineRule="auto"/>
        <w:tabs>
          <w:tab w:leader="none" w:pos="2589"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Company shall give notice (the “</w:t>
      </w:r>
      <w:r>
        <w:rPr>
          <w:rFonts w:ascii="Arial" w:cs="Arial" w:eastAsia="Arial" w:hAnsi="Arial"/>
          <w:sz w:val="22"/>
          <w:szCs w:val="22"/>
          <w:b w:val="1"/>
          <w:bCs w:val="1"/>
          <w:color w:val="auto"/>
        </w:rPr>
        <w:t>Offer Notice</w:t>
      </w:r>
      <w:r>
        <w:rPr>
          <w:rFonts w:ascii="Arial" w:cs="Arial" w:eastAsia="Arial" w:hAnsi="Arial"/>
          <w:sz w:val="22"/>
          <w:szCs w:val="22"/>
          <w:color w:val="auto"/>
        </w:rPr>
        <w:t>”) to each First Offer Participant, stating (i) its bona fide intention to offer such New Securities, (ii) the number of such New Securities to be offered and (iii) the price and terms, if any, upon which it proposes to offer such New Securities.</w:t>
      </w:r>
    </w:p>
    <w:p>
      <w:pPr>
        <w:spacing w:after="0" w:line="128" w:lineRule="exact"/>
        <w:rPr>
          <w:rFonts w:ascii="Arial" w:cs="Arial" w:eastAsia="Arial" w:hAnsi="Arial"/>
          <w:sz w:val="22"/>
          <w:szCs w:val="22"/>
          <w:color w:val="auto"/>
        </w:rPr>
      </w:pPr>
    </w:p>
    <w:p>
      <w:pPr>
        <w:jc w:val="both"/>
        <w:ind w:firstLine="1952"/>
        <w:spacing w:after="0" w:line="285" w:lineRule="auto"/>
        <w:tabs>
          <w:tab w:leader="none" w:pos="2587" w:val="left"/>
        </w:tabs>
        <w:numPr>
          <w:ilvl w:val="0"/>
          <w:numId w:val="240"/>
        </w:numPr>
        <w:rPr>
          <w:rFonts w:ascii="Arial" w:cs="Arial" w:eastAsia="Arial" w:hAnsi="Arial"/>
          <w:sz w:val="19"/>
          <w:szCs w:val="19"/>
          <w:color w:val="auto"/>
        </w:rPr>
      </w:pPr>
      <w:r>
        <w:rPr>
          <w:rFonts w:ascii="Arial" w:cs="Arial" w:eastAsia="Arial" w:hAnsi="Arial"/>
          <w:sz w:val="19"/>
          <w:szCs w:val="19"/>
          <w:color w:val="auto"/>
        </w:rPr>
        <w:t>By notification to the Company within twenty (20) days after the Offer Notice is given, each First Offer Participant may elect to purchase or otherwise acquire, at the price and on the terms specified in the Offer Notice, up to that portion of such New Securities which equals the proportion that the Common Stock then held by such First Offer Participant (including all shares of Class A Common Stock then issuable (directly or indirectly) upon conversion and/or exercise, as applicable, of the Preferred Stock and any other Derivative Securities then held by such First Offer Participant) bears to the total Common Stock of the Company then outstanding (assuming full conversion and/or exercise, as applicable, of all Preferred Stock and other Derivative Securities). At the expiration of such twenty (20) day period, the Company shall promptly notify each First Offer Participant that elects to purchase or acquire all the shares available to it (each, a “</w:t>
      </w:r>
      <w:r>
        <w:rPr>
          <w:rFonts w:ascii="Arial" w:cs="Arial" w:eastAsia="Arial" w:hAnsi="Arial"/>
          <w:sz w:val="19"/>
          <w:szCs w:val="19"/>
          <w:b w:val="1"/>
          <w:bCs w:val="1"/>
          <w:color w:val="auto"/>
        </w:rPr>
        <w:t>Fully Exercising Participant</w:t>
      </w:r>
      <w:r>
        <w:rPr>
          <w:rFonts w:ascii="Arial" w:cs="Arial" w:eastAsia="Arial" w:hAnsi="Arial"/>
          <w:sz w:val="19"/>
          <w:szCs w:val="19"/>
          <w:color w:val="auto"/>
        </w:rPr>
        <w:t xml:space="preserve">”) of any other First Offer Participant’s failure to do likewise. During the ten (10) day period commencing after the Company has given such notice, each Fully Exercising Participant may, by giving notice to the Company, elect to purchase or acquire, in addition to the number of shares specified above, up to that portion of the New Securities for which First Offer Participants were entitled to subscribe but that were not subscribed for by the First Offer Participants which is equal to the proportion that the Common Stock issued and held, or issuable (directly or indirectly) upon conversion and/or exercise, as applicable, of Preferred Stock and any other Derivative Securities then held, by such Fully Exercising Participant bears to the Common Stock issued and held, or issuable (directly or indirectly) upon conversion and/or exercise, as applicable, of the Preferred Stock and any other Derivative Securities then held, by all Fully Exercising Participants who wish to purchase such unsubscribed shares. The closing of any sale pursuant to this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shall occur within the later of ninety (90) days of the date that the Offer Notice is given and the date of initial sale of New Securities pursuant to </w:t>
      </w:r>
      <w:r>
        <w:rPr>
          <w:rFonts w:ascii="Arial" w:cs="Arial" w:eastAsia="Arial" w:hAnsi="Arial"/>
          <w:sz w:val="19"/>
          <w:szCs w:val="19"/>
          <w:u w:val="single" w:color="auto"/>
          <w:color w:val="auto"/>
        </w:rPr>
        <w:t>Subsection 4.1(c)</w:t>
      </w:r>
      <w:r>
        <w:rPr>
          <w:rFonts w:ascii="Arial" w:cs="Arial" w:eastAsia="Arial" w:hAnsi="Arial"/>
          <w:sz w:val="19"/>
          <w:szCs w:val="19"/>
          <w:color w:val="auto"/>
        </w:rPr>
        <w:t>.</w:t>
      </w:r>
    </w:p>
    <w:p>
      <w:pPr>
        <w:spacing w:after="0" w:line="368" w:lineRule="exact"/>
        <w:rPr>
          <w:rFonts w:ascii="Arial" w:cs="Arial" w:eastAsia="Arial" w:hAnsi="Arial"/>
          <w:sz w:val="19"/>
          <w:szCs w:val="19"/>
          <w:color w:val="auto"/>
        </w:rPr>
      </w:pPr>
    </w:p>
    <w:p>
      <w:pPr>
        <w:jc w:val="both"/>
        <w:ind w:firstLine="1952"/>
        <w:spacing w:after="0" w:line="292" w:lineRule="auto"/>
        <w:tabs>
          <w:tab w:leader="none" w:pos="258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If all New Securities referred to in the Offer Notice are not elected to be purchased or acquired as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the Company may, during the ninety (90) day period following the expiration of the periods provided in </w:t>
      </w:r>
      <w:r>
        <w:rPr>
          <w:rFonts w:ascii="Arial" w:cs="Arial" w:eastAsia="Arial" w:hAnsi="Arial"/>
          <w:sz w:val="19"/>
          <w:szCs w:val="19"/>
          <w:u w:val="single" w:color="auto"/>
          <w:color w:val="auto"/>
        </w:rPr>
        <w:t>Subsection 4.1(b)</w:t>
      </w:r>
      <w:r>
        <w:rPr>
          <w:rFonts w:ascii="Arial" w:cs="Arial" w:eastAsia="Arial" w:hAnsi="Arial"/>
          <w:sz w:val="19"/>
          <w:szCs w:val="19"/>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First Offer Participants in accordance with this </w:t>
      </w:r>
      <w:r>
        <w:rPr>
          <w:rFonts w:ascii="Arial" w:cs="Arial" w:eastAsia="Arial" w:hAnsi="Arial"/>
          <w:sz w:val="19"/>
          <w:szCs w:val="19"/>
          <w:u w:val="single" w:color="auto"/>
          <w:color w:val="auto"/>
        </w:rPr>
        <w:t>Subsection 4.1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302" w:name="page303"/>
    <w:bookmarkEnd w:id="302"/>
    <w:p>
      <w:pPr>
        <w:ind w:right="20" w:firstLine="1952"/>
        <w:spacing w:after="0" w:line="287" w:lineRule="auto"/>
        <w:tabs>
          <w:tab w:leader="none" w:pos="2587"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The right of first offer in this </w:t>
      </w:r>
      <w:r>
        <w:rPr>
          <w:rFonts w:ascii="Arial" w:cs="Arial" w:eastAsia="Arial" w:hAnsi="Arial"/>
          <w:sz w:val="21"/>
          <w:szCs w:val="21"/>
          <w:u w:val="single" w:color="auto"/>
          <w:color w:val="auto"/>
        </w:rPr>
        <w:t>Subsection 4.1</w:t>
      </w:r>
      <w:r>
        <w:rPr>
          <w:rFonts w:ascii="Arial" w:cs="Arial" w:eastAsia="Arial" w:hAnsi="Arial"/>
          <w:sz w:val="21"/>
          <w:szCs w:val="21"/>
          <w:color w:val="auto"/>
        </w:rPr>
        <w:t xml:space="preserve"> shall not be applicable to (i) Exempted Securities (as defined in the Company’s Certificate of Incorporation) and (ii) shares of Common Stock issued in the IPO.</w:t>
      </w:r>
    </w:p>
    <w:p>
      <w:pPr>
        <w:spacing w:after="0" w:line="9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The covenants set forth in</w:t>
      </w:r>
      <w:r>
        <w:rPr>
          <w:rFonts w:ascii="Arial" w:cs="Arial" w:eastAsia="Arial" w:hAnsi="Arial"/>
          <w:sz w:val="19"/>
          <w:szCs w:val="19"/>
          <w:u w:val="single" w:color="auto"/>
          <w:color w:val="auto"/>
        </w:rPr>
        <w:t xml:space="preserve"> Subsection 4.1 </w:t>
      </w:r>
      <w:r>
        <w:rPr>
          <w:rFonts w:ascii="Arial" w:cs="Arial" w:eastAsia="Arial" w:hAnsi="Arial"/>
          <w:sz w:val="19"/>
          <w:szCs w:val="19"/>
          <w:color w:val="auto"/>
        </w:rPr>
        <w:t>shall terminate and be of no further force or effect</w:t>
      </w:r>
    </w:p>
    <w:p>
      <w:pPr>
        <w:spacing w:after="0" w:line="21" w:lineRule="exact"/>
        <w:rPr>
          <w:sz w:val="20"/>
          <w:szCs w:val="20"/>
          <w:color w:val="auto"/>
        </w:rPr>
      </w:pPr>
    </w:p>
    <w:p>
      <w:pPr>
        <w:ind w:right="20" w:firstLine="8"/>
        <w:spacing w:after="0" w:line="246" w:lineRule="auto"/>
        <w:tabs>
          <w:tab w:leader="none" w:pos="28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immediately before the consummation of the IPO or (ii) upon a Deemed Liquidation Event, as such term is defined in the Company’s Certificate of Incorporation, whichever event occurs first.</w:t>
      </w:r>
    </w:p>
    <w:p>
      <w:pPr>
        <w:spacing w:after="0" w:line="138" w:lineRule="exact"/>
        <w:rPr>
          <w:rFonts w:ascii="Arial" w:cs="Arial" w:eastAsia="Arial" w:hAnsi="Arial"/>
          <w:sz w:val="22"/>
          <w:szCs w:val="22"/>
          <w:color w:val="auto"/>
        </w:rPr>
      </w:pPr>
    </w:p>
    <w:p>
      <w:pPr>
        <w:ind w:left="1300" w:hanging="644"/>
        <w:spacing w:after="0"/>
        <w:tabs>
          <w:tab w:leader="none" w:pos="1300" w:val="left"/>
        </w:tabs>
        <w:numPr>
          <w:ilvl w:val="1"/>
          <w:numId w:val="242"/>
        </w:numPr>
        <w:rPr>
          <w:rFonts w:ascii="Arial" w:cs="Arial" w:eastAsia="Arial" w:hAnsi="Arial"/>
          <w:sz w:val="22"/>
          <w:szCs w:val="22"/>
          <w:color w:val="auto"/>
        </w:rPr>
      </w:pPr>
      <w:r>
        <w:rPr>
          <w:rFonts w:ascii="Arial" w:cs="Arial" w:eastAsia="Arial" w:hAnsi="Arial"/>
          <w:sz w:val="22"/>
          <w:szCs w:val="22"/>
          <w:u w:val="single" w:color="auto"/>
          <w:color w:val="auto"/>
        </w:rPr>
        <w:t>Additional Covenants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Insurance</w:t>
      </w:r>
      <w:r>
        <w:rPr>
          <w:rFonts w:ascii="Arial" w:cs="Arial" w:eastAsia="Arial" w:hAnsi="Arial"/>
          <w:sz w:val="22"/>
          <w:szCs w:val="22"/>
          <w:color w:val="auto"/>
        </w:rPr>
        <w:t>. The Company shall maintain, from a financially sound and reputable insurer, Directors and Officers liability insurance in an amount and on such other terms and conditions satisfactory to the Board of Directors, until such time as the Board of Directors determines that such insurance should be discontinued.</w:t>
      </w:r>
    </w:p>
    <w:p>
      <w:pPr>
        <w:spacing w:after="0" w:line="13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Employee Agreements</w:t>
      </w:r>
      <w:r>
        <w:rPr>
          <w:rFonts w:ascii="Arial" w:cs="Arial" w:eastAsia="Arial" w:hAnsi="Arial"/>
          <w:sz w:val="22"/>
          <w:szCs w:val="22"/>
          <w:color w:val="auto"/>
        </w:rPr>
        <w:t>. The Company will cause each person now or hereafter employed by it or by any subsidiary (or engaged by the Company or any subsidiary as a consultant/independent contractor) with access to proprietary information, confidential information and/or trade secrets to enter into a nondisclosure and proprietary rights assignment agreement, substantially in the form approved by the Board of Directors.</w:t>
      </w:r>
    </w:p>
    <w:p>
      <w:pPr>
        <w:spacing w:after="0" w:line="13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Employee Stock</w:t>
      </w:r>
      <w:r>
        <w:rPr>
          <w:rFonts w:ascii="Arial" w:cs="Arial" w:eastAsia="Arial" w:hAnsi="Arial"/>
          <w:sz w:val="19"/>
          <w:szCs w:val="19"/>
          <w:color w:val="auto"/>
        </w:rPr>
        <w:t>. Unless otherwise approved by the Board of Directors, all future employees and consultants of the Company who purchase, receive options to purchase, or receive awards of shares of the Company’s capital stock after the date hereof shall be required to execute restricted stock or option agreements, as applicable, providing for</w:t>
      </w:r>
    </w:p>
    <w:p>
      <w:pPr>
        <w:spacing w:after="0" w:line="1" w:lineRule="exact"/>
        <w:rPr>
          <w:sz w:val="20"/>
          <w:szCs w:val="20"/>
          <w:color w:val="auto"/>
        </w:rPr>
      </w:pPr>
    </w:p>
    <w:p>
      <w:pPr>
        <w:jc w:val="both"/>
        <w:ind w:firstLine="8"/>
        <w:spacing w:after="0" w:line="244" w:lineRule="auto"/>
        <w:tabs>
          <w:tab w:leader="none" w:pos="26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22"/>
          <w:szCs w:val="22"/>
          <w:u w:val="single" w:color="auto"/>
          <w:color w:val="auto"/>
        </w:rPr>
        <w:t>Subsection 2.11</w:t>
      </w:r>
      <w:r>
        <w:rPr>
          <w:rFonts w:ascii="Arial" w:cs="Arial" w:eastAsia="Arial" w:hAnsi="Arial"/>
          <w:sz w:val="22"/>
          <w:szCs w:val="22"/>
          <w:color w:val="auto"/>
        </w:rPr>
        <w:t>. In addition, unless otherwise approved by the Board of Directors, the Company shall retain a “right of first refusal” on employee transfers until the Company’s IPO and shall have the right to repurchase unvested shares at cost upon termination of employment of a holder of restricted stock.</w:t>
      </w:r>
    </w:p>
    <w:p>
      <w:pPr>
        <w:spacing w:after="0" w:line="14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Board Matters</w:t>
      </w:r>
      <w:r>
        <w:rPr>
          <w:rFonts w:ascii="Arial" w:cs="Arial" w:eastAsia="Arial" w:hAnsi="Arial"/>
          <w:sz w:val="22"/>
          <w:szCs w:val="22"/>
          <w:color w:val="auto"/>
        </w:rPr>
        <w:t>. Unless otherwise determined by the vote of a majority of the directors then in office, the Board of Directors shall meet at least quarterly in accordance with an agreed-upon schedule. The Company shall reimburse the nonemployee directors and observers for all reasonable expenses in their services as a nonemployee director or an observer including out-of-pocket travel expenses incurred (consistent with the Company’s travel policy) in connection with attending meetings of the Board of Directors.</w:t>
      </w:r>
    </w:p>
    <w:p>
      <w:pPr>
        <w:spacing w:after="0" w:line="13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Successor Indemnification</w:t>
      </w:r>
      <w:r>
        <w:rPr>
          <w:rFonts w:ascii="Arial" w:cs="Arial" w:eastAsia="Arial" w:hAnsi="Arial"/>
          <w:sz w:val="22"/>
          <w:szCs w:val="22"/>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303" w:name="page304"/>
    <w:bookmarkEnd w:id="303"/>
    <w:p>
      <w:pPr>
        <w:spacing w:after="0"/>
        <w:rPr>
          <w:sz w:val="20"/>
          <w:szCs w:val="20"/>
          <w:color w:val="auto"/>
        </w:rPr>
      </w:pPr>
      <w:r>
        <w:rPr>
          <w:rFonts w:ascii="Arial" w:cs="Arial" w:eastAsia="Arial" w:hAnsi="Arial"/>
          <w:sz w:val="22"/>
          <w:szCs w:val="22"/>
          <w:color w:val="auto"/>
        </w:rPr>
        <w:t>contained in the Company’s Bylaws, its Certificate of Incorporation or elsewhere, as the case may be.</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Indemnification Matters</w:t>
      </w:r>
      <w:r>
        <w:rPr>
          <w:rFonts w:ascii="Arial" w:cs="Arial" w:eastAsia="Arial" w:hAnsi="Arial"/>
          <w:sz w:val="19"/>
          <w:szCs w:val="19"/>
          <w:color w:val="auto"/>
        </w:rPr>
        <w:t>. The Company hereby acknowledges that one (1) or more of the directors nominated to serve on the Board of Directors by the Investors including the Preferred Director (each a “</w:t>
      </w:r>
      <w:r>
        <w:rPr>
          <w:rFonts w:ascii="Arial" w:cs="Arial" w:eastAsia="Arial" w:hAnsi="Arial"/>
          <w:sz w:val="19"/>
          <w:szCs w:val="19"/>
          <w:b w:val="1"/>
          <w:bCs w:val="1"/>
          <w:color w:val="auto"/>
        </w:rPr>
        <w:t>Fund Director</w:t>
      </w:r>
      <w:r>
        <w:rPr>
          <w:rFonts w:ascii="Arial" w:cs="Arial" w:eastAsia="Arial" w:hAnsi="Arial"/>
          <w:sz w:val="19"/>
          <w:szCs w:val="19"/>
          <w:color w:val="auto"/>
        </w:rPr>
        <w:t>”) may have certain rights to indemnification, advancement of expenses and/or insurance provided by one or more of the Investors and certain of their affiliates (collectively, the “</w:t>
      </w:r>
      <w:r>
        <w:rPr>
          <w:rFonts w:ascii="Arial" w:cs="Arial" w:eastAsia="Arial" w:hAnsi="Arial"/>
          <w:sz w:val="19"/>
          <w:szCs w:val="19"/>
          <w:b w:val="1"/>
          <w:bCs w:val="1"/>
          <w:color w:val="auto"/>
        </w:rPr>
        <w:t>Fund Indemnitors</w:t>
      </w:r>
      <w:r>
        <w:rPr>
          <w:rFonts w:ascii="Arial" w:cs="Arial" w:eastAsia="Arial" w:hAnsi="Arial"/>
          <w:sz w:val="19"/>
          <w:szCs w:val="19"/>
          <w:color w:val="auto"/>
        </w:rPr>
        <w:t>”). The Company hereby agrees (a) that it is the indemnitor of first resort (</w:t>
      </w:r>
      <w:r>
        <w:rPr>
          <w:rFonts w:ascii="Arial" w:cs="Arial" w:eastAsia="Arial" w:hAnsi="Arial"/>
          <w:sz w:val="19"/>
          <w:szCs w:val="19"/>
          <w:i w:val="1"/>
          <w:iCs w:val="1"/>
          <w:color w:val="auto"/>
        </w:rPr>
        <w:t>i.e.</w:t>
      </w:r>
      <w:r>
        <w:rPr>
          <w:rFonts w:ascii="Arial" w:cs="Arial" w:eastAsia="Arial" w:hAnsi="Arial"/>
          <w:sz w:val="19"/>
          <w:szCs w:val="19"/>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36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Right to Conduct Activities</w:t>
      </w:r>
      <w:r>
        <w:rPr>
          <w:rFonts w:ascii="Arial" w:cs="Arial" w:eastAsia="Arial" w:hAnsi="Arial"/>
          <w:sz w:val="19"/>
          <w:szCs w:val="19"/>
          <w:color w:val="auto"/>
        </w:rPr>
        <w:t>.</w:t>
      </w:r>
    </w:p>
    <w:p>
      <w:pPr>
        <w:spacing w:after="0" w:line="166" w:lineRule="exact"/>
        <w:rPr>
          <w:sz w:val="20"/>
          <w:szCs w:val="20"/>
          <w:color w:val="auto"/>
        </w:rPr>
      </w:pPr>
    </w:p>
    <w:p>
      <w:pPr>
        <w:jc w:val="both"/>
        <w:ind w:firstLine="1952"/>
        <w:spacing w:after="0" w:line="288" w:lineRule="auto"/>
        <w:tabs>
          <w:tab w:leader="none" w:pos="258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Company hereby agrees and acknowledges that Maverick Advisors Fund, L.P. and Maverick Ventures Investment Fund, L.P. (together with its affiliates, “</w:t>
      </w:r>
      <w:r>
        <w:rPr>
          <w:rFonts w:ascii="Arial" w:cs="Arial" w:eastAsia="Arial" w:hAnsi="Arial"/>
          <w:sz w:val="19"/>
          <w:szCs w:val="19"/>
          <w:b w:val="1"/>
          <w:bCs w:val="1"/>
          <w:color w:val="auto"/>
        </w:rPr>
        <w:t>Maverick</w:t>
      </w:r>
      <w:r>
        <w:rPr>
          <w:rFonts w:ascii="Arial" w:cs="Arial" w:eastAsia="Arial" w:hAnsi="Arial"/>
          <w:sz w:val="19"/>
          <w:szCs w:val="19"/>
          <w:color w:val="auto"/>
        </w:rPr>
        <w:t xml:space="preserve">”)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Maverick shall not be liable to the Company for any claim arising out of, or based upon, (i) the investment by Maverick in any entity competitive with the Company or (ii) actions taken by any partner, officer or other representative of Maverick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361" w:lineRule="exact"/>
        <w:rPr>
          <w:rFonts w:ascii="Arial" w:cs="Arial" w:eastAsia="Arial" w:hAnsi="Arial"/>
          <w:sz w:val="19"/>
          <w:szCs w:val="19"/>
          <w:color w:val="auto"/>
        </w:rPr>
      </w:pPr>
    </w:p>
    <w:p>
      <w:pPr>
        <w:jc w:val="both"/>
        <w:ind w:firstLine="1952"/>
        <w:spacing w:after="0" w:line="253" w:lineRule="auto"/>
        <w:tabs>
          <w:tab w:leader="none" w:pos="2587"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The Company hereby agrees and acknowledges that Artal is a professional investment fund, and as such invests in numerous portfolio companies, some of which may be deemed competitive with the Company’s business (as currently conducted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304" w:name="page305"/>
    <w:bookmarkEnd w:id="304"/>
    <w:p>
      <w:pPr>
        <w:jc w:val="both"/>
        <w:spacing w:after="0" w:line="285" w:lineRule="auto"/>
        <w:rPr>
          <w:sz w:val="20"/>
          <w:szCs w:val="20"/>
          <w:color w:val="auto"/>
        </w:rPr>
      </w:pPr>
      <w:r>
        <w:rPr>
          <w:rFonts w:ascii="Arial" w:cs="Arial" w:eastAsia="Arial" w:hAnsi="Arial"/>
          <w:sz w:val="19"/>
          <w:szCs w:val="19"/>
          <w:color w:val="auto"/>
        </w:rPr>
        <w:t xml:space="preserve">currently propose to be conducted). The Company hereby agrees that, to the extent permitted under applicable law, Artal shall not be liable to the Company for any claim arising out of, or based upon, (i) the investment by Artal in any entity competitive with the Company or (ii) actions taken by any partner, officer or other representative of Artal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w:t>
      </w:r>
    </w:p>
    <w:p>
      <w:pPr>
        <w:spacing w:after="0" w:line="3" w:lineRule="exact"/>
        <w:rPr>
          <w:sz w:val="20"/>
          <w:szCs w:val="20"/>
          <w:color w:val="auto"/>
        </w:rPr>
      </w:pPr>
    </w:p>
    <w:p>
      <w:pPr>
        <w:jc w:val="both"/>
        <w:ind w:right="20" w:firstLine="8"/>
        <w:spacing w:after="0" w:line="295" w:lineRule="auto"/>
        <w:tabs>
          <w:tab w:leader="none" w:pos="334"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any of the Investors from liability associated with the unauthorized disclosure of the Company’s confidential information obtained pursuant to this Agreement or (y) any director or officer of the Company from any liability associated with his or her fiduciary duties to the Company. Notwithstanding anything to the contrary in this Agreement, Artal shall retain its rights under </w:t>
      </w:r>
      <w:r>
        <w:rPr>
          <w:rFonts w:ascii="Arial" w:cs="Arial" w:eastAsia="Arial" w:hAnsi="Arial"/>
          <w:sz w:val="19"/>
          <w:szCs w:val="19"/>
          <w:u w:val="single" w:color="auto"/>
          <w:color w:val="auto"/>
        </w:rPr>
        <w:t>Sections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w:t>
      </w:r>
      <w:r>
        <w:rPr>
          <w:rFonts w:ascii="Arial" w:cs="Arial" w:eastAsia="Arial" w:hAnsi="Arial"/>
          <w:sz w:val="19"/>
          <w:szCs w:val="19"/>
          <w:color w:val="auto"/>
        </w:rPr>
        <w:t xml:space="preserve"> of this Agreement regardless of whether Artal or any of its Affiliates is a Competitor.</w:t>
      </w:r>
    </w:p>
    <w:p>
      <w:pPr>
        <w:spacing w:after="0" w:line="95" w:lineRule="exact"/>
        <w:rPr>
          <w:rFonts w:ascii="Arial" w:cs="Arial" w:eastAsia="Arial" w:hAnsi="Arial"/>
          <w:sz w:val="19"/>
          <w:szCs w:val="19"/>
          <w:color w:val="auto"/>
        </w:rPr>
      </w:pPr>
    </w:p>
    <w:p>
      <w:pPr>
        <w:jc w:val="both"/>
        <w:ind w:firstLine="1952"/>
        <w:spacing w:after="0" w:line="288" w:lineRule="auto"/>
        <w:tabs>
          <w:tab w:leader="none" w:pos="2589" w:val="left"/>
        </w:tabs>
        <w:numPr>
          <w:ilvl w:val="1"/>
          <w:numId w:val="245"/>
        </w:numPr>
        <w:rPr>
          <w:rFonts w:ascii="Arial" w:cs="Arial" w:eastAsia="Arial" w:hAnsi="Arial"/>
          <w:sz w:val="19"/>
          <w:szCs w:val="19"/>
          <w:color w:val="auto"/>
        </w:rPr>
      </w:pPr>
      <w:r>
        <w:rPr>
          <w:rFonts w:ascii="Arial" w:cs="Arial" w:eastAsia="Arial" w:hAnsi="Arial"/>
          <w:sz w:val="19"/>
          <w:szCs w:val="19"/>
          <w:color w:val="auto"/>
        </w:rPr>
        <w:t xml:space="preserve">The Company hereby agrees and acknowledges that Aju IB are professional investment funds, and as such invest in numerous portfolio companies, some of which may be deemed competitive with the Company’s business (as currently conducted or as currently propose to be conducted). The Company hereby agrees that, to the extent permitted under applicable law, Aju IB shall not be liable to the Company for any claim arising out of, or based upon, (i) the investment by Aju IB in any entity competitive with the Company or (ii) actions taken by any partner, officer or other representative of Aju IB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5" w:lineRule="exact"/>
        <w:rPr>
          <w:rFonts w:ascii="Arial" w:cs="Arial" w:eastAsia="Arial" w:hAnsi="Arial"/>
          <w:sz w:val="19"/>
          <w:szCs w:val="19"/>
          <w:color w:val="auto"/>
        </w:rPr>
      </w:pPr>
    </w:p>
    <w:p>
      <w:pPr>
        <w:jc w:val="both"/>
        <w:ind w:firstLine="1952"/>
        <w:spacing w:after="0" w:line="288" w:lineRule="auto"/>
        <w:tabs>
          <w:tab w:leader="none" w:pos="2587" w:val="left"/>
        </w:tabs>
        <w:numPr>
          <w:ilvl w:val="1"/>
          <w:numId w:val="245"/>
        </w:numPr>
        <w:rPr>
          <w:rFonts w:ascii="Arial" w:cs="Arial" w:eastAsia="Arial" w:hAnsi="Arial"/>
          <w:sz w:val="19"/>
          <w:szCs w:val="19"/>
          <w:color w:val="auto"/>
        </w:rPr>
      </w:pPr>
      <w:r>
        <w:rPr>
          <w:rFonts w:ascii="Arial" w:cs="Arial" w:eastAsia="Arial" w:hAnsi="Arial"/>
          <w:sz w:val="19"/>
          <w:szCs w:val="19"/>
          <w:color w:val="auto"/>
        </w:rPr>
        <w:t xml:space="preserve">The Company hereby agrees and acknowledges that aMoon is a professional investment fund, and as such invests in numerous portfolio companies, some of which may be deemed competitive with the Company’s business (as currently conducted or as currently proposed to be conducted). The Company hereby agrees that, to the extent permitted under applicable law, aMoon shall not be liable to the Company for any claim arising out of, or based upon, (i) the investment by aMoon in any entity competitive with the Company or (ii) actions taken by any partner, officer or other representative of aMoon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05" w:lineRule="exact"/>
        <w:rPr>
          <w:rFonts w:ascii="Arial" w:cs="Arial" w:eastAsia="Arial" w:hAnsi="Arial"/>
          <w:sz w:val="19"/>
          <w:szCs w:val="19"/>
          <w:color w:val="auto"/>
        </w:rPr>
      </w:pPr>
    </w:p>
    <w:p>
      <w:pPr>
        <w:ind w:firstLine="1952"/>
        <w:spacing w:after="0" w:line="263" w:lineRule="auto"/>
        <w:tabs>
          <w:tab w:leader="none" w:pos="2589" w:val="left"/>
        </w:tabs>
        <w:numPr>
          <w:ilvl w:val="1"/>
          <w:numId w:val="245"/>
        </w:numPr>
        <w:rPr>
          <w:rFonts w:ascii="Arial" w:cs="Arial" w:eastAsia="Arial" w:hAnsi="Arial"/>
          <w:sz w:val="22"/>
          <w:szCs w:val="22"/>
          <w:color w:val="auto"/>
        </w:rPr>
      </w:pPr>
      <w:r>
        <w:rPr>
          <w:rFonts w:ascii="Arial" w:cs="Arial" w:eastAsia="Arial" w:hAnsi="Arial"/>
          <w:sz w:val="22"/>
          <w:szCs w:val="22"/>
          <w:color w:val="auto"/>
        </w:rPr>
        <w:t>The Company hereby agrees and acknowledges that each Fidelity Investor (as defined below) (together with its Affiliates) is a professional investment fund, and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305" w:name="page306"/>
    <w:bookmarkEnd w:id="305"/>
    <w:p>
      <w:pPr>
        <w:jc w:val="both"/>
        <w:spacing w:after="0" w:line="286" w:lineRule="auto"/>
        <w:rPr>
          <w:sz w:val="20"/>
          <w:szCs w:val="20"/>
          <w:color w:val="auto"/>
        </w:rPr>
      </w:pPr>
      <w:r>
        <w:rPr>
          <w:rFonts w:ascii="Arial" w:cs="Arial" w:eastAsia="Arial" w:hAnsi="Arial"/>
          <w:sz w:val="19"/>
          <w:szCs w:val="19"/>
          <w:color w:val="auto"/>
        </w:rPr>
        <w:t>such invests in numerous portfolio companies, some of which may be deemed competitive with the Company’s business (as currently conducted or as currently proposed to be conducted). The Company hereby agrees that, to the extent permitted under applicable law, no Fidelity Investor (or any of its Affiliates) shall be liable to the Company for any claim arising out of, or based upon, (i) the investment by any Fidelity Investor (or any of its Affiliates) in any entity competitive with the Company or</w:t>
      </w:r>
    </w:p>
    <w:p>
      <w:pPr>
        <w:spacing w:after="0" w:line="3" w:lineRule="exact"/>
        <w:rPr>
          <w:sz w:val="20"/>
          <w:szCs w:val="20"/>
          <w:color w:val="auto"/>
        </w:rPr>
      </w:pPr>
    </w:p>
    <w:p>
      <w:pPr>
        <w:jc w:val="both"/>
        <w:ind w:firstLine="8"/>
        <w:spacing w:after="0" w:line="281" w:lineRule="auto"/>
        <w:tabs>
          <w:tab w:leader="none" w:pos="329"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actions taken by any partner, officer or other representative of any Fidelity Investor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relieve</w:t>
      </w:r>
    </w:p>
    <w:p>
      <w:pPr>
        <w:spacing w:after="0" w:line="2" w:lineRule="exact"/>
        <w:rPr>
          <w:rFonts w:ascii="Arial" w:cs="Arial" w:eastAsia="Arial" w:hAnsi="Arial"/>
          <w:sz w:val="19"/>
          <w:szCs w:val="19"/>
          <w:color w:val="auto"/>
        </w:rPr>
      </w:pPr>
    </w:p>
    <w:p>
      <w:pPr>
        <w:jc w:val="both"/>
        <w:ind w:firstLine="8"/>
        <w:spacing w:after="0" w:line="244" w:lineRule="auto"/>
        <w:tabs>
          <w:tab w:leader="none" w:pos="356" w:val="left"/>
        </w:tabs>
        <w:numPr>
          <w:ilvl w:val="0"/>
          <w:numId w:val="247"/>
        </w:numPr>
        <w:rPr>
          <w:rFonts w:ascii="Arial" w:cs="Arial" w:eastAsia="Arial" w:hAnsi="Arial"/>
          <w:sz w:val="22"/>
          <w:szCs w:val="22"/>
          <w:color w:val="auto"/>
        </w:rPr>
      </w:pPr>
      <w:r>
        <w:rPr>
          <w:rFonts w:ascii="Arial" w:cs="Arial" w:eastAsia="Arial" w:hAnsi="Arial"/>
          <w:sz w:val="22"/>
          <w:szCs w:val="22"/>
          <w:color w:val="auto"/>
        </w:rPr>
        <w:t>any of the Fidelity Investors from liability associated with the unauthorized disclosure of the Company’s confidential information obtained pursuant to this Agreement or (y) any director or officer of the Company from any liability associated with his or her fiduciary duties to the Company. “</w:t>
      </w:r>
      <w:r>
        <w:rPr>
          <w:rFonts w:ascii="Arial" w:cs="Arial" w:eastAsia="Arial" w:hAnsi="Arial"/>
          <w:sz w:val="22"/>
          <w:szCs w:val="22"/>
          <w:b w:val="1"/>
          <w:bCs w:val="1"/>
          <w:color w:val="auto"/>
        </w:rPr>
        <w:t>Fidelity Investors</w:t>
      </w:r>
      <w:r>
        <w:rPr>
          <w:rFonts w:ascii="Arial" w:cs="Arial" w:eastAsia="Arial" w:hAnsi="Arial"/>
          <w:sz w:val="22"/>
          <w:szCs w:val="22"/>
          <w:color w:val="auto"/>
        </w:rPr>
        <w:t>” shall mean any Investors advised or subadvised by Fidelity Management &amp; Research Company or one of its Affiliates.</w:t>
      </w:r>
    </w:p>
    <w:p>
      <w:pPr>
        <w:spacing w:after="0" w:line="14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Termination of Covenants</w:t>
      </w:r>
      <w:r>
        <w:rPr>
          <w:rFonts w:ascii="Arial" w:cs="Arial" w:eastAsia="Arial" w:hAnsi="Arial"/>
          <w:sz w:val="21"/>
          <w:szCs w:val="21"/>
          <w:color w:val="auto"/>
        </w:rPr>
        <w:t xml:space="preserve">. The covenants set forth in this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except for </w:t>
      </w:r>
      <w:r>
        <w:rPr>
          <w:rFonts w:ascii="Arial" w:cs="Arial" w:eastAsia="Arial" w:hAnsi="Arial"/>
          <w:sz w:val="21"/>
          <w:szCs w:val="21"/>
          <w:u w:val="single" w:color="auto"/>
          <w:color w:val="auto"/>
        </w:rPr>
        <w:t>Subsection 5.6</w:t>
      </w:r>
      <w:r>
        <w:rPr>
          <w:rFonts w:ascii="Arial" w:cs="Arial" w:eastAsia="Arial" w:hAnsi="Arial"/>
          <w:sz w:val="21"/>
          <w:szCs w:val="21"/>
          <w:color w:val="auto"/>
        </w:rPr>
        <w:t>, shall terminate and be of no further force or effect (i) immediately before the consummation of the IPO or (ii) upon a Deemed Liquidation Event, as such term is defined in the Company’s Certificate of Incorporation, whichever event occurs first.</w:t>
      </w:r>
    </w:p>
    <w:p>
      <w:pPr>
        <w:spacing w:after="0" w:line="113" w:lineRule="exact"/>
        <w:rPr>
          <w:sz w:val="20"/>
          <w:szCs w:val="20"/>
          <w:color w:val="auto"/>
        </w:rPr>
      </w:pPr>
    </w:p>
    <w:p>
      <w:pPr>
        <w:ind w:left="1300" w:hanging="644"/>
        <w:spacing w:after="0"/>
        <w:tabs>
          <w:tab w:leader="none" w:pos="1300"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The rights under this Agreement may be assigned (but only with all related obligations) by (i) a Holder to a transferee of Registrable Securities that (A) is an Affiliate of a Holder or (B) is a Holder’s Immediate Family Member or trust for the benefit of an individual Holder or one or more of such Holder’s Immediate Family Members or (ii) a Major Investor to a transferee of all of the Registrable Securities held by such Major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21"/>
          <w:szCs w:val="21"/>
          <w:u w:val="single" w:color="auto"/>
          <w:color w:val="auto"/>
        </w:rPr>
        <w:t>Subsection 2.11</w:t>
      </w:r>
      <w:r>
        <w:rPr>
          <w:rFonts w:ascii="Arial" w:cs="Arial" w:eastAsia="Arial" w:hAnsi="Arial"/>
          <w:sz w:val="21"/>
          <w:szCs w:val="21"/>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306" w:name="page307"/>
    <w:bookmarkEnd w:id="306"/>
    <w:p>
      <w:pPr>
        <w:ind w:left="1300"/>
        <w:spacing w:after="0"/>
        <w:tabs>
          <w:tab w:leader="none" w:pos="19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the internal law of the State of Delaware.</w:t>
      </w:r>
    </w:p>
    <w:p>
      <w:pPr>
        <w:spacing w:after="0" w:line="16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22"/>
          <w:szCs w:val="22"/>
          <w:i w:val="1"/>
          <w:iCs w:val="1"/>
          <w:color w:val="auto"/>
        </w:rPr>
        <w:t>e.g.</w:t>
      </w:r>
      <w:r>
        <w:rPr>
          <w:rFonts w:ascii="Arial" w:cs="Arial" w:eastAsia="Arial" w:hAnsi="Arial"/>
          <w:sz w:val="22"/>
          <w:szCs w:val="22"/>
          <w:color w:val="auto"/>
        </w:rPr>
        <w:t>, www.docusign.com) or other transmission method and any counterpart so delivered shall be deemed to have been duly and validly delivered and be valid and effective for all purposes</w:t>
      </w:r>
      <w:r>
        <w:rPr>
          <w:rFonts w:ascii="Arial" w:cs="Arial" w:eastAsia="Arial" w:hAnsi="Arial"/>
          <w:sz w:val="22"/>
          <w:szCs w:val="22"/>
          <w:b w:val="1"/>
          <w:bCs w:val="1"/>
          <w:color w:val="auto"/>
        </w:rPr>
        <w:t>.</w:t>
      </w:r>
    </w:p>
    <w:p>
      <w:pPr>
        <w:spacing w:after="0" w:line="13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Titles and Subtitles</w:t>
      </w:r>
      <w:r>
        <w:rPr>
          <w:rFonts w:ascii="Arial" w:cs="Arial" w:eastAsia="Arial" w:hAnsi="Arial"/>
          <w:sz w:val="22"/>
          <w:szCs w:val="22"/>
          <w:color w:val="auto"/>
        </w:rPr>
        <w:t>. The titles and subtitles used in this Agreement are for convenience only and are not to be considered in construing or interpreting this Agreement.</w:t>
      </w:r>
    </w:p>
    <w:p>
      <w:pPr>
        <w:spacing w:after="0" w:line="121"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given or made pursuant to this Agreement shall be in writing and shall be deemed effectively given upon the earlier of actual receipt or (i) personal delivery to the party to be notified;</w:t>
      </w:r>
    </w:p>
    <w:p>
      <w:pPr>
        <w:spacing w:after="0" w:line="1" w:lineRule="exact"/>
        <w:rPr>
          <w:sz w:val="20"/>
          <w:szCs w:val="20"/>
          <w:color w:val="auto"/>
        </w:rPr>
      </w:pPr>
    </w:p>
    <w:p>
      <w:pPr>
        <w:jc w:val="both"/>
        <w:ind w:firstLine="8"/>
        <w:spacing w:after="0" w:line="284" w:lineRule="auto"/>
        <w:tabs>
          <w:tab w:leader="none" w:pos="328"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9"/>
          <w:szCs w:val="19"/>
          <w:u w:val="single" w:color="auto"/>
          <w:color w:val="auto"/>
        </w:rPr>
        <w:t>Subsection 6.5</w:t>
      </w:r>
      <w:r>
        <w:rPr>
          <w:rFonts w:ascii="Arial" w:cs="Arial" w:eastAsia="Arial" w:hAnsi="Arial"/>
          <w:sz w:val="19"/>
          <w:szCs w:val="19"/>
          <w:color w:val="auto"/>
        </w:rPr>
        <w:t>. If notice is given to the Company, a copy shall also be sent to Wilson Sonsini Goodrich &amp; Rosati, P.C., 650 Page Mill Road, Palo Alto, California 94304, Attention: Tony Jeffries, and if notice is given to the Investors, a copy shall also be given to Cooley LLP, 3175 Hanover Street, Palo Alto, California 94306, Attention: Kevin Rooney; Patterson Belknap Webb and Tyler LLP, 1133 Avenue of the Americas, New York, New York 10036, Attention: Peter Schaeffer; Morgan, Lewis &amp; Bockius LLP, One Federal Street, Boston, MA 02110-1726; Gunderson Dettmer Stough Villeneuve Franklin &amp; Hachigian, LLP, 550 Allerton Street, Redwood City, CA 94063, Attention: Andy Bradley; Attention: James P. Carrigan; Naschitz Brandes Amir &amp; Co., 5 Tuval St. Tel Aviv, Israel, Attention: Asher Assis, Adv., and Inbar Mishory Bartal, Adv and Greenberg Traurig, LLP, One International Place, Suite 2000, Boston, MA 02110, Attention: Bradley A. Jacobson.</w:t>
      </w:r>
    </w:p>
    <w:p>
      <w:pPr>
        <w:spacing w:after="0" w:line="113"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Any term of this Agreement may be amended, or terminated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may in its sole discretion waive compliance with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(and the Company’s failure to object promptly in writing after notification of a proposed assignment allegedly in violation of </w:t>
      </w:r>
      <w:r>
        <w:rPr>
          <w:rFonts w:ascii="Arial" w:cs="Arial" w:eastAsia="Arial" w:hAnsi="Arial"/>
          <w:sz w:val="19"/>
          <w:szCs w:val="19"/>
          <w:u w:val="single" w:color="auto"/>
          <w:color w:val="auto"/>
        </w:rPr>
        <w:t>Subsection 2.12(c)</w:t>
      </w:r>
      <w:r>
        <w:rPr>
          <w:rFonts w:ascii="Arial" w:cs="Arial" w:eastAsia="Arial" w:hAnsi="Arial"/>
          <w:sz w:val="19"/>
          <w:szCs w:val="19"/>
          <w:color w:val="auto"/>
        </w:rPr>
        <w:t xml:space="preserve"> shall be deemed to be a waiver);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any provision hereof may be waived by any waiving party on such party’s own behalf, without the consent of any other party.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307" w:name="page308"/>
    <w:bookmarkEnd w:id="307"/>
    <w:p>
      <w:pPr>
        <w:jc w:val="both"/>
        <w:spacing w:after="0" w:line="284" w:lineRule="auto"/>
        <w:rPr>
          <w:sz w:val="20"/>
          <w:szCs w:val="20"/>
          <w:color w:val="auto"/>
        </w:rPr>
      </w:pPr>
      <w:r>
        <w:rPr>
          <w:rFonts w:ascii="Arial" w:cs="Arial" w:eastAsia="Arial" w:hAnsi="Arial"/>
          <w:sz w:val="19"/>
          <w:szCs w:val="19"/>
          <w:color w:val="auto"/>
        </w:rPr>
        <w:t xml:space="preserve">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provided however, absent the consent or approval of an adversely affected non-waiving Major Investor who desires to purchase securities in such transaction, any waiver with the effect of reducing the number of New Securities such Major Investor may purchase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in any Company financing must proportionately reduce the number of New Securities all other Major Investors may purchase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 otherwise in such financing). Further, this Agreement may not be amended, and no provision hereof may be waived, in each case, in any way which would adversely affect the rights of the Key Holders hereunder in a manner disproportionate to any adverse effect such amendment or waiver would have on the rights of the Investors hereunder, without also the written consent of the holders of at least a majority of the shares of Common Stock (including shares of Class A Common Stock issued or issuable upon conversion of Preferred Stock) held by the Key Holders.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9"/>
          <w:szCs w:val="19"/>
          <w:u w:val="single" w:color="auto"/>
          <w:color w:val="auto"/>
        </w:rPr>
        <w:t>Subsection 6.6</w:t>
      </w:r>
      <w:r>
        <w:rPr>
          <w:rFonts w:ascii="Arial" w:cs="Arial" w:eastAsia="Arial" w:hAnsi="Arial"/>
          <w:sz w:val="19"/>
          <w:szCs w:val="19"/>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Sections 3.3(a)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5.7(b)</w:t>
      </w:r>
      <w:r>
        <w:rPr>
          <w:rFonts w:ascii="Arial" w:cs="Arial" w:eastAsia="Arial" w:hAnsi="Arial"/>
          <w:sz w:val="19"/>
          <w:szCs w:val="19"/>
          <w:color w:val="auto"/>
        </w:rPr>
        <w:t xml:space="preserve"> of this Agreement shall not be amended or waived without the written consent of Artal.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5.7(c)</w:t>
      </w:r>
      <w:r>
        <w:rPr>
          <w:rFonts w:ascii="Arial" w:cs="Arial" w:eastAsia="Arial" w:hAnsi="Arial"/>
          <w:sz w:val="19"/>
          <w:szCs w:val="19"/>
          <w:color w:val="auto"/>
        </w:rPr>
        <w:t xml:space="preserve"> of this Agreement shall not be amended or waived without the written consent of Aju IB.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5.7(a)</w:t>
      </w:r>
      <w:r>
        <w:rPr>
          <w:rFonts w:ascii="Arial" w:cs="Arial" w:eastAsia="Arial" w:hAnsi="Arial"/>
          <w:sz w:val="19"/>
          <w:szCs w:val="19"/>
          <w:color w:val="auto"/>
        </w:rPr>
        <w:t xml:space="preserve"> of this Agreement shall not be amended or waived without the written consent of Maverick.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Sections 3.3(c)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5.7(d)</w:t>
      </w:r>
      <w:r>
        <w:rPr>
          <w:rFonts w:ascii="Arial" w:cs="Arial" w:eastAsia="Arial" w:hAnsi="Arial"/>
          <w:sz w:val="19"/>
          <w:szCs w:val="19"/>
          <w:color w:val="auto"/>
        </w:rPr>
        <w:t xml:space="preserve"> of this Agreement shall not be amended or waived without the written consent of aMoon. Notwithstanding anything to the contrary in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or otherwise in this Agreement, </w:t>
      </w:r>
      <w:r>
        <w:rPr>
          <w:rFonts w:ascii="Arial" w:cs="Arial" w:eastAsia="Arial" w:hAnsi="Arial"/>
          <w:sz w:val="19"/>
          <w:szCs w:val="19"/>
          <w:u w:val="single" w:color="auto"/>
          <w:color w:val="auto"/>
        </w:rPr>
        <w:t>Section 5.7(e)</w:t>
      </w:r>
      <w:r>
        <w:rPr>
          <w:rFonts w:ascii="Arial" w:cs="Arial" w:eastAsia="Arial" w:hAnsi="Arial"/>
          <w:sz w:val="19"/>
          <w:szCs w:val="19"/>
          <w:color w:val="auto"/>
        </w:rPr>
        <w:t xml:space="preserve"> of this Agreement shall not be amended or waived without the written consent of the Fidelity Investors.</w:t>
      </w:r>
    </w:p>
    <w:p>
      <w:pPr>
        <w:spacing w:after="0" w:line="36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Aggregation of Stock</w:t>
      </w:r>
      <w:r>
        <w:rPr>
          <w:rFonts w:ascii="Arial" w:cs="Arial" w:eastAsia="Arial" w:hAnsi="Arial"/>
          <w:sz w:val="22"/>
          <w:szCs w:val="22"/>
          <w:color w:val="auto"/>
        </w:rPr>
        <w:t>. All shares of Registrable Securities held or acquired by Affiliates shall be aggregated together for the purpose of determining the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308" w:name="page309"/>
    <w:bookmarkEnd w:id="308"/>
    <w:p>
      <w:pPr>
        <w:jc w:val="both"/>
        <w:spacing w:after="0" w:line="263" w:lineRule="auto"/>
        <w:rPr>
          <w:sz w:val="20"/>
          <w:szCs w:val="20"/>
          <w:color w:val="auto"/>
        </w:rPr>
      </w:pPr>
      <w:r>
        <w:rPr>
          <w:rFonts w:ascii="Arial" w:cs="Arial" w:eastAsia="Arial" w:hAnsi="Arial"/>
          <w:sz w:val="22"/>
          <w:szCs w:val="22"/>
          <w:color w:val="auto"/>
        </w:rPr>
        <w:t>of any rights under this Agreement and such Affiliated persons may apportion such rights as among themselves in any manner they deem appropriate.</w:t>
      </w:r>
    </w:p>
    <w:p>
      <w:pPr>
        <w:spacing w:after="0" w:line="12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Additional Investors</w:t>
      </w:r>
      <w:r>
        <w:rPr>
          <w:rFonts w:ascii="Arial" w:cs="Arial" w:eastAsia="Arial" w:hAnsi="Arial"/>
          <w:sz w:val="21"/>
          <w:szCs w:val="21"/>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2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3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Dispute Resolution</w:t>
      </w:r>
      <w:r>
        <w:rPr>
          <w:rFonts w:ascii="Arial" w:cs="Arial" w:eastAsia="Arial" w:hAnsi="Arial"/>
          <w:sz w:val="19"/>
          <w:szCs w:val="19"/>
          <w:color w:val="auto"/>
        </w:rPr>
        <w:t>. The parties (a)hereby irrevocably and unconditionally submit to the jurisdiction of the state courts of the State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the State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309" w:name="page310"/>
    <w:bookmarkEnd w:id="309"/>
    <w:p>
      <w:pPr>
        <w:spacing w:after="0"/>
        <w:rPr>
          <w:sz w:val="20"/>
          <w:szCs w:val="20"/>
          <w:color w:val="auto"/>
        </w:rPr>
      </w:pPr>
      <w:r>
        <w:rPr>
          <w:rFonts w:ascii="Arial" w:cs="Arial" w:eastAsia="Arial" w:hAnsi="Arial"/>
          <w:sz w:val="22"/>
          <w:szCs w:val="22"/>
          <w:color w:val="auto"/>
        </w:rPr>
        <w:t>VOLUNTARILY WAIVES ITS JURY TRIAL RIGHTS FOLLOWING CONSULTATION WITH LEGAL COUNSEL.</w:t>
      </w:r>
    </w:p>
    <w:p>
      <w:pPr>
        <w:spacing w:after="0" w:line="16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prevailing party shall be entitled to reasonable attorney’s fees, costs and necessary disbursements in addition to any other relief to which such party may be entitled.</w:t>
      </w:r>
    </w:p>
    <w:p>
      <w:pPr>
        <w:spacing w:after="0" w:line="121"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Delays or Omissions</w:t>
      </w:r>
      <w:r>
        <w:rPr>
          <w:rFonts w:ascii="Arial" w:cs="Arial" w:eastAsia="Arial" w:hAnsi="Arial"/>
          <w:sz w:val="19"/>
          <w:szCs w:val="19"/>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28" w:right="339" w:bottom="1440" w:gutter="0" w:footer="0" w:header="0"/>
        </w:sectPr>
      </w:pPr>
    </w:p>
    <w:bookmarkStart w:id="310" w:name="page311"/>
    <w:bookmarkEnd w:id="310"/>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COMPANY:</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SEER, INC.</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Omid Farokhzad</w:t>
            </w:r>
          </w:p>
        </w:tc>
      </w:tr>
      <w:tr>
        <w:trPr>
          <w:trHeight w:val="442"/>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Omid Farokhzad</w:t>
            </w:r>
          </w:p>
        </w:tc>
      </w:tr>
      <w:tr>
        <w:trPr>
          <w:trHeight w:val="473"/>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11" w:name="page312"/>
    <w:bookmarkEnd w:id="311"/>
    <w:p>
      <w:pPr>
        <w:jc w:val="center"/>
        <w:ind w:left="1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AJU LIFE SCIENCES 3.0 VENTURE FUND</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 AJU IB INVESTMENT</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Ji-Won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24130</wp:posOffset>
            </wp:positionV>
            <wp:extent cx="3282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Ji-Won Kim</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32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AJU GOOD VENTURE FUND</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 AJU IB INVESTMENT</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Ji-Won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24130</wp:posOffset>
            </wp:positionV>
            <wp:extent cx="3282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Ji-Won Kim</w:t>
      </w:r>
    </w:p>
    <w:p>
      <w:pPr>
        <w:spacing w:after="0" w:line="220" w:lineRule="exact"/>
        <w:rPr>
          <w:sz w:val="20"/>
          <w:szCs w:val="20"/>
          <w:color w:val="auto"/>
        </w:rPr>
      </w:pPr>
    </w:p>
    <w:p>
      <w:pPr>
        <w:ind w:left="402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40"/>
          </w:cols>
          <w:pgMar w:left="1440" w:top="1428" w:right="1419" w:bottom="1440" w:gutter="0" w:footer="0" w:header="0"/>
        </w:sectPr>
      </w:pPr>
    </w:p>
    <w:bookmarkStart w:id="312" w:name="page313"/>
    <w:bookmarkEnd w:id="312"/>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AMOON 2 FUND LIMITED PARTNERSHIP</w:t>
      </w:r>
    </w:p>
    <w:p>
      <w:pPr>
        <w:spacing w:after="0" w:line="220" w:lineRule="exact"/>
        <w:rPr>
          <w:sz w:val="20"/>
          <w:szCs w:val="20"/>
          <w:color w:val="auto"/>
        </w:rPr>
      </w:pPr>
    </w:p>
    <w:tbl>
      <w:tblPr>
        <w:tblLayout w:type="fixed"/>
        <w:tblInd w:w="4040" w:type="dxa"/>
        <w:tblCellMar>
          <w:top w:w="0" w:type="dxa"/>
          <w:left w:w="0" w:type="dxa"/>
          <w:bottom w:w="0" w:type="dxa"/>
          <w:right w:w="0" w:type="dxa"/>
        </w:tblCellMar>
      </w:tblPr>
      <w:tr>
        <w:trPr>
          <w:trHeight w:val="257"/>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gridSpan w:val="2"/>
          </w:tcPr>
          <w:p>
            <w:pPr>
              <w:ind w:left="20"/>
              <w:spacing w:after="0"/>
              <w:rPr>
                <w:sz w:val="20"/>
                <w:szCs w:val="20"/>
                <w:color w:val="auto"/>
              </w:rPr>
            </w:pPr>
            <w:r>
              <w:rPr>
                <w:rFonts w:ascii="Arial" w:cs="Arial" w:eastAsia="Arial" w:hAnsi="Arial"/>
                <w:sz w:val="22"/>
                <w:szCs w:val="22"/>
                <w:color w:val="auto"/>
              </w:rPr>
              <w:t>aMoon 2 Fund G.P. Limited Partnership</w:t>
            </w: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29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Pr>
          <w:p>
            <w:pPr>
              <w:ind w:left="20"/>
              <w:spacing w:after="0"/>
              <w:rPr>
                <w:sz w:val="20"/>
                <w:szCs w:val="20"/>
                <w:color w:val="auto"/>
              </w:rPr>
            </w:pPr>
            <w:r>
              <w:rPr>
                <w:rFonts w:ascii="Arial" w:cs="Arial" w:eastAsia="Arial" w:hAnsi="Arial"/>
                <w:sz w:val="22"/>
                <w:szCs w:val="22"/>
                <w:color w:val="auto"/>
                <w:w w:val="93"/>
              </w:rPr>
              <w:t>aMoon General Partner Ltd.</w:t>
            </w:r>
          </w:p>
        </w:tc>
        <w:tc>
          <w:tcPr>
            <w:tcW w:w="2540" w:type="dxa"/>
            <w:vAlign w:val="bottom"/>
          </w:tcPr>
          <w:p>
            <w:pPr>
              <w:spacing w:after="0"/>
              <w:rPr>
                <w:sz w:val="24"/>
                <w:szCs w:val="24"/>
                <w:color w:val="auto"/>
              </w:rPr>
            </w:pP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48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Tomer Berkovitz</w:t>
            </w:r>
          </w:p>
        </w:tc>
        <w:tc>
          <w:tcPr>
            <w:tcW w:w="254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Yair Schindel</w:t>
            </w:r>
          </w:p>
        </w:tc>
      </w:tr>
      <w:tr>
        <w:trPr>
          <w:trHeight w:val="334"/>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2600" w:type="dxa"/>
            <w:vAlign w:val="bottom"/>
          </w:tcPr>
          <w:p>
            <w:pPr>
              <w:ind w:left="20"/>
              <w:spacing w:after="0"/>
              <w:rPr>
                <w:sz w:val="20"/>
                <w:szCs w:val="20"/>
                <w:color w:val="auto"/>
              </w:rPr>
            </w:pPr>
            <w:r>
              <w:rPr>
                <w:rFonts w:ascii="Arial" w:cs="Arial" w:eastAsia="Arial" w:hAnsi="Arial"/>
                <w:sz w:val="22"/>
                <w:szCs w:val="22"/>
                <w:color w:val="auto"/>
              </w:rPr>
              <w:t>Tomer Berkovitz</w:t>
            </w:r>
          </w:p>
        </w:tc>
        <w:tc>
          <w:tcPr>
            <w:tcW w:w="2540" w:type="dxa"/>
            <w:vAlign w:val="bottom"/>
          </w:tcPr>
          <w:p>
            <w:pPr>
              <w:ind w:left="160"/>
              <w:spacing w:after="0"/>
              <w:rPr>
                <w:sz w:val="20"/>
                <w:szCs w:val="20"/>
                <w:color w:val="auto"/>
              </w:rPr>
            </w:pPr>
            <w:r>
              <w:rPr>
                <w:rFonts w:ascii="Arial" w:cs="Arial" w:eastAsia="Arial" w:hAnsi="Arial"/>
                <w:sz w:val="22"/>
                <w:szCs w:val="22"/>
                <w:color w:val="auto"/>
              </w:rPr>
              <w:t>Yair Schindel</w:t>
            </w:r>
          </w:p>
        </w:tc>
      </w:tr>
      <w:tr>
        <w:trPr>
          <w:trHeight w:val="365"/>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tcPr>
          <w:p>
            <w:pPr>
              <w:ind w:left="20"/>
              <w:spacing w:after="0"/>
              <w:rPr>
                <w:sz w:val="20"/>
                <w:szCs w:val="20"/>
                <w:color w:val="auto"/>
              </w:rPr>
            </w:pPr>
            <w:r>
              <w:rPr>
                <w:rFonts w:ascii="Arial" w:cs="Arial" w:eastAsia="Arial" w:hAnsi="Arial"/>
                <w:sz w:val="22"/>
                <w:szCs w:val="22"/>
                <w:color w:val="auto"/>
              </w:rPr>
              <w:t>Partner &amp; CFO</w:t>
            </w:r>
          </w:p>
        </w:tc>
        <w:tc>
          <w:tcPr>
            <w:tcW w:w="2540" w:type="dxa"/>
            <w:vAlign w:val="bottom"/>
          </w:tcPr>
          <w:p>
            <w:pPr>
              <w:ind w:left="160"/>
              <w:spacing w:after="0"/>
              <w:rPr>
                <w:sz w:val="20"/>
                <w:szCs w:val="20"/>
                <w:color w:val="auto"/>
              </w:rPr>
            </w:pPr>
            <w:r>
              <w:rPr>
                <w:rFonts w:ascii="Arial" w:cs="Arial" w:eastAsia="Arial" w:hAnsi="Arial"/>
                <w:sz w:val="22"/>
                <w:szCs w:val="22"/>
                <w:color w:val="auto"/>
              </w:rPr>
              <w:t>Managing Partner</w:t>
            </w:r>
          </w:p>
        </w:tc>
      </w:tr>
      <w:tr>
        <w:trPr>
          <w:trHeight w:val="580"/>
        </w:trPr>
        <w:tc>
          <w:tcPr>
            <w:tcW w:w="6080" w:type="dxa"/>
            <w:vAlign w:val="bottom"/>
            <w:gridSpan w:val="3"/>
          </w:tcPr>
          <w:p>
            <w:pPr>
              <w:spacing w:after="0"/>
              <w:rPr>
                <w:sz w:val="20"/>
                <w:szCs w:val="20"/>
                <w:color w:val="auto"/>
              </w:rPr>
            </w:pPr>
            <w:r>
              <w:rPr>
                <w:rFonts w:ascii="Arial" w:cs="Arial" w:eastAsia="Arial" w:hAnsi="Arial"/>
                <w:sz w:val="22"/>
                <w:szCs w:val="22"/>
                <w:color w:val="auto"/>
              </w:rPr>
              <w:t>AMOON CO-INVESTMENT SPV I, LIMITED</w:t>
            </w:r>
          </w:p>
        </w:tc>
      </w:tr>
      <w:tr>
        <w:trPr>
          <w:trHeight w:val="311"/>
        </w:trPr>
        <w:tc>
          <w:tcPr>
            <w:tcW w:w="3540" w:type="dxa"/>
            <w:vAlign w:val="bottom"/>
            <w:gridSpan w:val="2"/>
          </w:tcPr>
          <w:p>
            <w:pPr>
              <w:spacing w:after="0"/>
              <w:rPr>
                <w:sz w:val="20"/>
                <w:szCs w:val="20"/>
                <w:color w:val="auto"/>
              </w:rPr>
            </w:pPr>
            <w:r>
              <w:rPr>
                <w:rFonts w:ascii="Arial" w:cs="Arial" w:eastAsia="Arial" w:hAnsi="Arial"/>
                <w:sz w:val="22"/>
                <w:szCs w:val="22"/>
                <w:color w:val="auto"/>
              </w:rPr>
              <w:t>PARTNERSHIP</w:t>
            </w:r>
          </w:p>
        </w:tc>
        <w:tc>
          <w:tcPr>
            <w:tcW w:w="2540" w:type="dxa"/>
            <w:vAlign w:val="bottom"/>
          </w:tcPr>
          <w:p>
            <w:pPr>
              <w:spacing w:after="0"/>
              <w:rPr>
                <w:sz w:val="24"/>
                <w:szCs w:val="24"/>
                <w:color w:val="auto"/>
              </w:rPr>
            </w:pPr>
          </w:p>
        </w:tc>
      </w:tr>
      <w:tr>
        <w:trPr>
          <w:trHeight w:val="45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gridSpan w:val="2"/>
          </w:tcPr>
          <w:p>
            <w:pPr>
              <w:ind w:left="20"/>
              <w:spacing w:after="0"/>
              <w:rPr>
                <w:sz w:val="20"/>
                <w:szCs w:val="20"/>
                <w:color w:val="auto"/>
              </w:rPr>
            </w:pPr>
            <w:r>
              <w:rPr>
                <w:rFonts w:ascii="Arial" w:cs="Arial" w:eastAsia="Arial" w:hAnsi="Arial"/>
                <w:sz w:val="22"/>
                <w:szCs w:val="22"/>
                <w:color w:val="auto"/>
              </w:rPr>
              <w:t>aMoon 2 Fund G.P. Limited Partnership</w:t>
            </w: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29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Pr>
          <w:p>
            <w:pPr>
              <w:ind w:left="20"/>
              <w:spacing w:after="0"/>
              <w:rPr>
                <w:sz w:val="20"/>
                <w:szCs w:val="20"/>
                <w:color w:val="auto"/>
              </w:rPr>
            </w:pPr>
            <w:r>
              <w:rPr>
                <w:rFonts w:ascii="Arial" w:cs="Arial" w:eastAsia="Arial" w:hAnsi="Arial"/>
                <w:sz w:val="22"/>
                <w:szCs w:val="22"/>
                <w:color w:val="auto"/>
                <w:w w:val="93"/>
              </w:rPr>
              <w:t>aMoon General Partner Ltd.</w:t>
            </w:r>
          </w:p>
        </w:tc>
        <w:tc>
          <w:tcPr>
            <w:tcW w:w="2540" w:type="dxa"/>
            <w:vAlign w:val="bottom"/>
          </w:tcPr>
          <w:p>
            <w:pPr>
              <w:spacing w:after="0"/>
              <w:rPr>
                <w:sz w:val="24"/>
                <w:szCs w:val="24"/>
                <w:color w:val="auto"/>
              </w:rPr>
            </w:pPr>
          </w:p>
        </w:tc>
      </w:tr>
      <w:tr>
        <w:trPr>
          <w:trHeight w:val="274"/>
        </w:trPr>
        <w:tc>
          <w:tcPr>
            <w:tcW w:w="940" w:type="dxa"/>
            <w:vAlign w:val="bottom"/>
          </w:tcPr>
          <w:p>
            <w:pPr>
              <w:spacing w:after="0"/>
              <w:rPr>
                <w:sz w:val="23"/>
                <w:szCs w:val="23"/>
                <w:color w:val="auto"/>
              </w:rPr>
            </w:pPr>
          </w:p>
        </w:tc>
        <w:tc>
          <w:tcPr>
            <w:tcW w:w="2600" w:type="dxa"/>
            <w:vAlign w:val="bottom"/>
          </w:tcPr>
          <w:p>
            <w:pPr>
              <w:ind w:left="20"/>
              <w:spacing w:after="0"/>
              <w:rPr>
                <w:sz w:val="20"/>
                <w:szCs w:val="20"/>
                <w:color w:val="auto"/>
              </w:rPr>
            </w:pPr>
            <w:r>
              <w:rPr>
                <w:rFonts w:ascii="Arial" w:cs="Arial" w:eastAsia="Arial" w:hAnsi="Arial"/>
                <w:sz w:val="22"/>
                <w:szCs w:val="22"/>
                <w:color w:val="auto"/>
              </w:rPr>
              <w:t>Its general partner</w:t>
            </w:r>
          </w:p>
        </w:tc>
        <w:tc>
          <w:tcPr>
            <w:tcW w:w="2540" w:type="dxa"/>
            <w:vAlign w:val="bottom"/>
          </w:tcPr>
          <w:p>
            <w:pPr>
              <w:spacing w:after="0"/>
              <w:rPr>
                <w:sz w:val="23"/>
                <w:szCs w:val="23"/>
                <w:color w:val="auto"/>
              </w:rPr>
            </w:pPr>
          </w:p>
        </w:tc>
      </w:tr>
      <w:tr>
        <w:trPr>
          <w:trHeight w:val="48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Tomer Berkovitz</w:t>
            </w:r>
          </w:p>
        </w:tc>
        <w:tc>
          <w:tcPr>
            <w:tcW w:w="254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Yair Schindel</w:t>
            </w:r>
          </w:p>
        </w:tc>
      </w:tr>
      <w:tr>
        <w:trPr>
          <w:trHeight w:val="334"/>
        </w:trPr>
        <w:tc>
          <w:tcPr>
            <w:tcW w:w="940" w:type="dxa"/>
            <w:vAlign w:val="bottom"/>
          </w:tcPr>
          <w:p>
            <w:pPr>
              <w:spacing w:after="0"/>
              <w:rPr>
                <w:sz w:val="20"/>
                <w:szCs w:val="20"/>
                <w:color w:val="auto"/>
              </w:rPr>
            </w:pPr>
            <w:r>
              <w:rPr>
                <w:rFonts w:ascii="Arial" w:cs="Arial" w:eastAsia="Arial" w:hAnsi="Arial"/>
                <w:sz w:val="22"/>
                <w:szCs w:val="22"/>
                <w:color w:val="auto"/>
              </w:rPr>
              <w:t>Name:</w:t>
            </w:r>
          </w:p>
        </w:tc>
        <w:tc>
          <w:tcPr>
            <w:tcW w:w="2600" w:type="dxa"/>
            <w:vAlign w:val="bottom"/>
          </w:tcPr>
          <w:p>
            <w:pPr>
              <w:ind w:left="20"/>
              <w:spacing w:after="0"/>
              <w:rPr>
                <w:sz w:val="20"/>
                <w:szCs w:val="20"/>
                <w:color w:val="auto"/>
              </w:rPr>
            </w:pPr>
            <w:r>
              <w:rPr>
                <w:rFonts w:ascii="Arial" w:cs="Arial" w:eastAsia="Arial" w:hAnsi="Arial"/>
                <w:sz w:val="22"/>
                <w:szCs w:val="22"/>
                <w:color w:val="auto"/>
              </w:rPr>
              <w:t>Tomer Berkovitz</w:t>
            </w:r>
          </w:p>
        </w:tc>
        <w:tc>
          <w:tcPr>
            <w:tcW w:w="2540" w:type="dxa"/>
            <w:vAlign w:val="bottom"/>
          </w:tcPr>
          <w:p>
            <w:pPr>
              <w:ind w:left="160"/>
              <w:spacing w:after="0"/>
              <w:rPr>
                <w:sz w:val="20"/>
                <w:szCs w:val="20"/>
                <w:color w:val="auto"/>
              </w:rPr>
            </w:pPr>
            <w:r>
              <w:rPr>
                <w:rFonts w:ascii="Arial" w:cs="Arial" w:eastAsia="Arial" w:hAnsi="Arial"/>
                <w:sz w:val="22"/>
                <w:szCs w:val="22"/>
                <w:color w:val="auto"/>
              </w:rPr>
              <w:t>Yair Schindel</w:t>
            </w:r>
          </w:p>
        </w:tc>
      </w:tr>
      <w:tr>
        <w:trPr>
          <w:trHeight w:val="365"/>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2600" w:type="dxa"/>
            <w:vAlign w:val="bottom"/>
          </w:tcPr>
          <w:p>
            <w:pPr>
              <w:ind w:left="20"/>
              <w:spacing w:after="0"/>
              <w:rPr>
                <w:sz w:val="20"/>
                <w:szCs w:val="20"/>
                <w:color w:val="auto"/>
              </w:rPr>
            </w:pPr>
            <w:r>
              <w:rPr>
                <w:rFonts w:ascii="Arial" w:cs="Arial" w:eastAsia="Arial" w:hAnsi="Arial"/>
                <w:sz w:val="22"/>
                <w:szCs w:val="22"/>
                <w:color w:val="auto"/>
              </w:rPr>
              <w:t>Partner &amp; CFO</w:t>
            </w:r>
          </w:p>
        </w:tc>
        <w:tc>
          <w:tcPr>
            <w:tcW w:w="2540" w:type="dxa"/>
            <w:vAlign w:val="bottom"/>
          </w:tcPr>
          <w:p>
            <w:pPr>
              <w:ind w:left="160"/>
              <w:spacing w:after="0"/>
              <w:rPr>
                <w:sz w:val="20"/>
                <w:szCs w:val="20"/>
                <w:color w:val="auto"/>
              </w:rPr>
            </w:pPr>
            <w:r>
              <w:rPr>
                <w:rFonts w:ascii="Arial" w:cs="Arial" w:eastAsia="Arial" w:hAnsi="Arial"/>
                <w:sz w:val="22"/>
                <w:szCs w:val="22"/>
                <w:color w:val="auto"/>
              </w:rPr>
              <w:t>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13" w:name="page314"/>
    <w:bookmarkEnd w:id="313"/>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EMERSON COLLECTIVE INVESTMENTS,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LLC</w:t>
      </w:r>
    </w:p>
    <w:p>
      <w:pPr>
        <w:spacing w:after="0" w:line="20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Steve McDermid</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Steve McDermid</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14" w:name="page315"/>
    <w:bookmarkEnd w:id="314"/>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22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MT. VERNON STREET TRUST: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FIDELTY GROWTH COMPANY FUND</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MT. VERNON STREET TRUST: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FIDELTY SERIES GROWTH COMPANY FUND</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FIDELITY GROWTH COMPANY</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COMMINGLED POOL</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56"/>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Fidelity Management Trust Company, as</w:t>
            </w:r>
          </w:p>
        </w:tc>
      </w:tr>
      <w:tr>
        <w:trPr>
          <w:trHeight w:val="274"/>
        </w:trPr>
        <w:tc>
          <w:tcPr>
            <w:tcW w:w="92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22"/>
                <w:szCs w:val="22"/>
                <w:color w:val="auto"/>
              </w:rPr>
              <w:t>Trustee</w:t>
            </w:r>
          </w:p>
        </w:tc>
      </w:tr>
      <w:tr>
        <w:trPr>
          <w:trHeight w:val="37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MT. VERNON STREET TRUST: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FIDELTY GROWTH COMPANY K6 FUND</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5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FIDELITY SELECT PORTFOLIOS: SELECT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MEDICAL TECHNOLOGY AND DEVICES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PORTFOLIO</w:t>
      </w:r>
    </w:p>
    <w:p>
      <w:pPr>
        <w:spacing w:after="0" w:line="112"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type w:val="continuous"/>
        </w:sectPr>
      </w:pPr>
    </w:p>
    <w:bookmarkStart w:id="315" w:name="page316"/>
    <w:bookmarkEnd w:id="315"/>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INVESTORS:</w:t>
      </w:r>
    </w:p>
    <w:p>
      <w:pPr>
        <w:spacing w:after="0" w:line="200" w:lineRule="exact"/>
        <w:rPr>
          <w:sz w:val="20"/>
          <w:szCs w:val="20"/>
          <w:color w:val="auto"/>
        </w:rPr>
      </w:pPr>
    </w:p>
    <w:p>
      <w:pPr>
        <w:spacing w:after="0" w:line="39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SELECT PORTFOLIOS: HEALTH CARE</w:t>
      </w:r>
    </w:p>
    <w:p>
      <w:pPr>
        <w:spacing w:after="0" w:line="5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PORTFOLIO</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0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ADVISOR SERIES VII: FIDELITY</w:t>
      </w:r>
    </w:p>
    <w:p>
      <w:pPr>
        <w:spacing w:after="0" w:line="5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ADVISOR HEALTH CARE FUND</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0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VARIABLE INSURANCE PRODUCTS FUND IV:</w:t>
      </w:r>
    </w:p>
    <w:p>
      <w:pPr>
        <w:spacing w:after="0" w:line="5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HEALTH CARE PORTFOLIO</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16" w:name="page317"/>
    <w:bookmarkEnd w:id="316"/>
    <w:p>
      <w:pPr>
        <w:ind w:left="180"/>
        <w:spacing w:after="0"/>
        <w:rPr>
          <w:sz w:val="20"/>
          <w:szCs w:val="20"/>
          <w:color w:val="auto"/>
        </w:rPr>
      </w:pPr>
      <w:r>
        <w:rPr>
          <w:rFonts w:ascii="Arial" w:cs="Arial" w:eastAsia="Arial" w:hAnsi="Arial"/>
          <w:sz w:val="22"/>
          <w:szCs w:val="22"/>
          <w:color w:val="auto"/>
        </w:rPr>
        <w:t>IN WITNESS WHEREOF, the parties have executed this Agreement as of the date first written above.</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INVESTORS:</w:t>
      </w:r>
    </w:p>
    <w:p>
      <w:pPr>
        <w:spacing w:after="0" w:line="200" w:lineRule="exact"/>
        <w:rPr>
          <w:sz w:val="20"/>
          <w:szCs w:val="20"/>
          <w:color w:val="auto"/>
        </w:rPr>
      </w:pPr>
    </w:p>
    <w:p>
      <w:pPr>
        <w:spacing w:after="0" w:line="398"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CENTRAL INVESTMENT PORTFOLIOS</w:t>
      </w:r>
    </w:p>
    <w:p>
      <w:pPr>
        <w:spacing w:after="0" w:line="4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LLC: FIDELITY U.S. EQUITY CENTRAL FUND</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30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FIDELITY SELECT PORTFOLIOS:</w:t>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BIOTECHNOLOGY PORTFOLIO</w:t>
      </w:r>
    </w:p>
    <w:p>
      <w:pPr>
        <w:spacing w:after="0" w:line="220" w:lineRule="exact"/>
        <w:rPr>
          <w:sz w:val="20"/>
          <w:szCs w:val="20"/>
          <w:color w:val="auto"/>
        </w:rPr>
      </w:pPr>
    </w:p>
    <w:tbl>
      <w:tblPr>
        <w:tblLayout w:type="fixed"/>
        <w:tblInd w:w="360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 Maher</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00" w:type="dxa"/>
            <w:vAlign w:val="bottom"/>
          </w:tcPr>
          <w:p>
            <w:pPr>
              <w:ind w:left="20"/>
              <w:spacing w:after="0"/>
              <w:rPr>
                <w:sz w:val="20"/>
                <w:szCs w:val="20"/>
                <w:color w:val="auto"/>
              </w:rPr>
            </w:pPr>
            <w:r>
              <w:rPr>
                <w:rFonts w:ascii="Arial" w:cs="Arial" w:eastAsia="Arial" w:hAnsi="Arial"/>
                <w:sz w:val="22"/>
                <w:szCs w:val="22"/>
                <w:color w:val="auto"/>
              </w:rPr>
              <w:t>Chris Maher</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17" w:name="page318"/>
    <w:bookmarkEnd w:id="317"/>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INVUS PUBLIC EQUITIES, L.P.</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8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Ray Debbane</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Raymond Debbane</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President of the General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18" w:name="page319"/>
    <w:bookmarkEnd w:id="318"/>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MAVERICK VENTURES INVESTMENT</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FUND, L.P.</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Ventures, LLC</w:t>
            </w:r>
          </w:p>
        </w:tc>
      </w:tr>
      <w:tr>
        <w:trPr>
          <w:trHeight w:val="310"/>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General Partner</w:t>
            </w:r>
          </w:p>
        </w:tc>
      </w:tr>
      <w:tr>
        <w:trPr>
          <w:trHeight w:val="47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Advisors, L.P.</w:t>
            </w:r>
          </w:p>
        </w:tc>
      </w:tr>
      <w:tr>
        <w:trPr>
          <w:trHeight w:val="311"/>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Manager</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Ginessa Avila</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Ginessa Avila</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r>
        <w:trPr>
          <w:trHeight w:val="581"/>
        </w:trPr>
        <w:tc>
          <w:tcPr>
            <w:tcW w:w="6100" w:type="dxa"/>
            <w:vAlign w:val="bottom"/>
            <w:gridSpan w:val="2"/>
          </w:tcPr>
          <w:p>
            <w:pPr>
              <w:spacing w:after="0"/>
              <w:rPr>
                <w:sz w:val="20"/>
                <w:szCs w:val="20"/>
                <w:color w:val="auto"/>
              </w:rPr>
            </w:pPr>
            <w:r>
              <w:rPr>
                <w:rFonts w:ascii="Arial" w:cs="Arial" w:eastAsia="Arial" w:hAnsi="Arial"/>
                <w:sz w:val="22"/>
                <w:szCs w:val="22"/>
                <w:color w:val="auto"/>
              </w:rPr>
              <w:t>MAVERICK ADVISORS FUND, L.P.</w:t>
            </w:r>
          </w:p>
        </w:tc>
      </w:tr>
      <w:tr>
        <w:trPr>
          <w:trHeight w:val="47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Ventures, LLC</w:t>
            </w:r>
          </w:p>
        </w:tc>
      </w:tr>
      <w:tr>
        <w:trPr>
          <w:trHeight w:val="310"/>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General Partner</w:t>
            </w:r>
          </w:p>
        </w:tc>
      </w:tr>
      <w:tr>
        <w:trPr>
          <w:trHeight w:val="47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Maverick Capital Advisors, L.P.</w:t>
            </w:r>
          </w:p>
        </w:tc>
      </w:tr>
      <w:tr>
        <w:trPr>
          <w:trHeight w:val="310"/>
        </w:trPr>
        <w:tc>
          <w:tcPr>
            <w:tcW w:w="920" w:type="dxa"/>
            <w:vAlign w:val="bottom"/>
          </w:tcPr>
          <w:p>
            <w:pPr>
              <w:spacing w:after="0"/>
              <w:rPr>
                <w:sz w:val="20"/>
                <w:szCs w:val="20"/>
                <w:color w:val="auto"/>
              </w:rPr>
            </w:pPr>
            <w:r>
              <w:rPr>
                <w:rFonts w:ascii="Arial" w:cs="Arial" w:eastAsia="Arial" w:hAnsi="Arial"/>
                <w:sz w:val="22"/>
                <w:szCs w:val="22"/>
                <w:color w:val="auto"/>
              </w:rPr>
              <w:t>Its:</w:t>
            </w:r>
          </w:p>
        </w:tc>
        <w:tc>
          <w:tcPr>
            <w:tcW w:w="5180" w:type="dxa"/>
            <w:vAlign w:val="bottom"/>
          </w:tcPr>
          <w:p>
            <w:pPr>
              <w:ind w:left="20"/>
              <w:spacing w:after="0"/>
              <w:rPr>
                <w:sz w:val="20"/>
                <w:szCs w:val="20"/>
                <w:color w:val="auto"/>
              </w:rPr>
            </w:pPr>
            <w:r>
              <w:rPr>
                <w:rFonts w:ascii="Arial" w:cs="Arial" w:eastAsia="Arial" w:hAnsi="Arial"/>
                <w:sz w:val="22"/>
                <w:szCs w:val="22"/>
                <w:color w:val="auto"/>
              </w:rPr>
              <w:t>Manager</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Ginessa Avila</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Ginessa Avila</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19" w:name="page320"/>
    <w:bookmarkEnd w:id="319"/>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SVF II AIV-1 (DE) L.P.</w:t>
      </w:r>
    </w:p>
    <w:p>
      <w:pPr>
        <w:spacing w:after="0" w:line="334"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SB Investment Advisers (UK) Limited,</w:t>
            </w:r>
          </w:p>
        </w:tc>
      </w:tr>
      <w:tr>
        <w:trPr>
          <w:trHeight w:val="310"/>
        </w:trPr>
        <w:tc>
          <w:tcPr>
            <w:tcW w:w="6100" w:type="dxa"/>
            <w:vAlign w:val="bottom"/>
            <w:gridSpan w:val="2"/>
          </w:tcPr>
          <w:p>
            <w:pPr>
              <w:spacing w:after="0"/>
              <w:rPr>
                <w:sz w:val="20"/>
                <w:szCs w:val="20"/>
                <w:color w:val="auto"/>
              </w:rPr>
            </w:pPr>
            <w:r>
              <w:rPr>
                <w:rFonts w:ascii="Arial" w:cs="Arial" w:eastAsia="Arial" w:hAnsi="Arial"/>
                <w:sz w:val="22"/>
                <w:szCs w:val="22"/>
                <w:color w:val="auto"/>
              </w:rPr>
              <w:t>acting as Manager of SVF II AIV-1 (DE) L.P.</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Ruwan Weerasekera</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Ruwan Weerasekera</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20" w:name="page321"/>
    <w:bookmarkEnd w:id="320"/>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 ROWE PRICE HEALTH SCIENCES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FUND, INC.</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TD MUTUAL FUNDS - TD HEALTH</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SCIENCES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VALIC COMPANY I - HEALTH SCIENCES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 ROWE PRICE HEALTH SCIENCES</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PORTFOLIO</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1"/>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21" w:name="page322"/>
    <w:bookmarkEnd w:id="321"/>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Small-Cap Value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Small-Cap Value Equity</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Equities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MassMutual Select Funds - MassMutual</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Select T. Rowe Price Small and Mid 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Blend Fund</w:t>
      </w:r>
    </w:p>
    <w:p>
      <w:pPr>
        <w:spacing w:after="0" w:line="11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1"/>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64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22" w:name="page323"/>
    <w:bookmarkEnd w:id="322"/>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Small-Cap Stock Fund, Inc.</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Institutional Small-Cap Stock</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Spectrum Conservative</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Allocation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Spectrum Moderate Allocation</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Spectrum Moderate Growth</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Allocation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Moderate Allocation Portfolio</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U.S. Small-Cap Stock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VALIC Company I - Small Cap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TD Mutual Funds — TD U.S. Small-Cap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Equity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Small - Cap Core Equity</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Minnesota Life Insurance Company</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Costco 401(k) Retirement Plan</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MassMutual Select Funds — MassMutual</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Select T. Rowe Price Small and Mid 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Blend Fund</w:t>
      </w:r>
    </w:p>
    <w:p>
      <w:pPr>
        <w:spacing w:after="0" w:line="11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0"/>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type w:val="continuous"/>
        </w:sectPr>
      </w:pPr>
    </w:p>
    <w:bookmarkStart w:id="323" w:name="page324"/>
    <w:bookmarkEnd w:id="323"/>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0"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New Horizons Fund, Inc.</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New Horizons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T. Rowe Price U.S. Equities Trust</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MassMutual Select Funds — MassMutual</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Select T. Rowe Price Small and Mid Cap</w:t>
      </w:r>
    </w:p>
    <w:p>
      <w:pPr>
        <w:spacing w:after="0" w:line="58"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Blend Fund</w:t>
      </w:r>
    </w:p>
    <w:p>
      <w:pPr>
        <w:spacing w:after="0" w:line="112"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New York City Deferred Compensation Plan</w:t>
      </w:r>
    </w:p>
    <w:p>
      <w:pPr>
        <w:spacing w:after="0" w:line="11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Each account, severally not jointly</w:t>
      </w:r>
    </w:p>
    <w:p>
      <w:pPr>
        <w:spacing w:after="0" w:line="220"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Pr>
          <w:p>
            <w:pPr>
              <w:ind w:left="20"/>
              <w:spacing w:after="0"/>
              <w:rPr>
                <w:sz w:val="20"/>
                <w:szCs w:val="20"/>
                <w:color w:val="auto"/>
              </w:rPr>
            </w:pPr>
            <w:r>
              <w:rPr>
                <w:rFonts w:ascii="Arial" w:cs="Arial" w:eastAsia="Arial" w:hAnsi="Arial"/>
                <w:sz w:val="22"/>
                <w:szCs w:val="22"/>
                <w:color w:val="auto"/>
              </w:rPr>
              <w:t>T. Rowe Price Associates, Inc., Investment</w:t>
            </w:r>
          </w:p>
        </w:tc>
      </w:tr>
      <w:tr>
        <w:trPr>
          <w:trHeight w:val="311"/>
        </w:trPr>
        <w:tc>
          <w:tcPr>
            <w:tcW w:w="6100" w:type="dxa"/>
            <w:vAlign w:val="bottom"/>
            <w:gridSpan w:val="2"/>
          </w:tcPr>
          <w:p>
            <w:pPr>
              <w:spacing w:after="0"/>
              <w:rPr>
                <w:sz w:val="20"/>
                <w:szCs w:val="20"/>
                <w:color w:val="auto"/>
              </w:rPr>
            </w:pPr>
            <w:r>
              <w:rPr>
                <w:rFonts w:ascii="Arial" w:cs="Arial" w:eastAsia="Arial" w:hAnsi="Arial"/>
                <w:sz w:val="22"/>
                <w:szCs w:val="22"/>
                <w:color w:val="auto"/>
              </w:rPr>
              <w:t>Adviser or Subadviser, as applicable</w:t>
            </w:r>
          </w:p>
        </w:tc>
      </w:tr>
      <w:tr>
        <w:trPr>
          <w:trHeight w:val="483"/>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Andrew Baek</w:t>
            </w:r>
          </w:p>
        </w:tc>
      </w:tr>
      <w:tr>
        <w:trPr>
          <w:trHeight w:val="334"/>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180" w:type="dxa"/>
            <w:vAlign w:val="bottom"/>
          </w:tcPr>
          <w:p>
            <w:pPr>
              <w:ind w:left="20"/>
              <w:spacing w:after="0"/>
              <w:rPr>
                <w:sz w:val="20"/>
                <w:szCs w:val="20"/>
                <w:color w:val="auto"/>
              </w:rPr>
            </w:pPr>
            <w:r>
              <w:rPr>
                <w:rFonts w:ascii="Arial" w:cs="Arial" w:eastAsia="Arial" w:hAnsi="Arial"/>
                <w:sz w:val="22"/>
                <w:szCs w:val="22"/>
                <w:color w:val="auto"/>
              </w:rPr>
              <w:t>Andrew Baek</w:t>
            </w:r>
          </w:p>
        </w:tc>
      </w:tr>
      <w:tr>
        <w:trPr>
          <w:trHeight w:val="36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18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24" w:name="page325"/>
    <w:bookmarkEnd w:id="324"/>
    <w:p>
      <w:pPr>
        <w:jc w:val="center"/>
        <w:ind w:left="180" w:right="1080"/>
        <w:spacing w:after="0" w:line="468" w:lineRule="auto"/>
        <w:rPr>
          <w:sz w:val="20"/>
          <w:szCs w:val="20"/>
          <w:color w:val="auto"/>
        </w:rPr>
      </w:pPr>
      <w:r>
        <w:rPr>
          <w:rFonts w:ascii="Arial" w:cs="Arial" w:eastAsia="Arial" w:hAnsi="Arial"/>
          <w:sz w:val="22"/>
          <w:szCs w:val="22"/>
          <w:color w:val="auto"/>
        </w:rPr>
        <w:t>IN WITNESS WHEREOF, the parties have executed this Agreement as of the date first written above. INVESTORS:</w:t>
      </w:r>
    </w:p>
    <w:p>
      <w:pPr>
        <w:spacing w:after="0" w:line="33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WING TWO, L.P.</w:t>
      </w:r>
    </w:p>
    <w:p>
      <w:pPr>
        <w:spacing w:after="0" w:line="220"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for itself and as a nominee for</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Wing Principals Two, L.P. and</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Wing Strategic Partners Two, L.P.</w:t>
      </w:r>
    </w:p>
    <w:p>
      <w:pPr>
        <w:spacing w:after="0" w:line="328" w:lineRule="exact"/>
        <w:rPr>
          <w:sz w:val="20"/>
          <w:szCs w:val="20"/>
          <w:color w:val="auto"/>
        </w:rPr>
      </w:pPr>
    </w:p>
    <w:tbl>
      <w:tblPr>
        <w:tblLayout w:type="fixed"/>
        <w:tblInd w:w="4020" w:type="dxa"/>
        <w:tblCellMar>
          <w:top w:w="0" w:type="dxa"/>
          <w:left w:w="0" w:type="dxa"/>
          <w:bottom w:w="0" w:type="dxa"/>
          <w:right w:w="0" w:type="dxa"/>
        </w:tblCellMar>
      </w:tblP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Pr>
          <w:p>
            <w:pPr>
              <w:ind w:left="20"/>
              <w:spacing w:after="0"/>
              <w:rPr>
                <w:sz w:val="20"/>
                <w:szCs w:val="20"/>
                <w:color w:val="auto"/>
              </w:rPr>
            </w:pPr>
            <w:r>
              <w:rPr>
                <w:rFonts w:ascii="Arial" w:cs="Arial" w:eastAsia="Arial" w:hAnsi="Arial"/>
                <w:sz w:val="22"/>
                <w:szCs w:val="22"/>
                <w:color w:val="auto"/>
              </w:rPr>
              <w:t>Wing Ventures II, L.L.C.</w:t>
            </w:r>
          </w:p>
        </w:tc>
      </w:tr>
      <w:tr>
        <w:trPr>
          <w:trHeight w:val="364"/>
        </w:trPr>
        <w:tc>
          <w:tcPr>
            <w:tcW w:w="880" w:type="dxa"/>
            <w:vAlign w:val="bottom"/>
          </w:tcPr>
          <w:p>
            <w:pPr>
              <w:spacing w:after="0"/>
              <w:rPr>
                <w:sz w:val="20"/>
                <w:szCs w:val="20"/>
                <w:color w:val="auto"/>
              </w:rPr>
            </w:pPr>
            <w:r>
              <w:rPr>
                <w:rFonts w:ascii="Arial" w:cs="Arial" w:eastAsia="Arial" w:hAnsi="Arial"/>
                <w:sz w:val="22"/>
                <w:szCs w:val="22"/>
                <w:color w:val="auto"/>
              </w:rPr>
              <w:t>Its:</w:t>
            </w:r>
          </w:p>
        </w:tc>
        <w:tc>
          <w:tcPr>
            <w:tcW w:w="5220" w:type="dxa"/>
            <w:vAlign w:val="bottom"/>
          </w:tcPr>
          <w:p>
            <w:pPr>
              <w:ind w:left="20"/>
              <w:spacing w:after="0"/>
              <w:rPr>
                <w:sz w:val="20"/>
                <w:szCs w:val="20"/>
                <w:color w:val="auto"/>
              </w:rPr>
            </w:pPr>
            <w:r>
              <w:rPr>
                <w:rFonts w:ascii="Arial" w:cs="Arial" w:eastAsia="Arial" w:hAnsi="Arial"/>
                <w:sz w:val="22"/>
                <w:szCs w:val="22"/>
                <w:color w:val="auto"/>
              </w:rPr>
              <w:t>General Partner</w:t>
            </w:r>
          </w:p>
        </w:tc>
      </w:tr>
      <w:tr>
        <w:trPr>
          <w:trHeight w:val="48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Hilary Strain</w:t>
            </w:r>
          </w:p>
        </w:tc>
      </w:tr>
      <w:tr>
        <w:trPr>
          <w:trHeight w:val="334"/>
        </w:trPr>
        <w:tc>
          <w:tcPr>
            <w:tcW w:w="8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20"/>
              <w:spacing w:after="0"/>
              <w:rPr>
                <w:sz w:val="20"/>
                <w:szCs w:val="20"/>
                <w:color w:val="auto"/>
              </w:rPr>
            </w:pPr>
            <w:r>
              <w:rPr>
                <w:rFonts w:ascii="Arial" w:cs="Arial" w:eastAsia="Arial" w:hAnsi="Arial"/>
                <w:sz w:val="22"/>
                <w:szCs w:val="22"/>
                <w:color w:val="auto"/>
              </w:rPr>
              <w:t>Hilary Strain</w:t>
            </w:r>
          </w:p>
        </w:tc>
      </w:tr>
      <w:tr>
        <w:trPr>
          <w:trHeight w:val="36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1428" w:right="339" w:bottom="1440" w:gutter="0" w:footer="0" w:header="0"/>
        </w:sectPr>
      </w:pPr>
    </w:p>
    <w:bookmarkStart w:id="325" w:name="page326"/>
    <w:bookmarkEnd w:id="325"/>
    <w:p>
      <w:pPr>
        <w:jc w:val="center"/>
        <w:ind w:right="-1100"/>
        <w:spacing w:after="0"/>
        <w:rPr>
          <w:sz w:val="20"/>
          <w:szCs w:val="20"/>
          <w:color w:val="auto"/>
        </w:rPr>
      </w:pPr>
      <w:r>
        <w:rPr>
          <w:rFonts w:ascii="Arial" w:cs="Arial" w:eastAsia="Arial" w:hAnsi="Arial"/>
          <w:sz w:val="21"/>
          <w:szCs w:val="21"/>
          <w:b w:val="1"/>
          <w:bCs w:val="1"/>
          <w:color w:val="auto"/>
        </w:rPr>
        <w:t>SCHEDULE A</w:t>
      </w:r>
    </w:p>
    <w:p>
      <w:pPr>
        <w:spacing w:after="0" w:line="17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Investors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SVF II AIV-1 (DE)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SB Investment Advisers (UK)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Legal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69 Grosvenor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W1K 3JP, 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legal@softbank.com</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with a copy to:</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SB Investment Advisers (US) Inc.</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Attn: Legal</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 Circle Star Way, 3F</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San Carlos, CA 94070</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Fidelity Mt. Vernon Street Trust: Fidelity Growth Company Fund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BNY Mellon</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One BNY Mellon Center</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500 Grant Street AIM 151-2700</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Pittsburgh, Pa 15258</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Email: GCEAmericas@bnymellon.com</w:t>
      </w:r>
    </w:p>
    <w:p>
      <w:pPr>
        <w:spacing w:after="0" w:line="148" w:lineRule="exact"/>
        <w:rPr>
          <w:sz w:val="20"/>
          <w:szCs w:val="20"/>
          <w:color w:val="auto"/>
        </w:rPr>
      </w:pPr>
    </w:p>
    <w:p>
      <w:pPr>
        <w:ind w:right="3879"/>
        <w:spacing w:after="0" w:line="251" w:lineRule="auto"/>
        <w:rPr>
          <w:sz w:val="20"/>
          <w:szCs w:val="20"/>
          <w:color w:val="auto"/>
        </w:rPr>
      </w:pPr>
      <w:r>
        <w:rPr>
          <w:rFonts w:ascii="Arial" w:cs="Arial" w:eastAsia="Arial" w:hAnsi="Arial"/>
          <w:sz w:val="22"/>
          <w:szCs w:val="22"/>
          <w:color w:val="auto"/>
        </w:rPr>
        <w:t>Fidelity Mt. Vernon Street Trust: Fidelity Series Growth Company Fund Mag &amp; Co.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BBH.Fidelity.CA.Notifications@BBH.com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Fidelity Growth Company Commingled Pool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Mag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BBH.Fidelity.CA.Notifications@BBH.com</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Fidelity Mt. Vernon Street Trust: Fidelity Growth Company K6 Fund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BNY Mellon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One BNY Mellon Center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500 Grant Street AIM 151-2700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Pittsburgh, Pa 15258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GCEAmericas@bnymellon.com</w:t>
      </w:r>
    </w:p>
    <w:p>
      <w:pPr>
        <w:sectPr>
          <w:pgSz w:w="11900" w:h="16838" w:orient="portrait"/>
          <w:cols w:equalWidth="0" w:num="1">
            <w:col w:w="10139"/>
          </w:cols>
          <w:pgMar w:left="320" w:top="1422" w:right="1440" w:bottom="1440" w:gutter="0" w:footer="0" w:header="0"/>
        </w:sectPr>
      </w:pPr>
    </w:p>
    <w:bookmarkStart w:id="326" w:name="page327"/>
    <w:bookmarkEnd w:id="326"/>
    <w:p>
      <w:pPr>
        <w:ind w:right="3559"/>
        <w:spacing w:after="0" w:line="251" w:lineRule="auto"/>
        <w:rPr>
          <w:sz w:val="20"/>
          <w:szCs w:val="20"/>
          <w:color w:val="auto"/>
        </w:rPr>
      </w:pPr>
      <w:r>
        <w:rPr>
          <w:rFonts w:ascii="Arial" w:cs="Arial" w:eastAsia="Arial" w:hAnsi="Arial"/>
          <w:sz w:val="22"/>
          <w:szCs w:val="22"/>
          <w:color w:val="auto"/>
        </w:rPr>
        <w:t>Fidelity Select Portfolios: Select Medical Technology and Devices Portfolio Mag &amp; Co.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c/o Brown Brothers Harriman &amp; Co.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Corporate Actions /Vault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140 Broadway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BBH.Fidelity.CA.Notifications@BBH.com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Fidelity Select Portfolios: Health Care Portfolio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Fidelity Select Portfolios: Biotechnology Portfolio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Fidelity Advisor Series VII: Fidelity Advisor Health Care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Variable Insurance Products Fund IV: Health Care Portfolio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Fidelity Central Investment Portfolios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Fidelity U.S. Equity Central Fund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Aju Life Science 3.0 Venture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201 Teheran-ro,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Gangnam-gu, Seoul, Korea 06141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Aju Good Venture Fund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201 Teheran-ro, 5th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Gangnam-gu, Seoul, Korea 06141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aMoon 2 Fund,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aMoon Co-Investment SPV I, 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34 Yerushalaim Rd,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Beit Gamla, 6th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Ra’anana, 4350110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Israel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Invus Public Equities,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The Invus Group,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750 Lexington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Raymond Debbane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With a cc to: Philippe Amouyal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Emerson Collective Investments,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of Contact: Steve McDermid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 of Contact: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61239, Dept 1173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Palo Alto, CA 94306</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E-Mail Address: steve@emersoncollective.com, with a copy to legal@emersoncollective.com</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of Contact: Tina Rosado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 of Contact: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Rosewood Family Advisors LLP</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PO Box 61239</w:t>
      </w:r>
    </w:p>
    <w:p>
      <w:pPr>
        <w:sectPr>
          <w:pgSz w:w="11900" w:h="16838" w:orient="portrait"/>
          <w:cols w:equalWidth="0" w:num="1">
            <w:col w:w="10139"/>
          </w:cols>
          <w:pgMar w:left="320" w:top="1428" w:right="1440" w:bottom="1440" w:gutter="0" w:footer="0" w:header="0"/>
        </w:sectPr>
      </w:pPr>
    </w:p>
    <w:bookmarkStart w:id="327" w:name="page328"/>
    <w:bookmarkEnd w:id="327"/>
    <w:p>
      <w:pPr>
        <w:ind w:left="660"/>
        <w:spacing w:after="0"/>
        <w:rPr>
          <w:sz w:val="20"/>
          <w:szCs w:val="20"/>
          <w:color w:val="auto"/>
        </w:rPr>
      </w:pPr>
      <w:r>
        <w:rPr>
          <w:rFonts w:ascii="Arial" w:cs="Arial" w:eastAsia="Arial" w:hAnsi="Arial"/>
          <w:sz w:val="22"/>
          <w:szCs w:val="22"/>
          <w:color w:val="auto"/>
        </w:rPr>
        <w:t>Dept 1173</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Palo Alto, CA 94306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Number: 650-210-5118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Address: tina@rfallp.com with a copy to LAKFOS@rfallp.com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Maverick Advisors Fund,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Maverick Capital,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1900 N. Pearl Street, 20th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Maverick Ventures Investment Fund,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Maverick Capital,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1900 N. Pearl Street, 20th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 Rowe Price Health Sciences Fund,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TD Mutual Funds - TD Health Sciences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VALIC Company I - Health Sciences Fund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 Rowe Price Health Sciences Portfolio</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T. Rowe Price New Horizons Fund, Inc.</w:t>
      </w:r>
    </w:p>
    <w:p>
      <w:pPr>
        <w:ind w:left="20"/>
        <w:spacing w:after="0" w:line="238" w:lineRule="auto"/>
        <w:rPr>
          <w:sz w:val="20"/>
          <w:szCs w:val="20"/>
          <w:color w:val="auto"/>
        </w:rPr>
      </w:pPr>
      <w:r>
        <w:rPr>
          <w:rFonts w:ascii="Arial" w:cs="Arial" w:eastAsia="Arial" w:hAnsi="Arial"/>
          <w:sz w:val="22"/>
          <w:szCs w:val="22"/>
          <w:color w:val="auto"/>
        </w:rPr>
        <w:t>T. Rowe Price New Horizons Trust</w:t>
      </w:r>
    </w:p>
    <w:p>
      <w:pPr>
        <w:ind w:left="20"/>
        <w:spacing w:after="0" w:line="230" w:lineRule="auto"/>
        <w:rPr>
          <w:sz w:val="20"/>
          <w:szCs w:val="20"/>
          <w:color w:val="auto"/>
        </w:rPr>
      </w:pPr>
      <w:r>
        <w:rPr>
          <w:rFonts w:ascii="Arial" w:cs="Arial" w:eastAsia="Arial" w:hAnsi="Arial"/>
          <w:sz w:val="22"/>
          <w:szCs w:val="22"/>
          <w:color w:val="auto"/>
        </w:rPr>
        <w:t>T. Rowe Price U.S. Equities Trust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MassMutual Select Funds - MassMutual Select T. Rowe Price Small and Mid Cap Blend Fund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New York City Deferred Compensation Plan</w:t>
      </w:r>
    </w:p>
    <w:p>
      <w:pPr>
        <w:ind w:left="20"/>
        <w:spacing w:after="0" w:line="230" w:lineRule="auto"/>
        <w:rPr>
          <w:sz w:val="20"/>
          <w:szCs w:val="20"/>
          <w:color w:val="auto"/>
        </w:rPr>
      </w:pPr>
      <w:r>
        <w:rPr>
          <w:rFonts w:ascii="Arial" w:cs="Arial" w:eastAsia="Arial" w:hAnsi="Arial"/>
          <w:sz w:val="22"/>
          <w:szCs w:val="22"/>
          <w:color w:val="auto"/>
        </w:rPr>
        <w:t>T. Rowe Price Small-Cap Stock Fund, Inc.</w:t>
      </w:r>
    </w:p>
    <w:p>
      <w:pPr>
        <w:ind w:left="20"/>
        <w:spacing w:after="0" w:line="231" w:lineRule="auto"/>
        <w:rPr>
          <w:sz w:val="20"/>
          <w:szCs w:val="20"/>
          <w:color w:val="auto"/>
        </w:rPr>
      </w:pPr>
      <w:r>
        <w:rPr>
          <w:rFonts w:ascii="Arial" w:cs="Arial" w:eastAsia="Arial" w:hAnsi="Arial"/>
          <w:sz w:val="22"/>
          <w:szCs w:val="22"/>
          <w:color w:val="auto"/>
        </w:rPr>
        <w:t>T. Rowe Price Institutional Small-Cap Stock Fund</w:t>
      </w:r>
    </w:p>
    <w:p>
      <w:pPr>
        <w:ind w:left="20"/>
        <w:spacing w:after="0" w:line="230" w:lineRule="auto"/>
        <w:rPr>
          <w:sz w:val="20"/>
          <w:szCs w:val="20"/>
          <w:color w:val="auto"/>
        </w:rPr>
      </w:pPr>
      <w:r>
        <w:rPr>
          <w:rFonts w:ascii="Arial" w:cs="Arial" w:eastAsia="Arial" w:hAnsi="Arial"/>
          <w:sz w:val="22"/>
          <w:szCs w:val="22"/>
          <w:color w:val="auto"/>
        </w:rPr>
        <w:t>T. Rowe Price Spectrum Conservative Allocation Fund</w:t>
      </w:r>
    </w:p>
    <w:p>
      <w:pPr>
        <w:ind w:left="20"/>
        <w:spacing w:after="0" w:line="231" w:lineRule="auto"/>
        <w:rPr>
          <w:sz w:val="20"/>
          <w:szCs w:val="20"/>
          <w:color w:val="auto"/>
        </w:rPr>
      </w:pPr>
      <w:r>
        <w:rPr>
          <w:rFonts w:ascii="Arial" w:cs="Arial" w:eastAsia="Arial" w:hAnsi="Arial"/>
          <w:sz w:val="22"/>
          <w:szCs w:val="22"/>
          <w:color w:val="auto"/>
        </w:rPr>
        <w:t>T. Rowe Price Spectrum Moderate Allocation Fund</w:t>
      </w:r>
    </w:p>
    <w:p>
      <w:pPr>
        <w:ind w:left="20" w:right="4939"/>
        <w:spacing w:after="0" w:line="230" w:lineRule="auto"/>
        <w:rPr>
          <w:sz w:val="20"/>
          <w:szCs w:val="20"/>
          <w:color w:val="auto"/>
        </w:rPr>
      </w:pPr>
      <w:r>
        <w:rPr>
          <w:rFonts w:ascii="Arial" w:cs="Arial" w:eastAsia="Arial" w:hAnsi="Arial"/>
          <w:sz w:val="22"/>
          <w:szCs w:val="22"/>
          <w:color w:val="auto"/>
        </w:rPr>
        <w:t>T. Rowe Price Spectrum Moderate Growth Allocation Fund T. Rowe Price Moderate Allocation Portfolio U.S. Small-Cap Stock Trust</w:t>
      </w:r>
    </w:p>
    <w:p>
      <w:pPr>
        <w:ind w:left="20"/>
        <w:spacing w:after="0" w:line="232" w:lineRule="auto"/>
        <w:rPr>
          <w:sz w:val="20"/>
          <w:szCs w:val="20"/>
          <w:color w:val="auto"/>
        </w:rPr>
      </w:pPr>
      <w:r>
        <w:rPr>
          <w:rFonts w:ascii="Arial" w:cs="Arial" w:eastAsia="Arial" w:hAnsi="Arial"/>
          <w:sz w:val="22"/>
          <w:szCs w:val="22"/>
          <w:color w:val="auto"/>
        </w:rPr>
        <w:t>VALIC Company I - Small Cap Fund</w:t>
      </w:r>
    </w:p>
    <w:p>
      <w:pPr>
        <w:ind w:left="20"/>
        <w:spacing w:after="0" w:line="230" w:lineRule="auto"/>
        <w:rPr>
          <w:sz w:val="20"/>
          <w:szCs w:val="20"/>
          <w:color w:val="auto"/>
        </w:rPr>
      </w:pPr>
      <w:r>
        <w:rPr>
          <w:rFonts w:ascii="Arial" w:cs="Arial" w:eastAsia="Arial" w:hAnsi="Arial"/>
          <w:sz w:val="22"/>
          <w:szCs w:val="22"/>
          <w:color w:val="auto"/>
        </w:rPr>
        <w:t>TD Mutual Funds - TD U.S. Small-Cap Equity Fund</w:t>
      </w:r>
    </w:p>
    <w:p>
      <w:pPr>
        <w:ind w:left="20"/>
        <w:spacing w:after="0" w:line="231" w:lineRule="auto"/>
        <w:rPr>
          <w:sz w:val="20"/>
          <w:szCs w:val="20"/>
          <w:color w:val="auto"/>
        </w:rPr>
      </w:pPr>
      <w:r>
        <w:rPr>
          <w:rFonts w:ascii="Arial" w:cs="Arial" w:eastAsia="Arial" w:hAnsi="Arial"/>
          <w:sz w:val="22"/>
          <w:szCs w:val="22"/>
          <w:color w:val="auto"/>
        </w:rPr>
        <w:t>T. Rowe Price U.S. Small-Cap Core Equity Trust</w:t>
      </w:r>
    </w:p>
    <w:p>
      <w:pPr>
        <w:ind w:left="20"/>
        <w:spacing w:after="0" w:line="230" w:lineRule="auto"/>
        <w:rPr>
          <w:sz w:val="20"/>
          <w:szCs w:val="20"/>
          <w:color w:val="auto"/>
        </w:rPr>
      </w:pPr>
      <w:r>
        <w:rPr>
          <w:rFonts w:ascii="Arial" w:cs="Arial" w:eastAsia="Arial" w:hAnsi="Arial"/>
          <w:sz w:val="22"/>
          <w:szCs w:val="22"/>
          <w:color w:val="auto"/>
        </w:rPr>
        <w:t>Minnesota Life Insurance Company</w:t>
      </w:r>
    </w:p>
    <w:p>
      <w:pPr>
        <w:ind w:left="20"/>
        <w:spacing w:after="0" w:line="231" w:lineRule="auto"/>
        <w:rPr>
          <w:sz w:val="20"/>
          <w:szCs w:val="20"/>
          <w:color w:val="auto"/>
        </w:rPr>
      </w:pPr>
      <w:r>
        <w:rPr>
          <w:rFonts w:ascii="Arial" w:cs="Arial" w:eastAsia="Arial" w:hAnsi="Arial"/>
          <w:sz w:val="22"/>
          <w:szCs w:val="22"/>
          <w:color w:val="auto"/>
        </w:rPr>
        <w:t>Costco 401(k) Retirement Plan</w:t>
      </w:r>
    </w:p>
    <w:p>
      <w:pPr>
        <w:ind w:left="20" w:right="1939"/>
        <w:spacing w:after="0" w:line="230" w:lineRule="auto"/>
        <w:rPr>
          <w:sz w:val="20"/>
          <w:szCs w:val="20"/>
          <w:color w:val="auto"/>
        </w:rPr>
      </w:pPr>
      <w:r>
        <w:rPr>
          <w:rFonts w:ascii="Arial" w:cs="Arial" w:eastAsia="Arial" w:hAnsi="Arial"/>
          <w:sz w:val="22"/>
          <w:szCs w:val="22"/>
          <w:color w:val="auto"/>
        </w:rPr>
        <w:t>MassMutual Select Funds - MassMutual Select T. Rowe Price Small and Mid Cap Blend Fund T. Rowe Price Small-Cap Value Fund, Inc.</w:t>
      </w:r>
    </w:p>
    <w:p>
      <w:pPr>
        <w:ind w:left="20"/>
        <w:spacing w:after="0" w:line="231" w:lineRule="auto"/>
        <w:rPr>
          <w:sz w:val="20"/>
          <w:szCs w:val="20"/>
          <w:color w:val="auto"/>
        </w:rPr>
      </w:pPr>
      <w:r>
        <w:rPr>
          <w:rFonts w:ascii="Arial" w:cs="Arial" w:eastAsia="Arial" w:hAnsi="Arial"/>
          <w:sz w:val="22"/>
          <w:szCs w:val="22"/>
          <w:color w:val="auto"/>
        </w:rPr>
        <w:t>T. Rowe Price U.S. Small-Cap Value Equity Trust</w:t>
      </w:r>
    </w:p>
    <w:p>
      <w:pPr>
        <w:ind w:left="20"/>
        <w:spacing w:after="0" w:line="231" w:lineRule="auto"/>
        <w:rPr>
          <w:sz w:val="20"/>
          <w:szCs w:val="20"/>
          <w:color w:val="auto"/>
        </w:rPr>
      </w:pPr>
      <w:r>
        <w:rPr>
          <w:rFonts w:ascii="Arial" w:cs="Arial" w:eastAsia="Arial" w:hAnsi="Arial"/>
          <w:sz w:val="22"/>
          <w:szCs w:val="22"/>
          <w:color w:val="auto"/>
        </w:rPr>
        <w:t>T. Rowe Price U.S. Equities Trust</w:t>
      </w:r>
    </w:p>
    <w:p>
      <w:pPr>
        <w:ind w:left="20"/>
        <w:spacing w:after="0"/>
        <w:rPr>
          <w:sz w:val="20"/>
          <w:szCs w:val="20"/>
          <w:color w:val="auto"/>
        </w:rPr>
      </w:pPr>
      <w:r>
        <w:rPr>
          <w:rFonts w:ascii="Arial" w:cs="Arial" w:eastAsia="Arial" w:hAnsi="Arial"/>
          <w:sz w:val="19"/>
          <w:szCs w:val="19"/>
          <w:color w:val="auto"/>
        </w:rPr>
        <w:t>MassMutual Select Funds - MassMutual Select T. Rowe Price Small and Mid Cap Blend Fund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100 East Pratt Street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Baltimore, MD 21202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Andrew Baek, Vice President and Senior Legal Counsel</w:t>
      </w:r>
    </w:p>
    <w:p>
      <w:pPr>
        <w:sectPr>
          <w:pgSz w:w="11900" w:h="16838" w:orient="portrait"/>
          <w:cols w:equalWidth="0" w:num="1">
            <w:col w:w="10139"/>
          </w:cols>
          <w:pgMar w:left="320" w:top="1428" w:right="1440" w:bottom="1440" w:gutter="0" w:footer="0" w:header="0"/>
        </w:sectPr>
      </w:pPr>
    </w:p>
    <w:bookmarkStart w:id="328" w:name="page329"/>
    <w:bookmarkEnd w:id="328"/>
    <w:p>
      <w:pPr>
        <w:spacing w:after="0"/>
        <w:rPr>
          <w:sz w:val="20"/>
          <w:szCs w:val="20"/>
          <w:color w:val="auto"/>
        </w:rPr>
      </w:pPr>
      <w:r>
        <w:rPr>
          <w:rFonts w:ascii="Arial" w:cs="Arial" w:eastAsia="Arial" w:hAnsi="Arial"/>
          <w:sz w:val="22"/>
          <w:szCs w:val="22"/>
          <w:color w:val="auto"/>
        </w:rPr>
        <w:t>Phone: 410-345-2090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Email: andrew.baek@troweprice.com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Dynamics Group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Robert S. Langer, Jr.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98 Montvale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Newton, MA 02459</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Philip Ma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Soulbrain Co., Ltd.</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34, Pangyo-Ro 255 Beon-Gil, Bundang-Gu</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Seongnam-Si, Gyenggi-Do, Republic of Korea</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Attn: Dr. Nam Huh</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Strong Bridge,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North Star Advisors,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880 Winter Street, Suite 350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Waltham, MA 02451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Mostafa Ronaghi</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95 Stern Lane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Atherton, CA 94027</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HBM Genomics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Governors Square, Suite #4-212-2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 Lime Tree Bay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 Bay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Cayman, Cayman Islands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HBM Healthcare Investments (Cayman) Ltd.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Governors Square, Suite #4-212-2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 Lime Tree Bay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 Bay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Grand Cayman, Cayman Islands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Omead Ostadan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11238 Wheatland Pl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Diego, CA 92131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David Epstein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17121 Collins Ave, Apt 2105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Sunny Isles Beach, Florida 33160</w:t>
      </w:r>
    </w:p>
    <w:p>
      <w:pPr>
        <w:sectPr>
          <w:pgSz w:w="11900" w:h="16838" w:orient="portrait"/>
          <w:cols w:equalWidth="0" w:num="1">
            <w:col w:w="10139"/>
          </w:cols>
          <w:pgMar w:left="320" w:top="1428" w:right="1440" w:bottom="1440" w:gutter="0" w:footer="0" w:header="0"/>
        </w:sectPr>
      </w:pPr>
    </w:p>
    <w:bookmarkStart w:id="329" w:name="page330"/>
    <w:bookmarkEnd w:id="329"/>
    <w:p>
      <w:pPr>
        <w:spacing w:after="0"/>
        <w:rPr>
          <w:sz w:val="20"/>
          <w:szCs w:val="20"/>
          <w:color w:val="auto"/>
        </w:rPr>
      </w:pPr>
      <w:r>
        <w:rPr>
          <w:rFonts w:ascii="Arial" w:cs="Arial" w:eastAsia="Arial" w:hAnsi="Arial"/>
          <w:sz w:val="19"/>
          <w:szCs w:val="19"/>
          <w:color w:val="auto"/>
        </w:rPr>
        <w:t>WS Investment Company, LLC (2017A)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Attn: James Terranova</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c/o Wilson Sonsini Goodrich &amp; Rosati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650 Page Mill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94304</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WS Investment Company, LLC (2018A)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Attn: James Terranova</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c/o Wilson Sonsini Goodrich &amp; Rosati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650 Page Mill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Alfred Sandrock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40 Rochester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Newton, MA 02458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 Randolph Scott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Newmark Cornish &amp; Carey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245 Lytton Avenue, Suite 150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2003 Ma Family Living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OCF 2014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SAF-BND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Wing Two,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480 Lytton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Global AG Investments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1928 Alcova Ridge Dr.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89135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Leslie Hellewell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6662 Mayhews Landing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Newark, CA 94560</w:t>
      </w:r>
    </w:p>
    <w:p>
      <w:pPr>
        <w:sectPr>
          <w:pgSz w:w="11900" w:h="16838" w:orient="portrait"/>
          <w:cols w:equalWidth="0" w:num="1">
            <w:col w:w="10139"/>
          </w:cols>
          <w:pgMar w:left="320" w:top="1428" w:right="1440" w:bottom="1440" w:gutter="0" w:footer="0" w:header="0"/>
        </w:sectPr>
      </w:pPr>
    </w:p>
    <w:bookmarkStart w:id="330" w:name="page331"/>
    <w:bookmarkEnd w:id="330"/>
    <w:p>
      <w:pPr>
        <w:jc w:val="center"/>
        <w:ind w:right="-1120"/>
        <w:spacing w:after="0"/>
        <w:rPr>
          <w:sz w:val="20"/>
          <w:szCs w:val="20"/>
          <w:color w:val="auto"/>
        </w:rPr>
      </w:pPr>
      <w:r>
        <w:rPr>
          <w:rFonts w:ascii="Arial" w:cs="Arial" w:eastAsia="Arial" w:hAnsi="Arial"/>
          <w:sz w:val="21"/>
          <w:szCs w:val="21"/>
          <w:b w:val="1"/>
          <w:bCs w:val="1"/>
          <w:color w:val="auto"/>
        </w:rPr>
        <w:t>SCHEDULE B</w:t>
      </w:r>
    </w:p>
    <w:p>
      <w:pPr>
        <w:spacing w:after="0" w:line="17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Key Holders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Omid Farokhzad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Robert S. Langer, Jr.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98 Montvale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Newton, MA 02459</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Philip Ma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Dynamics Group LLC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2003 Ma Family Living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600 Palm Haven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San Jose, CA 95125</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OCF 2014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SAF-BND Trust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15 Laura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Waban, MA 02468</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SVF II AIV-1 (DE) L.P.</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SB Investment Advisers (UK)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Legal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69 Grosvenor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W1K 3JP, 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legal@softbank.com</w:t>
      </w:r>
    </w:p>
    <w:p>
      <w:pPr>
        <w:sectPr>
          <w:pgSz w:w="11900" w:h="16838" w:orient="portrait"/>
          <w:cols w:equalWidth="0" w:num="1">
            <w:col w:w="10139"/>
          </w:cols>
          <w:pgMar w:left="320" w:top="1422" w:right="1440" w:bottom="1440" w:gutter="0" w:footer="0" w:header="0"/>
        </w:sectPr>
      </w:pPr>
    </w:p>
    <w:bookmarkStart w:id="331" w:name="page332"/>
    <w:bookmarkEnd w:id="331"/>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341630</wp:posOffset>
            </wp:positionV>
            <wp:extent cx="1071245"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1071245" cy="4114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Wilson Sonsini Goodrich &amp; Rosati</w:t>
      </w:r>
    </w:p>
    <w:p>
      <w:pPr>
        <w:spacing w:after="0" w:line="22" w:lineRule="exact"/>
        <w:rPr>
          <w:sz w:val="20"/>
          <w:szCs w:val="20"/>
          <w:color w:val="auto"/>
        </w:rPr>
      </w:pPr>
    </w:p>
    <w:p>
      <w:pPr>
        <w:ind w:left="9540"/>
        <w:spacing w:after="0"/>
        <w:rPr>
          <w:sz w:val="20"/>
          <w:szCs w:val="20"/>
          <w:color w:val="auto"/>
        </w:rPr>
      </w:pPr>
      <w:r>
        <w:rPr>
          <w:rFonts w:ascii="Arial" w:cs="Arial" w:eastAsia="Arial" w:hAnsi="Arial"/>
          <w:sz w:val="15"/>
          <w:szCs w:val="15"/>
          <w:color w:val="auto"/>
        </w:rPr>
        <w:t>Professional Corporation</w:t>
      </w:r>
    </w:p>
    <w:p>
      <w:pPr>
        <w:spacing w:after="0" w:line="30"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650 Page Mill Road</w:t>
      </w:r>
    </w:p>
    <w:p>
      <w:pPr>
        <w:spacing w:after="0" w:line="15" w:lineRule="exact"/>
        <w:rPr>
          <w:sz w:val="20"/>
          <w:szCs w:val="20"/>
          <w:color w:val="auto"/>
        </w:rPr>
      </w:pPr>
    </w:p>
    <w:p>
      <w:pPr>
        <w:ind w:left="8980"/>
        <w:spacing w:after="0"/>
        <w:rPr>
          <w:sz w:val="20"/>
          <w:szCs w:val="20"/>
          <w:color w:val="auto"/>
        </w:rPr>
      </w:pPr>
      <w:r>
        <w:rPr>
          <w:rFonts w:ascii="Arial" w:cs="Arial" w:eastAsia="Arial" w:hAnsi="Arial"/>
          <w:sz w:val="15"/>
          <w:szCs w:val="15"/>
          <w:color w:val="auto"/>
        </w:rPr>
        <w:t>Palo Alto, California 94304-1050</w:t>
      </w:r>
    </w:p>
    <w:p>
      <w:pPr>
        <w:spacing w:after="0" w:line="20"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o: 650.493.9300</w:t>
      </w:r>
    </w:p>
    <w:p>
      <w:pPr>
        <w:spacing w:after="0" w:line="22"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f: 650.493.6811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January 25, 2021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Seer,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3800 Bridge Parkway, Suite 102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Redwood City, CA 94065</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opinion is furnished to you in connection with the Registration Statement on Form S-1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filed by Seer, Inc. (the “</w:t>
      </w:r>
      <w:r>
        <w:rPr>
          <w:rFonts w:ascii="Arial" w:cs="Arial" w:eastAsia="Arial" w:hAnsi="Arial"/>
          <w:sz w:val="19"/>
          <w:szCs w:val="19"/>
          <w:b w:val="1"/>
          <w:bCs w:val="1"/>
          <w:color w:val="auto"/>
        </w:rPr>
        <w:t>Company</w:t>
      </w:r>
      <w:r>
        <w:rPr>
          <w:rFonts w:ascii="Arial" w:cs="Arial" w:eastAsia="Arial" w:hAnsi="Arial"/>
          <w:sz w:val="19"/>
          <w:szCs w:val="19"/>
          <w:color w:val="auto"/>
        </w:rPr>
        <w:t>”) with the Securities and Exchange Commission in connection with the registration under the Securities Act of 1933, as amended, of up to 4,025,000 shares of the Company’s Class A Common Stock, $0.00001 par value per share (the “</w:t>
      </w:r>
      <w:r>
        <w:rPr>
          <w:rFonts w:ascii="Arial" w:cs="Arial" w:eastAsia="Arial" w:hAnsi="Arial"/>
          <w:sz w:val="19"/>
          <w:szCs w:val="19"/>
          <w:b w:val="1"/>
          <w:bCs w:val="1"/>
          <w:color w:val="auto"/>
        </w:rPr>
        <w:t>Shares</w:t>
      </w:r>
      <w:r>
        <w:rPr>
          <w:rFonts w:ascii="Arial" w:cs="Arial" w:eastAsia="Arial" w:hAnsi="Arial"/>
          <w:sz w:val="19"/>
          <w:szCs w:val="19"/>
          <w:color w:val="auto"/>
        </w:rPr>
        <w:t>”), 1,400,000 of which are to be issued and sold by the Company and 2,625,000 of which are to be issued and sold by certain stockholders of the Company (the “</w:t>
      </w:r>
      <w:r>
        <w:rPr>
          <w:rFonts w:ascii="Arial" w:cs="Arial" w:eastAsia="Arial" w:hAnsi="Arial"/>
          <w:sz w:val="19"/>
          <w:szCs w:val="19"/>
          <w:b w:val="1"/>
          <w:bCs w:val="1"/>
          <w:color w:val="auto"/>
        </w:rPr>
        <w:t>Selling Stockholders</w:t>
      </w:r>
      <w:r>
        <w:rPr>
          <w:rFonts w:ascii="Arial" w:cs="Arial" w:eastAsia="Arial" w:hAnsi="Arial"/>
          <w:sz w:val="19"/>
          <w:szCs w:val="19"/>
          <w:color w:val="auto"/>
        </w:rPr>
        <w:t>”) (including up to 525,000 shares issuable upon exercise of an option granted to the underwriters by the Selling Stockholders).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the Selling Stockholders and the underwriters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w:t>
      </w:r>
    </w:p>
    <w:p>
      <w:pPr>
        <w:spacing w:after="0" w:line="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We are acting as counsel for the Company in connection with the sale of the Shares by the Company and the Selling Stockholders.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2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On the basis of the foregoing, we are of the opinion that the Shares to be issued and sold by the Company and the Selling Stockholders have been duly authorized and, when such Shares are issued and paid for in accordance with the terms of the Underwriting Agreement, will be validly issued, fully paid and nonassessable; provided, however, that with respect to the 309,131 shares to be sold by certain Selling Stockholders that will be issued upon the exercise of vested options prior to such sale, such shares will be validly issued, fully paid and nonassessable upon the exercise of such options in accordance with their terms prior to such sale.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4"/>
          <w:szCs w:val="14"/>
          <w:b w:val="1"/>
          <w:bCs w:val="1"/>
          <w:color w:val="auto"/>
        </w:rPr>
        <w:t>AUSTIN</w:t>
        <w:tab/>
        <w:t>BEIJING</w:t>
        <w:tab/>
        <w:t>BOSTON</w:t>
        <w:tab/>
        <w:t>BRUSSELS</w:t>
        <w:tab/>
        <w:t>HONG KONG</w:t>
        <w:tab/>
        <w:t>LONDON</w:t>
        <w:tab/>
        <w:t>LOS ANGELES</w:t>
        <w:tab/>
        <w:t>NEW YORK</w:t>
        <w:tab/>
        <w:t>PALO ALTO</w:t>
      </w:r>
    </w:p>
    <w:p>
      <w:pPr>
        <w:spacing w:after="0" w:line="42"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4"/>
          <w:szCs w:val="14"/>
          <w:b w:val="1"/>
          <w:bCs w:val="1"/>
          <w:color w:val="auto"/>
        </w:rPr>
        <w:t>SAN DIEGO</w:t>
        <w:tab/>
        <w:t>SAN FRANCISCO</w:t>
        <w:tab/>
        <w:t>SEATTLE</w:t>
        <w:tab/>
        <w:t>SHANGHAI</w:t>
        <w:tab/>
        <w:t>WASHINGTON, DC</w:t>
        <w:tab/>
        <w:t>WILMINGTON, DE</w:t>
      </w:r>
    </w:p>
    <w:p>
      <w:pPr>
        <w:sectPr>
          <w:pgSz w:w="11900" w:h="16838" w:orient="portrait"/>
          <w:cols w:equalWidth="0" w:num="1">
            <w:col w:w="11240"/>
          </w:cols>
          <w:pgMar w:left="320" w:top="121" w:right="339" w:bottom="1440" w:gutter="0" w:footer="0" w:header="0"/>
        </w:sectPr>
      </w:pPr>
    </w:p>
    <w:bookmarkStart w:id="332" w:name="page333"/>
    <w:bookmarkEnd w:id="33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435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514350" cy="196850"/>
                    </a:xfrm>
                    <a:prstGeom prst="rect">
                      <a:avLst/>
                    </a:prstGeom>
                    <a:noFill/>
                  </pic:spPr>
                </pic:pic>
              </a:graphicData>
            </a:graphic>
          </wp:anchor>
        </w:drawing>
        <w:t>January 25, 2021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659"/>
        <w:spacing w:after="0"/>
        <w:rPr>
          <w:sz w:val="20"/>
          <w:szCs w:val="20"/>
          <w:color w:val="auto"/>
        </w:rPr>
      </w:pPr>
      <w:r>
        <w:rPr>
          <w:rFonts w:ascii="Arial" w:cs="Arial" w:eastAsia="Arial" w:hAnsi="Arial"/>
          <w:sz w:val="22"/>
          <w:szCs w:val="22"/>
          <w:color w:val="auto"/>
        </w:rPr>
        <w:t>/S/ WILSON SONSINI GOODRICH &amp; ROSATI, P.C.</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WILSON SONSINI GOODRICH &amp; ROSATI</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0139"/>
          </w:cols>
          <w:pgMar w:left="320" w:top="753" w:right="1440"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List of Subsidiaries: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  Seer Securities Corporation (Massachusetts)</w:t>
      </w:r>
    </w:p>
    <w:p>
      <w:pPr>
        <w:sectPr>
          <w:pgSz w:w="11900" w:h="16838" w:orient="portrait"/>
          <w:cols w:equalWidth="0" w:num="1">
            <w:col w:w="11240"/>
          </w:cols>
          <w:pgMar w:left="320" w:top="121"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consent to the use in this Registration Statement on Form S-1 of our report dated September 25, 2020 (November 30, 2020 as to the effects of the reverse stock split described in Note 2 and Note 14), relating to the financial statements of Seer, Inc. We also consent to the reference to us under the heading "Experts" in such Registration Statement.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January 25,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1)"/>
      <w:numFmt w:val="decimal"/>
      <w:start w:val="1"/>
    </w:lvl>
  </w:abstractNum>
  <w:abstractNum w:abstractNumId="1">
    <w:nsid w:val="56438D15"/>
    <w:multiLevelType w:val="hybridMultilevel"/>
    <w:lvl w:ilvl="0">
      <w:lvlJc w:val="left"/>
      <w:lvlText w:val="(%1)"/>
      <w:numFmt w:val="decimal"/>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
      <w:numFmt w:val="bullet"/>
      <w:start w:val="1"/>
    </w:lvl>
  </w:abstractNum>
  <w:abstractNum w:abstractNumId="6">
    <w:nsid w:val="5046B5A9"/>
    <w:multiLevelType w:val="hybridMultilevel"/>
    <w:lvl w:ilvl="0">
      <w:lvlJc w:val="left"/>
      <w:lvlText w:val="•"/>
      <w:numFmt w:val="bullet"/>
      <w:start w:val="1"/>
    </w:lvl>
  </w:abstractNum>
  <w:abstractNum w:abstractNumId="7">
    <w:nsid w:val="5D888A08"/>
    <w:multiLevelType w:val="hybridMultilevel"/>
    <w:lvl w:ilvl="0">
      <w:lvlJc w:val="left"/>
      <w:lvlText w:val="•"/>
      <w:numFmt w:val="bullet"/>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lvl w:ilvl="1">
      <w:lvlJc w:val="left"/>
      <w:lvlText w:val="◦"/>
      <w:numFmt w:val="bullet"/>
      <w:start w:val="1"/>
    </w:lvl>
  </w:abstractNum>
  <w:abstractNum w:abstractNumId="10">
    <w:nsid w:val="19E21BB2"/>
    <w:multiLevelType w:val="hybridMultilevel"/>
    <w:lvl w:ilvl="0">
      <w:lvlJc w:val="left"/>
      <w:lvlText w:val="(%1)"/>
      <w:numFmt w:val="decimal"/>
      <w:start w:val="1"/>
    </w:lvl>
  </w:abstractNum>
  <w:abstractNum w:abstractNumId="11">
    <w:nsid w:val="75E0858A"/>
    <w:multiLevelType w:val="hybridMultilevel"/>
    <w:lvl w:ilvl="0">
      <w:lvlJc w:val="left"/>
      <w:lvlText w:val="(%1)"/>
      <w:numFmt w:val="decimal"/>
      <w:start w:val="2"/>
    </w:lvl>
  </w:abstractNum>
  <w:abstractNum w:abstractNumId="12">
    <w:nsid w:val="57A61A29"/>
    <w:multiLevelType w:val="hybridMultilevel"/>
    <w:lvl w:ilvl="0">
      <w:lvlJc w:val="left"/>
      <w:lvlText w:val="(%1)"/>
      <w:numFmt w:val="decimal"/>
      <w:start w:val="1"/>
    </w:lvl>
  </w:abstractNum>
  <w:abstractNum w:abstractNumId="13">
    <w:nsid w:val="5399C654"/>
    <w:multiLevelType w:val="hybridMultilevel"/>
    <w:lvl w:ilvl="0">
      <w:lvlJc w:val="left"/>
      <w:lvlText w:val="•"/>
      <w:numFmt w:val="bullet"/>
      <w:start w:val="1"/>
    </w:lvl>
  </w:abstractNum>
  <w:abstractNum w:abstractNumId="14">
    <w:nsid w:val="20EE1348"/>
    <w:multiLevelType w:val="hybridMultilevel"/>
    <w:lvl w:ilvl="0">
      <w:lvlJc w:val="left"/>
      <w:lvlText w:val="•"/>
      <w:numFmt w:val="bullet"/>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
      <w:numFmt w:val="bullet"/>
      <w:start w:val="1"/>
    </w:lvl>
  </w:abstractNum>
  <w:abstractNum w:abstractNumId="17">
    <w:nsid w:val="2157F6BC"/>
    <w:multiLevelType w:val="hybridMultilevel"/>
    <w:lvl w:ilvl="0">
      <w:lvlJc w:val="left"/>
      <w:lvlText w:val="•"/>
      <w:numFmt w:val="bullet"/>
      <w:start w:val="1"/>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
      <w:numFmt w:val="bullet"/>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
      <w:numFmt w:val="bullet"/>
      <w:start w:val="1"/>
    </w:lvl>
  </w:abstractNum>
  <w:abstractNum w:abstractNumId="24">
    <w:nsid w:val="4BEE5A5B"/>
    <w:multiLevelType w:val="hybridMultilevel"/>
    <w:lvl w:ilvl="0">
      <w:lvlJc w:val="left"/>
      <w:lvlText w:val="•"/>
      <w:numFmt w:val="bullet"/>
      <w:start w:val="1"/>
    </w:lvl>
  </w:abstractNum>
  <w:abstractNum w:abstractNumId="25">
    <w:nsid w:val="5551B9F3"/>
    <w:multiLevelType w:val="hybridMultilevel"/>
    <w:lvl w:ilvl="0">
      <w:lvlJc w:val="left"/>
      <w:lvlText w:val="•"/>
      <w:numFmt w:val="bullet"/>
      <w:start w:val="1"/>
    </w:lvl>
  </w:abstractNum>
  <w:abstractNum w:abstractNumId="26">
    <w:nsid w:val="24F6AB8E"/>
    <w:multiLevelType w:val="hybridMultilevel"/>
    <w:lvl w:ilvl="0">
      <w:lvlJc w:val="left"/>
      <w:lvlText w:val="•"/>
      <w:numFmt w:val="bullet"/>
      <w:start w:val="1"/>
    </w:lvl>
  </w:abstractNum>
  <w:abstractNum w:abstractNumId="27">
    <w:nsid w:val="634C574C"/>
    <w:multiLevelType w:val="hybridMultilevel"/>
    <w:lvl w:ilvl="0">
      <w:lvlJc w:val="left"/>
      <w:lvlText w:val="•"/>
      <w:numFmt w:val="bullet"/>
      <w:start w:val="1"/>
    </w:lvl>
  </w:abstractNum>
  <w:abstractNum w:abstractNumId="28">
    <w:nsid w:val="24E99DD7"/>
    <w:multiLevelType w:val="hybridMultilevel"/>
    <w:lvl w:ilvl="0">
      <w:lvlJc w:val="left"/>
      <w:lvlText w:val="•"/>
      <w:numFmt w:val="bullet"/>
      <w:start w:val="1"/>
    </w:lvl>
  </w:abstractNum>
  <w:abstractNum w:abstractNumId="29">
    <w:nsid w:val="2A31B62D"/>
    <w:multiLevelType w:val="hybridMultilevel"/>
    <w:lvl w:ilvl="0">
      <w:lvlJc w:val="left"/>
      <w:lvlText w:val="•"/>
      <w:numFmt w:val="bullet"/>
      <w:start w:val="1"/>
    </w:lvl>
  </w:abstractNum>
  <w:abstractNum w:abstractNumId="30">
    <w:nsid w:val="1849C29B"/>
    <w:multiLevelType w:val="hybridMultilevel"/>
    <w:lvl w:ilvl="0">
      <w:lvlJc w:val="left"/>
      <w:lvlText w:val="•"/>
      <w:numFmt w:val="bullet"/>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
      <w:numFmt w:val="bullet"/>
      <w:start w:val="1"/>
    </w:lvl>
  </w:abstractNum>
  <w:abstractNum w:abstractNumId="35">
    <w:nsid w:val="1816F8C4"/>
    <w:multiLevelType w:val="hybridMultilevel"/>
    <w:lvl w:ilvl="0">
      <w:lvlJc w:val="left"/>
      <w:lvlText w:val="•"/>
      <w:numFmt w:val="bullet"/>
      <w:start w:val="1"/>
    </w:lvl>
  </w:abstractNum>
  <w:abstractNum w:abstractNumId="36">
    <w:nsid w:val="37DF2233"/>
    <w:multiLevelType w:val="hybridMultilevel"/>
    <w:lvl w:ilvl="0">
      <w:lvlJc w:val="left"/>
      <w:lvlText w:val="%1."/>
      <w:numFmt w:val="decimal"/>
      <w:start w:val="1"/>
    </w:lvl>
  </w:abstractNum>
  <w:abstractNum w:abstractNumId="37">
    <w:nsid w:val="7AB49DAF"/>
    <w:multiLevelType w:val="hybridMultilevel"/>
    <w:lvl w:ilvl="0">
      <w:lvlJc w:val="left"/>
      <w:lvlText w:val="%1."/>
      <w:numFmt w:val="decimal"/>
      <w:start w:val="1"/>
    </w:lvl>
  </w:abstractNum>
  <w:abstractNum w:abstractNumId="38">
    <w:nsid w:val="759F82CD"/>
    <w:multiLevelType w:val="hybridMultilevel"/>
    <w:lvl w:ilvl="0">
      <w:lvlJc w:val="left"/>
      <w:lvlText w:val="•"/>
      <w:numFmt w:val="bullet"/>
      <w:start w:val="1"/>
    </w:lvl>
    <w:lvl w:ilvl="1">
      <w:lvlJc w:val="left"/>
      <w:lvlText w:val="◦"/>
      <w:numFmt w:val="bullet"/>
      <w:start w:val="1"/>
    </w:lvl>
  </w:abstractNum>
  <w:abstractNum w:abstractNumId="39">
    <w:nsid w:val="61E74EA3"/>
    <w:multiLevelType w:val="hybridMultilevel"/>
    <w:lvl w:ilvl="0">
      <w:lvlJc w:val="left"/>
      <w:lvlText w:val="(%1)"/>
      <w:numFmt w:val="decimal"/>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lvl w:ilvl="1">
      <w:lvlJc w:val="left"/>
      <w:lvlText w:val="◦"/>
      <w:numFmt w:val="bullet"/>
      <w:start w:val="1"/>
    </w:lvl>
  </w:abstractNum>
  <w:abstractNum w:abstractNumId="42">
    <w:nsid w:val="57C7D42D"/>
    <w:multiLevelType w:val="hybridMultilevel"/>
    <w:lvl w:ilvl="0">
      <w:lvlJc w:val="left"/>
      <w:lvlText w:val="•"/>
      <w:numFmt w:val="bullet"/>
      <w:start w:val="1"/>
    </w:lvl>
    <w:lvl w:ilvl="1">
      <w:lvlJc w:val="left"/>
      <w:lvlText w:val="◦"/>
      <w:numFmt w:val="bullet"/>
      <w:start w:val="1"/>
    </w:lvl>
  </w:abstractNum>
  <w:abstractNum w:abstractNumId="43">
    <w:nsid w:val="312167AD"/>
    <w:multiLevelType w:val="hybridMultilevel"/>
    <w:lvl w:ilvl="0">
      <w:lvlJc w:val="left"/>
      <w:lvlText w:val="(%1)"/>
      <w:numFmt w:val="decimal"/>
      <w:start w:val="2"/>
    </w:lvl>
  </w:abstractNum>
  <w:abstractNum w:abstractNumId="44">
    <w:nsid w:val="631B64D4"/>
    <w:multiLevelType w:val="hybridMultilevel"/>
    <w:lvl w:ilvl="0">
      <w:lvlJc w:val="left"/>
      <w:lvlText w:val="(%1)"/>
      <w:numFmt w:val="decimal"/>
      <w:start w:val="3"/>
    </w:lvl>
  </w:abstractNum>
  <w:abstractNum w:abstractNumId="45">
    <w:nsid w:val="78B5E776"/>
    <w:multiLevelType w:val="hybridMultilevel"/>
    <w:lvl w:ilvl="0">
      <w:lvlJc w:val="left"/>
      <w:lvlText w:val="•"/>
      <w:numFmt w:val="bullet"/>
      <w:start w:val="1"/>
    </w:lvl>
  </w:abstractNum>
  <w:abstractNum w:abstractNumId="46">
    <w:nsid w:val="75486E47"/>
    <w:multiLevelType w:val="hybridMultilevel"/>
    <w:lvl w:ilvl="0">
      <w:lvlJc w:val="left"/>
      <w:lvlText w:val="•"/>
      <w:numFmt w:val="bullet"/>
      <w:start w:val="1"/>
    </w:lvl>
  </w:abstractNum>
  <w:abstractNum w:abstractNumId="47">
    <w:nsid w:val="6E534CDE"/>
    <w:multiLevelType w:val="hybridMultilevel"/>
    <w:lvl w:ilvl="0">
      <w:lvlJc w:val="left"/>
      <w:lvlText w:val="*"/>
      <w:numFmt w:val="bullet"/>
      <w:start w:val="1"/>
    </w:lvl>
  </w:abstractNum>
  <w:abstractNum w:abstractNumId="48">
    <w:nsid w:val="1A0DDE32"/>
    <w:multiLevelType w:val="hybridMultilevel"/>
    <w:lvl w:ilvl="0">
      <w:lvlJc w:val="left"/>
      <w:lvlText w:val="*"/>
      <w:numFmt w:val="bullet"/>
      <w:start w:val="1"/>
    </w:lvl>
  </w:abstractNum>
  <w:abstractNum w:abstractNumId="49">
    <w:nsid w:val="65968C1C"/>
    <w:multiLevelType w:val="hybridMultilevel"/>
    <w:lvl w:ilvl="0">
      <w:lvlJc w:val="left"/>
      <w:lvlText w:val="•"/>
      <w:numFmt w:val="bullet"/>
      <w:start w:val="1"/>
    </w:lvl>
  </w:abstractNum>
  <w:abstractNum w:abstractNumId="50">
    <w:nsid w:val="46263DEC"/>
    <w:multiLevelType w:val="hybridMultilevel"/>
    <w:lvl w:ilvl="0">
      <w:lvlJc w:val="left"/>
      <w:lvlText w:val="•"/>
      <w:numFmt w:val="bullet"/>
      <w:start w:val="1"/>
    </w:lvl>
  </w:abstractNum>
  <w:abstractNum w:abstractNumId="51">
    <w:nsid w:val="260D8C4A"/>
    <w:multiLevelType w:val="hybridMultilevel"/>
    <w:lvl w:ilvl="0">
      <w:lvlJc w:val="left"/>
      <w:lvlText w:val="•"/>
      <w:numFmt w:val="bullet"/>
      <w:start w:val="1"/>
    </w:lvl>
  </w:abstractNum>
  <w:abstractNum w:abstractNumId="52">
    <w:nsid w:val="73D4D3C4"/>
    <w:multiLevelType w:val="hybridMultilevel"/>
    <w:lvl w:ilvl="0">
      <w:lvlJc w:val="left"/>
      <w:lvlText w:val="•"/>
      <w:numFmt w:val="bullet"/>
      <w:start w:val="1"/>
    </w:lvl>
  </w:abstractNum>
  <w:abstractNum w:abstractNumId="53">
    <w:nsid w:val="746F2E30"/>
    <w:multiLevelType w:val="hybridMultilevel"/>
    <w:lvl w:ilvl="0">
      <w:lvlJc w:val="left"/>
      <w:lvlText w:val="•"/>
      <w:numFmt w:val="bullet"/>
      <w:start w:val="1"/>
    </w:lvl>
  </w:abstractNum>
  <w:abstractNum w:abstractNumId="54">
    <w:nsid w:val="6FDE8AF6"/>
    <w:multiLevelType w:val="hybridMultilevel"/>
    <w:lvl w:ilvl="0">
      <w:lvlJc w:val="left"/>
      <w:lvlText w:val="•"/>
      <w:numFmt w:val="bullet"/>
      <w:start w:val="1"/>
    </w:lvl>
  </w:abstractNum>
  <w:abstractNum w:abstractNumId="55">
    <w:nsid w:val="3FC32E20"/>
    <w:multiLevelType w:val="hybridMultilevel"/>
    <w:lvl w:ilvl="0">
      <w:lvlJc w:val="left"/>
      <w:lvlText w:val="•"/>
      <w:numFmt w:val="bullet"/>
      <w:start w:val="1"/>
    </w:lvl>
  </w:abstractNum>
  <w:abstractNum w:abstractNumId="56">
    <w:nsid w:val="49C0E823"/>
    <w:multiLevelType w:val="hybridMultilevel"/>
    <w:lvl w:ilvl="0">
      <w:lvlJc w:val="left"/>
      <w:lvlText w:val="%1."/>
      <w:numFmt w:val="decimal"/>
      <w:start w:val="1"/>
    </w:lvl>
  </w:abstractNum>
  <w:abstractNum w:abstractNumId="57">
    <w:nsid w:val="14D53685"/>
    <w:multiLevelType w:val="hybridMultilevel"/>
    <w:lvl w:ilvl="0">
      <w:lvlJc w:val="left"/>
      <w:lvlText w:val="•"/>
      <w:numFmt w:val="bullet"/>
      <w:start w:val="1"/>
    </w:lvl>
  </w:abstractNum>
  <w:abstractNum w:abstractNumId="58">
    <w:nsid w:val="230F856C"/>
    <w:multiLevelType w:val="hybridMultilevel"/>
    <w:lvl w:ilvl="0">
      <w:lvlJc w:val="left"/>
      <w:lvlText w:val="•"/>
      <w:numFmt w:val="bullet"/>
      <w:start w:val="1"/>
    </w:lvl>
  </w:abstractNum>
  <w:abstractNum w:abstractNumId="59">
    <w:nsid w:val="6EAA85FB"/>
    <w:multiLevelType w:val="hybridMultilevel"/>
    <w:lvl w:ilvl="0">
      <w:lvlJc w:val="left"/>
      <w:lvlText w:val="•"/>
      <w:numFmt w:val="bullet"/>
      <w:start w:val="1"/>
    </w:lvl>
  </w:abstractNum>
  <w:abstractNum w:abstractNumId="60">
    <w:nsid w:val="3F06ECB2"/>
    <w:multiLevelType w:val="hybridMultilevel"/>
    <w:lvl w:ilvl="0">
      <w:lvlJc w:val="left"/>
      <w:lvlText w:val="•"/>
      <w:numFmt w:val="bullet"/>
      <w:start w:val="1"/>
    </w:lvl>
  </w:abstractNum>
  <w:abstractNum w:abstractNumId="61">
    <w:nsid w:val="3B594807"/>
    <w:multiLevelType w:val="hybridMultilevel"/>
    <w:lvl w:ilvl="0">
      <w:lvlJc w:val="left"/>
      <w:lvlText w:val="•"/>
      <w:numFmt w:val="bullet"/>
      <w:start w:val="1"/>
    </w:lvl>
  </w:abstractNum>
  <w:abstractNum w:abstractNumId="62">
    <w:nsid w:val="6CAA2304"/>
    <w:multiLevelType w:val="hybridMultilevel"/>
    <w:lvl w:ilvl="0">
      <w:lvlJc w:val="left"/>
      <w:lvlText w:val="•"/>
      <w:numFmt w:val="bullet"/>
      <w:start w:val="1"/>
    </w:lvl>
  </w:abstractNum>
  <w:abstractNum w:abstractNumId="63">
    <w:nsid w:val="3F7C2FF4"/>
    <w:multiLevelType w:val="hybridMultilevel"/>
    <w:lvl w:ilvl="0">
      <w:lvlJc w:val="left"/>
      <w:lvlText w:val="•"/>
      <w:numFmt w:val="bullet"/>
      <w:start w:val="1"/>
    </w:lvl>
  </w:abstractNum>
  <w:abstractNum w:abstractNumId="64">
    <w:nsid w:val="25413BEC"/>
    <w:multiLevelType w:val="hybridMultilevel"/>
    <w:lvl w:ilvl="0">
      <w:lvlJc w:val="left"/>
      <w:lvlText w:val="•"/>
      <w:numFmt w:val="bullet"/>
      <w:start w:val="1"/>
    </w:lvl>
  </w:abstractNum>
  <w:abstractNum w:abstractNumId="65">
    <w:nsid w:val="17180B0B"/>
    <w:multiLevelType w:val="hybridMultilevel"/>
    <w:lvl w:ilvl="0">
      <w:lvlJc w:val="left"/>
      <w:lvlText w:val="•"/>
      <w:numFmt w:val="bullet"/>
      <w:start w:val="1"/>
    </w:lvl>
  </w:abstractNum>
  <w:abstractNum w:abstractNumId="66">
    <w:nsid w:val="579328B9"/>
    <w:multiLevelType w:val="hybridMultilevel"/>
    <w:lvl w:ilvl="0">
      <w:lvlJc w:val="left"/>
      <w:lvlText w:val="•"/>
      <w:numFmt w:val="bullet"/>
      <w:start w:val="1"/>
    </w:lvl>
  </w:abstractNum>
  <w:abstractNum w:abstractNumId="67">
    <w:nsid w:val="5D205E20"/>
    <w:multiLevelType w:val="hybridMultilevel"/>
    <w:lvl w:ilvl="0">
      <w:lvlJc w:val="left"/>
      <w:lvlText w:val="•"/>
      <w:numFmt w:val="bullet"/>
      <w:start w:val="1"/>
    </w:lvl>
  </w:abstractNum>
  <w:abstractNum w:abstractNumId="68">
    <w:nsid w:val="11CCA8BA"/>
    <w:multiLevelType w:val="hybridMultilevel"/>
    <w:lvl w:ilvl="0">
      <w:lvlJc w:val="left"/>
      <w:lvlText w:val="•"/>
      <w:numFmt w:val="bullet"/>
      <w:start w:val="1"/>
    </w:lvl>
  </w:abstractNum>
  <w:abstractNum w:abstractNumId="69">
    <w:nsid w:val="4D32AB86"/>
    <w:multiLevelType w:val="hybridMultilevel"/>
    <w:lvl w:ilvl="0">
      <w:lvlJc w:val="left"/>
      <w:lvlText w:val="(%1)"/>
      <w:numFmt w:val="decimal"/>
      <w:start w:val="1"/>
    </w:lvl>
  </w:abstractNum>
  <w:abstractNum w:abstractNumId="70">
    <w:nsid w:val="3F07ACC3"/>
    <w:multiLevelType w:val="hybridMultilevel"/>
    <w:lvl w:ilvl="0">
      <w:lvlJc w:val="left"/>
      <w:lvlText w:val="•"/>
      <w:numFmt w:val="bullet"/>
      <w:start w:val="1"/>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
      <w:numFmt w:val="bullet"/>
      <w:start w:val="1"/>
    </w:lvl>
  </w:abstractNum>
  <w:abstractNum w:abstractNumId="74">
    <w:nsid w:val="1C695DEC"/>
    <w:multiLevelType w:val="hybridMultilevel"/>
    <w:lvl w:ilvl="0">
      <w:lvlJc w:val="left"/>
      <w:lvlText w:val="•"/>
      <w:numFmt w:val="bullet"/>
      <w:start w:val="1"/>
    </w:lvl>
  </w:abstractNum>
  <w:abstractNum w:abstractNumId="75">
    <w:nsid w:val="3FCFAED9"/>
    <w:multiLevelType w:val="hybridMultilevel"/>
    <w:lvl w:ilvl="0">
      <w:lvlJc w:val="left"/>
      <w:lvlText w:val="(%1)"/>
      <w:numFmt w:val="decimal"/>
      <w:start w:val="1"/>
    </w:lvl>
  </w:abstractNum>
  <w:abstractNum w:abstractNumId="76">
    <w:nsid w:val="F856867"/>
    <w:multiLevelType w:val="hybridMultilevel"/>
    <w:lvl w:ilvl="0">
      <w:lvlJc w:val="left"/>
      <w:lvlText w:val="(%1)"/>
      <w:numFmt w:val="decimal"/>
      <w:start w:val="3"/>
    </w:lvl>
  </w:abstractNum>
  <w:abstractNum w:abstractNumId="77">
    <w:nsid w:val="11B1CC33"/>
    <w:multiLevelType w:val="hybridMultilevel"/>
    <w:lvl w:ilvl="0">
      <w:lvlJc w:val="left"/>
      <w:lvlText w:val="(%1)"/>
      <w:numFmt w:val="decimal"/>
      <w:start w:val="1"/>
    </w:lvl>
  </w:abstractNum>
  <w:abstractNum w:abstractNumId="78">
    <w:nsid w:val="2E22FBB7"/>
    <w:multiLevelType w:val="hybridMultilevel"/>
    <w:lvl w:ilvl="0">
      <w:lvlJc w:val="left"/>
      <w:lvlText w:val="(%1)"/>
      <w:numFmt w:val="decimal"/>
      <w:start w:val="11"/>
    </w:lvl>
  </w:abstractNum>
  <w:abstractNum w:abstractNumId="79">
    <w:nsid w:val="29934699"/>
    <w:multiLevelType w:val="hybridMultilevel"/>
    <w:lvl w:ilvl="0">
      <w:lvlJc w:val="left"/>
      <w:lvlText w:val="•"/>
      <w:numFmt w:val="bullet"/>
      <w:start w:val="1"/>
    </w:lvl>
  </w:abstractNum>
  <w:abstractNum w:abstractNumId="80">
    <w:nsid w:val="77485850"/>
    <w:multiLevelType w:val="hybridMultilevel"/>
    <w:lvl w:ilvl="0">
      <w:lvlJc w:val="left"/>
      <w:lvlText w:val="•"/>
      <w:numFmt w:val="bullet"/>
      <w:start w:val="1"/>
    </w:lvl>
  </w:abstractNum>
  <w:abstractNum w:abstractNumId="81">
    <w:nsid w:val="744939A3"/>
    <w:multiLevelType w:val="hybridMultilevel"/>
    <w:lvl w:ilvl="0">
      <w:lvlJc w:val="left"/>
      <w:lvlText w:val="(%1)"/>
      <w:numFmt w:val="decimal"/>
      <w:start w:val="1"/>
    </w:lvl>
  </w:abstractNum>
  <w:abstractNum w:abstractNumId="82">
    <w:nsid w:val="4FA0D2E3"/>
    <w:multiLevelType w:val="hybridMultilevel"/>
    <w:lvl w:ilvl="0">
      <w:lvlJc w:val="left"/>
      <w:lvlText w:val="(%1)"/>
      <w:numFmt w:val="decimal"/>
      <w:start w:val="1"/>
    </w:lvl>
  </w:abstractNum>
  <w:abstractNum w:abstractNumId="83">
    <w:nsid w:val="6B1D2C14"/>
    <w:multiLevelType w:val="hybridMultilevel"/>
    <w:lvl w:ilvl="0">
      <w:lvlJc w:val="left"/>
      <w:lvlText w:val="•"/>
      <w:numFmt w:val="bullet"/>
      <w:start w:val="1"/>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
      <w:numFmt w:val="bullet"/>
      <w:start w:val="1"/>
    </w:lvl>
  </w:abstractNum>
  <w:abstractNum w:abstractNumId="86">
    <w:nsid w:val="2AE05A34"/>
    <w:multiLevelType w:val="hybridMultilevel"/>
    <w:lvl w:ilvl="0">
      <w:lvlJc w:val="left"/>
      <w:lvlText w:val="(%1)"/>
      <w:numFmt w:val="decimal"/>
      <w:start w:val="1"/>
    </w:lvl>
    <w:lvl w:ilvl="1">
      <w:lvlJc w:val="left"/>
      <w:lvlText w:val="•"/>
      <w:numFmt w:val="bullet"/>
      <w:start w:val="1"/>
    </w:lvl>
  </w:abstractNum>
  <w:abstractNum w:abstractNumId="87">
    <w:nsid w:val="32794FF7"/>
    <w:multiLevelType w:val="hybridMultilevel"/>
    <w:lvl w:ilvl="0">
      <w:lvlJc w:val="left"/>
      <w:lvlText w:val="•"/>
      <w:numFmt w:val="bullet"/>
      <w:start w:val="1"/>
    </w:lvl>
  </w:abstractNum>
  <w:abstractNum w:abstractNumId="88">
    <w:nsid w:val="5454945E"/>
    <w:multiLevelType w:val="hybridMultilevel"/>
    <w:lvl w:ilvl="0">
      <w:lvlJc w:val="left"/>
      <w:lvlText w:val="•"/>
      <w:numFmt w:val="bullet"/>
      <w:start w:val="1"/>
    </w:lvl>
  </w:abstractNum>
  <w:abstractNum w:abstractNumId="89">
    <w:nsid w:val="4DEFDFA0"/>
    <w:multiLevelType w:val="hybridMultilevel"/>
    <w:lvl w:ilvl="0">
      <w:lvlJc w:val="left"/>
      <w:lvlText w:val="%1."/>
      <w:numFmt w:val="decimal"/>
      <w:start w:val="3"/>
    </w:lvl>
  </w:abstractNum>
  <w:abstractNum w:abstractNumId="90">
    <w:nsid w:val="2123D5F2"/>
    <w:multiLevelType w:val="hybridMultilevel"/>
    <w:lvl w:ilvl="0">
      <w:lvlJc w:val="left"/>
      <w:lvlText w:val="•"/>
      <w:numFmt w:val="bullet"/>
      <w:start w:val="1"/>
    </w:lvl>
  </w:abstractNum>
  <w:abstractNum w:abstractNumId="91">
    <w:nsid w:val="135B8110"/>
    <w:multiLevelType w:val="hybridMultilevel"/>
    <w:lvl w:ilvl="0">
      <w:lvlJc w:val="left"/>
      <w:lvlText w:val="•"/>
      <w:numFmt w:val="bullet"/>
      <w:start w:val="1"/>
    </w:lvl>
  </w:abstractNum>
  <w:abstractNum w:abstractNumId="92">
    <w:nsid w:val="94927A8"/>
    <w:multiLevelType w:val="hybridMultilevel"/>
    <w:lvl w:ilvl="0">
      <w:lvlJc w:val="left"/>
      <w:lvlText w:val="(%1)"/>
      <w:numFmt w:val="decimal"/>
      <w:start w:val="1"/>
    </w:lvl>
  </w:abstractNum>
  <w:abstractNum w:abstractNumId="93">
    <w:nsid w:val="DCDF8F6"/>
    <w:multiLevelType w:val="hybridMultilevel"/>
    <w:lvl w:ilvl="0">
      <w:lvlJc w:val="left"/>
      <w:lvlText w:val="(%1)"/>
      <w:numFmt w:val="decimal"/>
      <w:start w:val="1"/>
    </w:lvl>
  </w:abstractNum>
  <w:abstractNum w:abstractNumId="94">
    <w:nsid w:val="52D7B105"/>
    <w:multiLevelType w:val="hybridMultilevel"/>
    <w:lvl w:ilvl="0">
      <w:lvlJc w:val="left"/>
      <w:lvlText w:val="(%1)"/>
      <w:numFmt w:val="decimal"/>
      <w:start w:val="1"/>
    </w:lvl>
  </w:abstractNum>
  <w:abstractNum w:abstractNumId="95">
    <w:nsid w:val="2E8A6394"/>
    <w:multiLevelType w:val="hybridMultilevel"/>
    <w:lvl w:ilvl="0">
      <w:lvlJc w:val="left"/>
      <w:lvlText w:val="(%1)"/>
      <w:numFmt w:val="decimal"/>
      <w:start w:val="1"/>
    </w:lvl>
  </w:abstractNum>
  <w:abstractNum w:abstractNumId="96">
    <w:nsid w:val="24E60401"/>
    <w:multiLevelType w:val="hybridMultilevel"/>
    <w:lvl w:ilvl="0">
      <w:lvlJc w:val="left"/>
      <w:lvlText w:val="•"/>
      <w:numFmt w:val="bullet"/>
      <w:start w:val="1"/>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
      <w:numFmt w:val="bullet"/>
      <w:start w:val="1"/>
    </w:lvl>
  </w:abstractNum>
  <w:abstractNum w:abstractNumId="99">
    <w:nsid w:val="36B2ACBC"/>
    <w:multiLevelType w:val="hybridMultilevel"/>
    <w:lvl w:ilvl="0">
      <w:lvlJc w:val="left"/>
      <w:lvlText w:val="#"/>
      <w:numFmt w:val="bullet"/>
      <w:start w:val="1"/>
    </w:lvl>
  </w:abstractNum>
  <w:abstractNum w:abstractNumId="100">
    <w:nsid w:val="779D8544"/>
    <w:multiLevelType w:val="hybridMultilevel"/>
    <w:lvl w:ilvl="0">
      <w:lvlJc w:val="left"/>
      <w:lvlText w:val="*"/>
      <w:numFmt w:val="bullet"/>
      <w:start w:val="1"/>
    </w:lvl>
  </w:abstractNum>
  <w:abstractNum w:abstractNumId="101">
    <w:nsid w:val="4AB26E78"/>
    <w:multiLevelType w:val="hybridMultilevel"/>
    <w:lvl w:ilvl="0">
      <w:lvlJc w:val="left"/>
      <w:lvlText w:val="(%1)"/>
      <w:numFmt w:val="decimal"/>
      <w:start w:val="1"/>
    </w:lvl>
  </w:abstractNum>
  <w:abstractNum w:abstractNumId="102">
    <w:nsid w:val="21FAA2FA"/>
    <w:multiLevelType w:val="hybridMultilevel"/>
    <w:lvl w:ilvl="0">
      <w:lvlJc w:val="left"/>
      <w:lvlText w:val="(%1)"/>
      <w:numFmt w:val="decimal"/>
      <w:start w:val="14"/>
    </w:lvl>
  </w:abstractNum>
  <w:abstractNum w:abstractNumId="103">
    <w:nsid w:val="5451CF49"/>
    <w:multiLevelType w:val="hybridMultilevel"/>
    <w:lvl w:ilvl="0">
      <w:lvlJc w:val="left"/>
      <w:lvlText w:val="•"/>
      <w:numFmt w:val="bullet"/>
      <w:start w:val="1"/>
    </w:lvl>
  </w:abstractNum>
  <w:abstractNum w:abstractNumId="104">
    <w:nsid w:val="6181EF69"/>
    <w:multiLevelType w:val="hybridMultilevel"/>
    <w:lvl w:ilvl="0">
      <w:lvlJc w:val="left"/>
      <w:lvlText w:val="•"/>
      <w:numFmt w:val="bullet"/>
      <w:start w:val="1"/>
    </w:lvl>
  </w:abstractNum>
  <w:abstractNum w:abstractNumId="105">
    <w:nsid w:val="3E6400E6"/>
    <w:multiLevelType w:val="hybridMultilevel"/>
    <w:lvl w:ilvl="0">
      <w:lvlJc w:val="left"/>
      <w:lvlText w:val="•"/>
      <w:numFmt w:val="bullet"/>
      <w:start w:val="1"/>
    </w:lvl>
  </w:abstractNum>
  <w:abstractNum w:abstractNumId="106">
    <w:nsid w:val="14217E23"/>
    <w:multiLevelType w:val="hybridMultilevel"/>
    <w:lvl w:ilvl="0">
      <w:lvlJc w:val="left"/>
      <w:lvlText w:val="•"/>
      <w:numFmt w:val="bullet"/>
      <w:start w:val="1"/>
    </w:lvl>
  </w:abstractNum>
  <w:abstractNum w:abstractNumId="107">
    <w:nsid w:val="710757D0"/>
    <w:multiLevelType w:val="hybridMultilevel"/>
    <w:lvl w:ilvl="0">
      <w:lvlJc w:val="left"/>
      <w:lvlText w:val="•"/>
      <w:numFmt w:val="bullet"/>
      <w:start w:val="1"/>
    </w:lvl>
  </w:abstractNum>
  <w:abstractNum w:abstractNumId="108">
    <w:nsid w:val="5015CD1A"/>
    <w:multiLevelType w:val="hybridMultilevel"/>
    <w:lvl w:ilvl="0">
      <w:lvlJc w:val="left"/>
      <w:lvlText w:val="•"/>
      <w:numFmt w:val="bullet"/>
      <w:start w:val="1"/>
    </w:lvl>
  </w:abstractNum>
  <w:abstractNum w:abstractNumId="109">
    <w:nsid w:val="424479DA"/>
    <w:multiLevelType w:val="hybridMultilevel"/>
    <w:lvl w:ilvl="0">
      <w:lvlJc w:val="left"/>
      <w:lvlText w:val="•"/>
      <w:numFmt w:val="bullet"/>
      <w:start w:val="1"/>
    </w:lvl>
  </w:abstractNum>
  <w:abstractNum w:abstractNumId="110">
    <w:nsid w:val="1A9A9E69"/>
    <w:multiLevelType w:val="hybridMultilevel"/>
    <w:lvl w:ilvl="0">
      <w:lvlJc w:val="left"/>
      <w:lvlText w:val="•"/>
      <w:numFmt w:val="bullet"/>
      <w:start w:val="1"/>
    </w:lvl>
  </w:abstractNum>
  <w:abstractNum w:abstractNumId="111">
    <w:nsid w:val="475E256A"/>
    <w:multiLevelType w:val="hybridMultilevel"/>
    <w:lvl w:ilvl="0">
      <w:lvlJc w:val="left"/>
      <w:lvlText w:val="•"/>
      <w:numFmt w:val="bullet"/>
      <w:start w:val="1"/>
    </w:lvl>
  </w:abstractNum>
  <w:abstractNum w:abstractNumId="112">
    <w:nsid w:val="368DB37E"/>
    <w:multiLevelType w:val="hybridMultilevel"/>
    <w:lvl w:ilvl="0">
      <w:lvlJc w:val="left"/>
      <w:lvlText w:val="%1."/>
      <w:numFmt w:val="lowerLetter"/>
      <w:start w:val="1"/>
    </w:lvl>
  </w:abstractNum>
  <w:abstractNum w:abstractNumId="113">
    <w:nsid w:val="6A3B714C"/>
    <w:multiLevelType w:val="hybridMultilevel"/>
    <w:lvl w:ilvl="0">
      <w:lvlJc w:val="left"/>
      <w:lvlText w:val="•"/>
      <w:numFmt w:val="bullet"/>
      <w:start w:val="1"/>
    </w:lvl>
  </w:abstractNum>
  <w:abstractNum w:abstractNumId="114">
    <w:nsid w:val="327B517E"/>
    <w:multiLevelType w:val="hybridMultilevel"/>
    <w:lvl w:ilvl="0">
      <w:lvlJc w:val="left"/>
      <w:lvlText w:val="%1."/>
      <w:numFmt w:val="lowerLetter"/>
      <w:start w:val="1"/>
    </w:lvl>
  </w:abstractNum>
  <w:abstractNum w:abstractNumId="115">
    <w:nsid w:val="1F461B51"/>
    <w:multiLevelType w:val="hybridMultilevel"/>
    <w:lvl w:ilvl="0">
      <w:lvlJc w:val="left"/>
      <w:lvlText w:val="%1."/>
      <w:numFmt w:val="lowerLetter"/>
      <w:start w:val="3"/>
    </w:lvl>
  </w:abstractNum>
  <w:abstractNum w:abstractNumId="116">
    <w:nsid w:val="29BACF25"/>
    <w:multiLevelType w:val="hybridMultilevel"/>
    <w:lvl w:ilvl="0">
      <w:lvlJc w:val="left"/>
      <w:lvlText w:val="%1."/>
      <w:numFmt w:val="lowerLetter"/>
      <w:start w:val="1"/>
    </w:lvl>
  </w:abstractNum>
  <w:abstractNum w:abstractNumId="117">
    <w:nsid w:val="5D5BABB3"/>
    <w:multiLevelType w:val="hybridMultilevel"/>
    <w:lvl w:ilvl="0">
      <w:lvlJc w:val="left"/>
      <w:lvlText w:val="(%1)"/>
      <w:numFmt w:val="lowerRoman"/>
      <w:start w:val="1"/>
    </w:lvl>
  </w:abstractNum>
  <w:abstractNum w:abstractNumId="118">
    <w:nsid w:val="51BF6B48"/>
    <w:multiLevelType w:val="hybridMultilevel"/>
    <w:lvl w:ilvl="0">
      <w:lvlJc w:val="left"/>
      <w:lvlText w:val="%1."/>
      <w:numFmt w:val="decimal"/>
      <w:start w:val="1"/>
    </w:lvl>
  </w:abstractNum>
  <w:abstractNum w:abstractNumId="119">
    <w:nsid w:val="7E0F6384"/>
    <w:multiLevelType w:val="hybridMultilevel"/>
    <w:lvl w:ilvl="0">
      <w:lvlJc w:val="left"/>
      <w:lvlText w:val="%1."/>
      <w:numFmt w:val="decimal"/>
      <w:start w:val="2"/>
    </w:lvl>
  </w:abstractNum>
  <w:abstractNum w:abstractNumId="120">
    <w:nsid w:val="2B4B8B53"/>
    <w:multiLevelType w:val="hybridMultilevel"/>
    <w:lvl w:ilvl="0">
      <w:lvlJc w:val="left"/>
      <w:lvlText w:val="%1."/>
      <w:numFmt w:val="decimal"/>
      <w:start w:val="12"/>
    </w:lvl>
  </w:abstractNum>
  <w:abstractNum w:abstractNumId="121">
    <w:nsid w:val="72E3413A"/>
    <w:multiLevelType w:val="hybridMultilevel"/>
    <w:lvl w:ilvl="0">
      <w:lvlJc w:val="left"/>
      <w:lvlText w:val="%1."/>
      <w:numFmt w:val="decimal"/>
      <w:start w:val="3"/>
    </w:lvl>
  </w:abstractNum>
  <w:abstractNum w:abstractNumId="122">
    <w:nsid w:val="116AE494"/>
    <w:multiLevelType w:val="hybridMultilevel"/>
    <w:lvl w:ilvl="0">
      <w:lvlJc w:val="left"/>
      <w:lvlText w:val="%1."/>
      <w:numFmt w:val="decimal"/>
      <w:start w:val="5"/>
    </w:lvl>
  </w:abstractNum>
  <w:abstractNum w:abstractNumId="123">
    <w:nsid w:val="3494B2FB"/>
    <w:multiLevelType w:val="hybridMultilevel"/>
    <w:lvl w:ilvl="0">
      <w:lvlJc w:val="left"/>
      <w:lvlText w:val="%1."/>
      <w:numFmt w:val="decimal"/>
      <w:start w:val="6"/>
    </w:lvl>
  </w:abstractNum>
  <w:abstractNum w:abstractNumId="124">
    <w:nsid w:val="B13A31"/>
    <w:multiLevelType w:val="hybridMultilevel"/>
    <w:lvl w:ilvl="0">
      <w:lvlJc w:val="left"/>
      <w:lvlText w:val="%1."/>
      <w:numFmt w:val="decimal"/>
      <w:start w:val="7"/>
    </w:lvl>
  </w:abstractNum>
  <w:abstractNum w:abstractNumId="125">
    <w:nsid w:val="64429599"/>
    <w:multiLevelType w:val="hybridMultilevel"/>
    <w:lvl w:ilvl="0">
      <w:lvlJc w:val="left"/>
      <w:lvlText w:val="%1."/>
      <w:numFmt w:val="decimal"/>
      <w:start w:val="8"/>
    </w:lvl>
  </w:abstractNum>
  <w:abstractNum w:abstractNumId="126">
    <w:nsid w:val="631F1690"/>
    <w:multiLevelType w:val="hybridMultilevel"/>
    <w:lvl w:ilvl="0">
      <w:lvlJc w:val="left"/>
      <w:lvlText w:val="%1."/>
      <w:numFmt w:val="decimal"/>
      <w:start w:val="9"/>
    </w:lvl>
  </w:abstractNum>
  <w:abstractNum w:abstractNumId="127">
    <w:nsid w:val="25973E32"/>
    <w:multiLevelType w:val="hybridMultilevel"/>
    <w:lvl w:ilvl="0">
      <w:lvlJc w:val="left"/>
      <w:lvlText w:val="%1."/>
      <w:numFmt w:val="decimal"/>
      <w:start w:val="10"/>
    </w:lvl>
  </w:abstractNum>
  <w:abstractNum w:abstractNumId="128">
    <w:nsid w:val="EAD6F57"/>
    <w:multiLevelType w:val="hybridMultilevel"/>
    <w:lvl w:ilvl="0">
      <w:lvlJc w:val="left"/>
      <w:lvlText w:val="%1."/>
      <w:numFmt w:val="decimal"/>
      <w:start w:val="11"/>
    </w:lvl>
  </w:abstractNum>
  <w:abstractNum w:abstractNumId="129">
    <w:nsid w:val="6EC9D844"/>
    <w:multiLevelType w:val="hybridMultilevel"/>
    <w:lvl w:ilvl="0">
      <w:lvlJc w:val="left"/>
      <w:lvlText w:val="%1."/>
      <w:numFmt w:val="decimal"/>
      <w:start w:val="12"/>
    </w:lvl>
  </w:abstractNum>
  <w:abstractNum w:abstractNumId="130">
    <w:nsid w:val="5C49EAEE"/>
    <w:multiLevelType w:val="hybridMultilevel"/>
    <w:lvl w:ilvl="0">
      <w:lvlJc w:val="left"/>
      <w:lvlText w:val="%1."/>
      <w:numFmt w:val="decimal"/>
      <w:start w:val="13"/>
    </w:lvl>
  </w:abstractNum>
  <w:abstractNum w:abstractNumId="131">
    <w:nsid w:val="64AF49B"/>
    <w:multiLevelType w:val="hybridMultilevel"/>
    <w:lvl w:ilvl="0">
      <w:lvlJc w:val="left"/>
      <w:lvlText w:val="%1."/>
      <w:numFmt w:val="decimal"/>
      <w:start w:val="14"/>
    </w:lvl>
  </w:abstractNum>
  <w:abstractNum w:abstractNumId="132">
    <w:nsid w:val="397C46BC"/>
    <w:multiLevelType w:val="hybridMultilevel"/>
    <w:lvl w:ilvl="0">
      <w:lvlJc w:val="left"/>
      <w:lvlText w:val="%1."/>
      <w:numFmt w:val="decimal"/>
      <w:start w:val="15"/>
    </w:lvl>
  </w:abstractNum>
  <w:abstractNum w:abstractNumId="133">
    <w:nsid w:val="7E448DE9"/>
    <w:multiLevelType w:val="hybridMultilevel"/>
    <w:lvl w:ilvl="0">
      <w:lvlJc w:val="left"/>
      <w:lvlText w:val="•"/>
      <w:numFmt w:val="bullet"/>
      <w:start w:val="1"/>
    </w:lvl>
  </w:abstractNum>
  <w:abstractNum w:abstractNumId="134">
    <w:nsid w:val="5A9CC3E5"/>
    <w:multiLevelType w:val="hybridMultilevel"/>
    <w:lvl w:ilvl="0">
      <w:lvlJc w:val="left"/>
      <w:lvlText w:val="•"/>
      <w:numFmt w:val="bullet"/>
      <w:start w:val="1"/>
    </w:lvl>
  </w:abstractNum>
  <w:abstractNum w:abstractNumId="135">
    <w:nsid w:val="1AFE3625"/>
    <w:multiLevelType w:val="hybridMultilevel"/>
    <w:lvl w:ilvl="0">
      <w:lvlJc w:val="left"/>
      <w:lvlText w:val="•"/>
      <w:numFmt w:val="bullet"/>
      <w:start w:val="1"/>
    </w:lvl>
  </w:abstractNum>
  <w:abstractNum w:abstractNumId="136">
    <w:nsid w:val="3CA88ECF"/>
    <w:multiLevelType w:val="hybridMultilevel"/>
    <w:lvl w:ilvl="0">
      <w:lvlJc w:val="left"/>
      <w:lvlText w:val="(%1)"/>
      <w:numFmt w:val="lowerLetter"/>
      <w:start w:val="1"/>
    </w:lvl>
  </w:abstractNum>
  <w:abstractNum w:abstractNumId="137">
    <w:nsid w:val="6EBE4208"/>
    <w:multiLevelType w:val="hybridMultilevel"/>
    <w:lvl w:ilvl="0">
      <w:lvlJc w:val="left"/>
      <w:lvlText w:val="(%1)"/>
      <w:numFmt w:val="lowerLetter"/>
      <w:start w:val="2"/>
    </w:lvl>
  </w:abstractNum>
  <w:abstractNum w:abstractNumId="138">
    <w:nsid w:val="C058DF5"/>
    <w:multiLevelType w:val="hybridMultilevel"/>
    <w:lvl w:ilvl="0">
      <w:lvlJc w:val="left"/>
      <w:lvlText w:val="(%1)"/>
      <w:numFmt w:val="decimal"/>
      <w:start w:val="1"/>
    </w:lvl>
  </w:abstractNum>
  <w:abstractNum w:abstractNumId="139">
    <w:nsid w:val="CBE5BE9"/>
    <w:multiLevelType w:val="hybridMultilevel"/>
    <w:lvl w:ilvl="0">
      <w:lvlJc w:val="left"/>
      <w:lvlText w:val="*"/>
      <w:numFmt w:val="bullet"/>
      <w:start w:val="1"/>
    </w:lvl>
  </w:abstractNum>
  <w:abstractNum w:abstractNumId="140">
    <w:nsid w:val="3102BBE2"/>
    <w:multiLevelType w:val="hybridMultilevel"/>
    <w:lvl w:ilvl="0">
      <w:lvlJc w:val="left"/>
      <w:lvlText w:val="+"/>
      <w:numFmt w:val="bullet"/>
      <w:start w:val="1"/>
    </w:lvl>
  </w:abstractNum>
  <w:abstractNum w:abstractNumId="141">
    <w:nsid w:val="26A02C5E"/>
    <w:multiLevelType w:val="hybridMultilevel"/>
    <w:lvl w:ilvl="0">
      <w:lvlJc w:val="left"/>
      <w:lvlText w:val="#"/>
      <w:numFmt w:val="bullet"/>
      <w:start w:val="1"/>
    </w:lvl>
  </w:abstractNum>
  <w:abstractNum w:abstractNumId="142">
    <w:nsid w:val="541C8153"/>
    <w:multiLevelType w:val="hybridMultilevel"/>
    <w:lvl w:ilvl="0">
      <w:lvlJc w:val="left"/>
      <w:lvlText w:val="[●]"/>
      <w:numFmt w:val="bullet"/>
      <w:start w:val="1"/>
    </w:lvl>
  </w:abstractNum>
  <w:abstractNum w:abstractNumId="143">
    <w:nsid w:val="67906F60"/>
    <w:multiLevelType w:val="hybridMultilevel"/>
    <w:lvl w:ilvl="0">
      <w:lvlJc w:val="left"/>
      <w:lvlText w:val="%1."/>
      <w:numFmt w:val="decimal"/>
      <w:start w:val="1"/>
    </w:lvl>
  </w:abstractNum>
  <w:abstractNum w:abstractNumId="144">
    <w:nsid w:val="10DB9DAA"/>
    <w:multiLevelType w:val="hybridMultilevel"/>
    <w:lvl w:ilvl="0">
      <w:lvlJc w:val="left"/>
      <w:lvlText w:val="%1."/>
      <w:numFmt w:val="decimal"/>
      <w:start w:val="2"/>
    </w:lvl>
  </w:abstractNum>
  <w:abstractNum w:abstractNumId="145">
    <w:nsid w:val="697D2D2"/>
    <w:multiLevelType w:val="hybridMultilevel"/>
    <w:lvl w:ilvl="0">
      <w:lvlJc w:val="left"/>
      <w:lvlText w:val="(%1)"/>
      <w:numFmt w:val="lowerLetter"/>
      <w:start w:val="1"/>
    </w:lvl>
  </w:abstractNum>
  <w:abstractNum w:abstractNumId="146">
    <w:nsid w:val="6D68AB2"/>
    <w:multiLevelType w:val="hybridMultilevel"/>
    <w:lvl w:ilvl="0">
      <w:lvlJc w:val="left"/>
      <w:lvlText w:val="(%1)"/>
      <w:numFmt w:val="lowerLetter"/>
      <w:start w:val="2"/>
    </w:lvl>
  </w:abstractNum>
  <w:abstractNum w:abstractNumId="147">
    <w:nsid w:val="3A966CD0"/>
    <w:multiLevelType w:val="hybridMultilevel"/>
    <w:lvl w:ilvl="0">
      <w:lvlJc w:val="left"/>
      <w:lvlText w:val="(%1)"/>
      <w:numFmt w:val="lowerLetter"/>
      <w:start w:val="4"/>
    </w:lvl>
  </w:abstractNum>
  <w:abstractNum w:abstractNumId="148">
    <w:nsid w:val="63F37E85"/>
    <w:multiLevelType w:val="hybridMultilevel"/>
    <w:lvl w:ilvl="0">
      <w:lvlJc w:val="left"/>
      <w:lvlText w:val="%1."/>
      <w:numFmt w:val="decimal"/>
      <w:start w:val="3"/>
    </w:lvl>
    <w:lvl w:ilvl="1">
      <w:lvlJc w:val="left"/>
      <w:lvlText w:val="(%2)"/>
      <w:numFmt w:val="lowerLetter"/>
      <w:start w:val="1"/>
    </w:lvl>
  </w:abstractNum>
  <w:abstractNum w:abstractNumId="149">
    <w:nsid w:val="5895F5FA"/>
    <w:multiLevelType w:val="hybridMultilevel"/>
    <w:lvl w:ilvl="0">
      <w:lvlJc w:val="left"/>
      <w:lvlText w:val="(%1)"/>
      <w:numFmt w:val="lowerLetter"/>
      <w:start w:val="2"/>
    </w:lvl>
  </w:abstractNum>
  <w:abstractNum w:abstractNumId="150">
    <w:nsid w:val="38A5D054"/>
    <w:multiLevelType w:val="hybridMultilevel"/>
    <w:lvl w:ilvl="0">
      <w:lvlJc w:val="left"/>
      <w:lvlText w:val="(%1)"/>
      <w:numFmt w:val="lowerLetter"/>
      <w:start w:val="4"/>
    </w:lvl>
  </w:abstractNum>
  <w:abstractNum w:abstractNumId="151">
    <w:nsid w:val="F3F09D8"/>
    <w:multiLevelType w:val="hybridMultilevel"/>
    <w:lvl w:ilvl="0">
      <w:lvlJc w:val="left"/>
      <w:lvlText w:val="(%1)"/>
      <w:numFmt w:val="lowerLetter"/>
      <w:start w:val="8"/>
    </w:lvl>
  </w:abstractNum>
  <w:abstractNum w:abstractNumId="152">
    <w:nsid w:val="4B793735"/>
    <w:multiLevelType w:val="hybridMultilevel"/>
    <w:lvl w:ilvl="0">
      <w:lvlJc w:val="left"/>
      <w:lvlText w:val="(%1)"/>
      <w:numFmt w:val="lowerLetter"/>
      <w:start w:val="10"/>
    </w:lvl>
  </w:abstractNum>
  <w:abstractNum w:abstractNumId="153">
    <w:nsid w:val="4A10B4E8"/>
    <w:multiLevelType w:val="hybridMultilevel"/>
    <w:lvl w:ilvl="0">
      <w:lvlJc w:val="left"/>
      <w:lvlText w:val="(%1)"/>
      <w:numFmt w:val="lowerLetter"/>
      <w:start w:val="12"/>
    </w:lvl>
  </w:abstractNum>
  <w:abstractNum w:abstractNumId="154">
    <w:nsid w:val="43D3BCD4"/>
    <w:multiLevelType w:val="hybridMultilevel"/>
    <w:lvl w:ilvl="0">
      <w:lvlJc w:val="left"/>
      <w:lvlText w:val="(%1)"/>
      <w:numFmt w:val="lowerLetter"/>
      <w:start w:val="18"/>
    </w:lvl>
  </w:abstractNum>
  <w:abstractNum w:abstractNumId="155">
    <w:nsid w:val="4C2A7166"/>
    <w:multiLevelType w:val="hybridMultilevel"/>
    <w:lvl w:ilvl="0">
      <w:lvlJc w:val="left"/>
      <w:lvlText w:val="(%1)"/>
      <w:numFmt w:val="lowerLetter"/>
      <w:start w:val="21"/>
    </w:lvl>
  </w:abstractNum>
  <w:abstractNum w:abstractNumId="156">
    <w:nsid w:val="2E534A82"/>
    <w:multiLevelType w:val="hybridMultilevel"/>
    <w:lvl w:ilvl="0">
      <w:lvlJc w:val="left"/>
      <w:lvlText w:val="%1"/>
      <w:numFmt w:val="upperLetter"/>
      <w:start w:val="1"/>
    </w:lvl>
    <w:lvl w:ilvl="1">
      <w:lvlJc w:val="left"/>
      <w:lvlText w:val="(%2)"/>
      <w:numFmt w:val="lowerLetter"/>
      <w:start w:val="23"/>
    </w:lvl>
  </w:abstractNum>
  <w:abstractNum w:abstractNumId="157">
    <w:nsid w:val="26F2D364"/>
    <w:multiLevelType w:val="hybridMultilevel"/>
    <w:lvl w:ilvl="0">
      <w:lvlJc w:val="left"/>
      <w:lvlText w:val="(%1)"/>
      <w:numFmt w:val="upperLetter"/>
      <w:start w:val="1"/>
    </w:lvl>
    <w:lvl w:ilvl="1">
      <w:lvlJc w:val="left"/>
      <w:lvlText w:val="(%2)"/>
      <w:numFmt w:val="lowerLetter"/>
      <w:start w:val="24"/>
    </w:lvl>
  </w:abstractNum>
  <w:abstractNum w:abstractNumId="158">
    <w:nsid w:val="71C1AF98"/>
    <w:multiLevelType w:val="hybridMultilevel"/>
    <w:lvl w:ilvl="0">
      <w:lvlJc w:val="left"/>
      <w:lvlText w:val="(%1)"/>
      <w:numFmt w:val="lowerLetter"/>
      <w:start w:val="27"/>
    </w:lvl>
  </w:abstractNum>
  <w:abstractNum w:abstractNumId="159">
    <w:nsid w:val="3D00B9D9"/>
    <w:multiLevelType w:val="hybridMultilevel"/>
    <w:lvl w:ilvl="0">
      <w:lvlJc w:val="left"/>
      <w:lvlText w:val="(%1)"/>
      <w:numFmt w:val="lowerLetter"/>
      <w:start w:val="28"/>
    </w:lvl>
  </w:abstractNum>
  <w:abstractNum w:abstractNumId="160">
    <w:nsid w:val="15BCABA8"/>
    <w:multiLevelType w:val="hybridMultilevel"/>
    <w:lvl w:ilvl="0">
      <w:lvlJc w:val="left"/>
      <w:lvlText w:val="(%1)"/>
      <w:numFmt w:val="lowerLetter"/>
      <w:start w:val="26"/>
    </w:lvl>
    <w:lvl w:ilvl="1">
      <w:lvlJc w:val="left"/>
      <w:lvlText w:val="(%2)"/>
      <w:numFmt w:val="lowerLetter"/>
      <w:start w:val="30"/>
    </w:lvl>
  </w:abstractNum>
  <w:abstractNum w:abstractNumId="161">
    <w:nsid w:val="4E0B9A87"/>
    <w:multiLevelType w:val="hybridMultilevel"/>
    <w:lvl w:ilvl="0">
      <w:lvlJc w:val="left"/>
      <w:lvlText w:val="(%1)"/>
      <w:numFmt w:val="lowerLetter"/>
      <w:start w:val="35"/>
    </w:lvl>
    <w:lvl w:ilvl="1">
      <w:lvlJc w:val="left"/>
      <w:lvlText w:val="%2"/>
      <w:numFmt w:val="lowerLetter"/>
      <w:start w:val="1"/>
    </w:lvl>
  </w:abstractNum>
  <w:abstractNum w:abstractNumId="162">
    <w:nsid w:val="434BAE75"/>
    <w:multiLevelType w:val="hybridMultilevel"/>
    <w:lvl w:ilvl="0">
      <w:lvlJc w:val="left"/>
      <w:lvlText w:val="%1)"/>
      <w:numFmt w:val="decimal"/>
      <w:start w:val="60"/>
    </w:lvl>
    <w:lvl w:ilvl="1">
      <w:lvlJc w:val="left"/>
      <w:lvlText w:val="(%2)"/>
      <w:numFmt w:val="lowerLetter"/>
      <w:start w:val="32"/>
    </w:lvl>
  </w:abstractNum>
  <w:abstractNum w:abstractNumId="163">
    <w:nsid w:val="4F38F265"/>
    <w:multiLevelType w:val="hybridMultilevel"/>
    <w:lvl w:ilvl="0">
      <w:lvlJc w:val="left"/>
      <w:lvlText w:val="(%1)"/>
      <w:numFmt w:val="lowerLetter"/>
      <w:start w:val="34"/>
    </w:lvl>
  </w:abstractNum>
  <w:abstractNum w:abstractNumId="164">
    <w:nsid w:val="4C502870"/>
    <w:multiLevelType w:val="hybridMultilevel"/>
    <w:lvl w:ilvl="0">
      <w:lvlJc w:val="left"/>
      <w:lvlText w:val="%1"/>
      <w:numFmt w:val="lowerRoman"/>
      <w:start w:val="1"/>
    </w:lvl>
    <w:lvl w:ilvl="1">
      <w:lvlJc w:val="left"/>
      <w:lvlText w:val="(%2)"/>
      <w:numFmt w:val="lowerLetter"/>
      <w:start w:val="36"/>
    </w:lvl>
  </w:abstractNum>
  <w:abstractNum w:abstractNumId="165">
    <w:nsid w:val="1DE8725A"/>
    <w:multiLevelType w:val="hybridMultilevel"/>
    <w:lvl w:ilvl="0">
      <w:lvlJc w:val="left"/>
      <w:lvlText w:val="(%1)"/>
      <w:numFmt w:val="lowerRoman"/>
      <w:start w:val="4"/>
    </w:lvl>
    <w:lvl w:ilvl="1">
      <w:lvlJc w:val="left"/>
      <w:lvlText w:val="%2"/>
      <w:numFmt w:val="lowerLetter"/>
      <w:start w:val="1"/>
    </w:lvl>
  </w:abstractNum>
  <w:abstractNum w:abstractNumId="166">
    <w:nsid w:val="6A37288A"/>
    <w:multiLevelType w:val="hybridMultilevel"/>
    <w:lvl w:ilvl="0">
      <w:lvlJc w:val="left"/>
      <w:lvlText w:val="(%1)"/>
      <w:numFmt w:val="lowerLetter"/>
      <w:start w:val="37"/>
    </w:lvl>
  </w:abstractNum>
  <w:abstractNum w:abstractNumId="167">
    <w:nsid w:val="8F8B73F"/>
    <w:multiLevelType w:val="hybridMultilevel"/>
    <w:lvl w:ilvl="0">
      <w:lvlJc w:val="left"/>
      <w:lvlText w:val="(%1)"/>
      <w:numFmt w:val="lowerLetter"/>
      <w:start w:val="39"/>
    </w:lvl>
  </w:abstractNum>
  <w:abstractNum w:abstractNumId="168">
    <w:nsid w:val="CA6B462"/>
    <w:multiLevelType w:val="hybridMultilevel"/>
    <w:lvl w:ilvl="0">
      <w:lvlJc w:val="left"/>
      <w:lvlText w:val="%1"/>
      <w:numFmt w:val="decimal"/>
      <w:start w:val="1"/>
    </w:lvl>
    <w:lvl w:ilvl="1">
      <w:lvlJc w:val="left"/>
      <w:lvlText w:val="(%2)"/>
      <w:numFmt w:val="lowerLetter"/>
      <w:start w:val="47"/>
    </w:lvl>
  </w:abstractNum>
  <w:abstractNum w:abstractNumId="169">
    <w:nsid w:val="763CB680"/>
    <w:multiLevelType w:val="hybridMultilevel"/>
    <w:lvl w:ilvl="0">
      <w:lvlJc w:val="left"/>
      <w:lvlText w:val="%1."/>
      <w:numFmt w:val="decimal"/>
      <w:start w:val="4"/>
    </w:lvl>
    <w:lvl w:ilvl="1">
      <w:lvlJc w:val="left"/>
      <w:lvlText w:val="(%2)"/>
      <w:numFmt w:val="lowerLetter"/>
      <w:start w:val="1"/>
    </w:lvl>
  </w:abstractNum>
  <w:abstractNum w:abstractNumId="170">
    <w:nsid w:val="15B71329"/>
    <w:multiLevelType w:val="hybridMultilevel"/>
    <w:lvl w:ilvl="0">
      <w:lvlJc w:val="left"/>
      <w:lvlText w:val="(%1)"/>
      <w:numFmt w:val="lowerLetter"/>
      <w:start w:val="2"/>
    </w:lvl>
  </w:abstractNum>
  <w:abstractNum w:abstractNumId="171">
    <w:nsid w:val="3DA97044"/>
    <w:multiLevelType w:val="hybridMultilevel"/>
    <w:lvl w:ilvl="0">
      <w:lvlJc w:val="left"/>
      <w:lvlText w:val="(%1)"/>
      <w:numFmt w:val="lowerLetter"/>
      <w:start w:val="5"/>
    </w:lvl>
  </w:abstractNum>
  <w:abstractNum w:abstractNumId="172">
    <w:nsid w:val="1CDCE2DE"/>
    <w:multiLevelType w:val="hybridMultilevel"/>
    <w:lvl w:ilvl="0">
      <w:lvlJc w:val="left"/>
      <w:lvlText w:val="%1"/>
      <w:numFmt w:val="lowerLetter"/>
      <w:start w:val="1"/>
    </w:lvl>
    <w:lvl w:ilvl="1">
      <w:lvlJc w:val="left"/>
      <w:lvlText w:val="(%2)"/>
      <w:numFmt w:val="lowerLetter"/>
      <w:start w:val="8"/>
    </w:lvl>
  </w:abstractNum>
  <w:abstractNum w:abstractNumId="173">
    <w:nsid w:val="69D3947C"/>
    <w:multiLevelType w:val="hybridMultilevel"/>
    <w:lvl w:ilvl="0">
      <w:lvlJc w:val="left"/>
      <w:lvlText w:val="(%1)"/>
      <w:numFmt w:val="lowerLetter"/>
      <w:start w:val="61"/>
    </w:lvl>
    <w:lvl w:ilvl="1">
      <w:lvlJc w:val="left"/>
      <w:lvlText w:val="(%2)"/>
      <w:numFmt w:val="lowerLetter"/>
      <w:start w:val="10"/>
    </w:lvl>
  </w:abstractNum>
  <w:abstractNum w:abstractNumId="174">
    <w:nsid w:val="2539DFA5"/>
    <w:multiLevelType w:val="hybridMultilevel"/>
    <w:lvl w:ilvl="0">
      <w:lvlJc w:val="left"/>
      <w:lvlText w:val="%1"/>
      <w:numFmt w:val="decimal"/>
      <w:start w:val="1"/>
    </w:lvl>
    <w:lvl w:ilvl="1">
      <w:lvlJc w:val="left"/>
      <w:lvlText w:val="(%2)"/>
      <w:numFmt w:val="lowerLetter"/>
      <w:start w:val="11"/>
    </w:lvl>
  </w:abstractNum>
  <w:abstractNum w:abstractNumId="175">
    <w:nsid w:val="2DB88089"/>
    <w:multiLevelType w:val="hybridMultilevel"/>
    <w:lvl w:ilvl="0">
      <w:lvlJc w:val="left"/>
      <w:lvlText w:val="%1."/>
      <w:numFmt w:val="decimal"/>
      <w:start w:val="5"/>
    </w:lvl>
    <w:lvl w:ilvl="1">
      <w:lvlJc w:val="left"/>
      <w:lvlText w:val="(%2)"/>
      <w:numFmt w:val="lowerLetter"/>
      <w:start w:val="1"/>
    </w:lvl>
  </w:abstractNum>
  <w:abstractNum w:abstractNumId="176">
    <w:nsid w:val="706B674E"/>
    <w:multiLevelType w:val="hybridMultilevel"/>
    <w:lvl w:ilvl="0">
      <w:lvlJc w:val="left"/>
      <w:lvlText w:val="(%1)"/>
      <w:numFmt w:val="lowerLetter"/>
      <w:start w:val="2"/>
    </w:lvl>
  </w:abstractNum>
  <w:abstractNum w:abstractNumId="177">
    <w:nsid w:val="2C106A57"/>
    <w:multiLevelType w:val="hybridMultilevel"/>
    <w:lvl w:ilvl="0">
      <w:lvlJc w:val="left"/>
      <w:lvlText w:val="(%1)"/>
      <w:numFmt w:val="lowerLetter"/>
      <w:start w:val="5"/>
    </w:lvl>
  </w:abstractNum>
  <w:abstractNum w:abstractNumId="178">
    <w:nsid w:val="684EED59"/>
    <w:multiLevelType w:val="hybridMultilevel"/>
    <w:lvl w:ilvl="0">
      <w:lvlJc w:val="left"/>
      <w:lvlText w:val="(%1)"/>
      <w:numFmt w:val="lowerLetter"/>
      <w:start w:val="7"/>
    </w:lvl>
  </w:abstractNum>
  <w:abstractNum w:abstractNumId="179">
    <w:nsid w:val="545EE5D3"/>
    <w:multiLevelType w:val="hybridMultilevel"/>
    <w:lvl w:ilvl="0">
      <w:lvlJc w:val="left"/>
      <w:lvlText w:val="%1"/>
      <w:numFmt w:val="decimal"/>
      <w:start w:val="1"/>
    </w:lvl>
    <w:lvl w:ilvl="1">
      <w:lvlJc w:val="left"/>
      <w:lvlText w:val="(%2)"/>
      <w:numFmt w:val="lowerLetter"/>
      <w:start w:val="9"/>
    </w:lvl>
  </w:abstractNum>
  <w:abstractNum w:abstractNumId="180">
    <w:nsid w:val="4A66051"/>
    <w:multiLevelType w:val="hybridMultilevel"/>
    <w:lvl w:ilvl="0">
      <w:lvlJc w:val="left"/>
      <w:lvlText w:val="%1."/>
      <w:numFmt w:val="decimal"/>
      <w:start w:val="6"/>
    </w:lvl>
    <w:lvl w:ilvl="1">
      <w:lvlJc w:val="left"/>
      <w:lvlText w:val="(%2)"/>
      <w:numFmt w:val="lowerLetter"/>
      <w:start w:val="1"/>
    </w:lvl>
  </w:abstractNum>
  <w:abstractNum w:abstractNumId="181">
    <w:nsid w:val="20F4BDAD"/>
    <w:multiLevelType w:val="hybridMultilevel"/>
    <w:lvl w:ilvl="0">
      <w:lvlJc w:val="left"/>
      <w:lvlText w:val="%1"/>
      <w:numFmt w:val="decimal"/>
      <w:start w:val="1"/>
    </w:lvl>
    <w:lvl w:ilvl="1">
      <w:lvlJc w:val="left"/>
      <w:lvlText w:val="(%2)"/>
      <w:numFmt w:val="lowerLetter"/>
      <w:start w:val="3"/>
    </w:lvl>
  </w:abstractNum>
  <w:abstractNum w:abstractNumId="182">
    <w:nsid w:val="639DEFAC"/>
    <w:multiLevelType w:val="hybridMultilevel"/>
    <w:lvl w:ilvl="0">
      <w:lvlJc w:val="left"/>
      <w:lvlText w:val="%1."/>
      <w:numFmt w:val="decimal"/>
      <w:start w:val="7"/>
    </w:lvl>
    <w:lvl w:ilvl="1">
      <w:lvlJc w:val="left"/>
      <w:lvlText w:val="(%2)"/>
      <w:numFmt w:val="lowerLetter"/>
      <w:start w:val="1"/>
    </w:lvl>
  </w:abstractNum>
  <w:abstractNum w:abstractNumId="183">
    <w:nsid w:val="501F9786"/>
    <w:multiLevelType w:val="hybridMultilevel"/>
    <w:lvl w:ilvl="0">
      <w:lvlJc w:val="left"/>
      <w:lvlText w:val="(%1)"/>
      <w:numFmt w:val="lowerLetter"/>
      <w:start w:val="1"/>
    </w:lvl>
  </w:abstractNum>
  <w:abstractNum w:abstractNumId="184">
    <w:nsid w:val="6B057295"/>
    <w:multiLevelType w:val="hybridMultilevel"/>
    <w:lvl w:ilvl="0">
      <w:lvlJc w:val="left"/>
      <w:lvlText w:val="(%1)"/>
      <w:numFmt w:val="lowerLetter"/>
      <w:start w:val="5"/>
    </w:lvl>
  </w:abstractNum>
  <w:abstractNum w:abstractNumId="185">
    <w:nsid w:val="2771AC80"/>
    <w:multiLevelType w:val="hybridMultilevel"/>
    <w:lvl w:ilvl="0">
      <w:lvlJc w:val="left"/>
      <w:lvlText w:val="(%1)"/>
      <w:numFmt w:val="lowerLetter"/>
      <w:start w:val="10"/>
    </w:lvl>
  </w:abstractNum>
  <w:abstractNum w:abstractNumId="186">
    <w:nsid w:val="1C4A08EC"/>
    <w:multiLevelType w:val="hybridMultilevel"/>
    <w:lvl w:ilvl="0">
      <w:lvlJc w:val="left"/>
      <w:lvlText w:val="%1."/>
      <w:numFmt w:val="decimal"/>
      <w:start w:val="9"/>
    </w:lvl>
  </w:abstractNum>
  <w:abstractNum w:abstractNumId="187">
    <w:nsid w:val="1958BD17"/>
    <w:multiLevelType w:val="hybridMultilevel"/>
    <w:lvl w:ilvl="0">
      <w:lvlJc w:val="left"/>
      <w:lvlText w:val="(%1)"/>
      <w:numFmt w:val="lowerLetter"/>
      <w:start w:val="1"/>
    </w:lvl>
  </w:abstractNum>
  <w:abstractNum w:abstractNumId="188">
    <w:nsid w:val="4E647FE4"/>
    <w:multiLevelType w:val="hybridMultilevel"/>
    <w:lvl w:ilvl="0">
      <w:lvlJc w:val="left"/>
      <w:lvlText w:val="(%1)"/>
      <w:numFmt w:val="lowerLetter"/>
      <w:start w:val="2"/>
    </w:lvl>
  </w:abstractNum>
  <w:abstractNum w:abstractNumId="189">
    <w:nsid w:val="E0BB885"/>
    <w:multiLevelType w:val="hybridMultilevel"/>
    <w:lvl w:ilvl="0">
      <w:lvlJc w:val="left"/>
      <w:lvlText w:val="(%1)"/>
      <w:numFmt w:val="lowerLetter"/>
      <w:start w:val="3"/>
    </w:lvl>
  </w:abstractNum>
  <w:abstractNum w:abstractNumId="190">
    <w:nsid w:val="565976F1"/>
    <w:multiLevelType w:val="hybridMultilevel"/>
    <w:lvl w:ilvl="0">
      <w:lvlJc w:val="left"/>
      <w:lvlText w:val="1"/>
      <w:numFmt w:val="bullet"/>
      <w:start w:val="1"/>
    </w:lvl>
  </w:abstractNum>
  <w:abstractNum w:abstractNumId="191">
    <w:nsid w:val="64212B8C"/>
    <w:multiLevelType w:val="hybridMultilevel"/>
    <w:lvl w:ilvl="0">
      <w:lvlJc w:val="left"/>
      <w:lvlText w:val="(%1)"/>
      <w:numFmt w:val="lowerLetter"/>
      <w:start w:val="5"/>
    </w:lvl>
  </w:abstractNum>
  <w:abstractNum w:abstractNumId="192">
    <w:nsid w:val="5C17530C"/>
    <w:multiLevelType w:val="hybridMultilevel"/>
    <w:lvl w:ilvl="0">
      <w:lvlJc w:val="left"/>
      <w:lvlText w:val="(%1)"/>
      <w:numFmt w:val="lowerLetter"/>
      <w:start w:val="6"/>
    </w:lvl>
  </w:abstractNum>
  <w:abstractNum w:abstractNumId="193">
    <w:nsid w:val="19A52566"/>
    <w:multiLevelType w:val="hybridMultilevel"/>
    <w:lvl w:ilvl="0">
      <w:lvlJc w:val="left"/>
      <w:lvlText w:val="(%1)"/>
      <w:numFmt w:val="lowerLetter"/>
      <w:start w:val="7"/>
    </w:lvl>
  </w:abstractNum>
  <w:abstractNum w:abstractNumId="194">
    <w:nsid w:val="335A1DF1"/>
    <w:multiLevelType w:val="hybridMultilevel"/>
    <w:lvl w:ilvl="0">
      <w:lvlJc w:val="left"/>
      <w:lvlText w:val="%1."/>
      <w:numFmt w:val="decimal"/>
      <w:start w:val="10"/>
    </w:lvl>
  </w:abstractNum>
  <w:abstractNum w:abstractNumId="195">
    <w:nsid w:val="28677B7C"/>
    <w:multiLevelType w:val="hybridMultilevel"/>
    <w:lvl w:ilvl="0">
      <w:lvlJc w:val="left"/>
      <w:lvlText w:val="(%1)"/>
      <w:numFmt w:val="lowerLetter"/>
      <w:start w:val="1"/>
    </w:lvl>
  </w:abstractNum>
  <w:abstractNum w:abstractNumId="196">
    <w:nsid w:val="378D97C0"/>
    <w:multiLevelType w:val="hybridMultilevel"/>
    <w:lvl w:ilvl="0">
      <w:lvlJc w:val="left"/>
      <w:lvlText w:val="(%1)"/>
      <w:numFmt w:val="lowerLetter"/>
      <w:start w:val="3"/>
    </w:lvl>
  </w:abstractNum>
  <w:abstractNum w:abstractNumId="197">
    <w:nsid w:val="1D91467C"/>
    <w:multiLevelType w:val="hybridMultilevel"/>
    <w:lvl w:ilvl="0">
      <w:lvlJc w:val="left"/>
      <w:lvlText w:val="%1."/>
      <w:numFmt w:val="decimal"/>
      <w:start w:val="13"/>
    </w:lvl>
  </w:abstractNum>
  <w:abstractNum w:abstractNumId="198">
    <w:nsid w:val="316032BB"/>
    <w:multiLevelType w:val="hybridMultilevel"/>
    <w:lvl w:ilvl="0">
      <w:lvlJc w:val="left"/>
      <w:lvlText w:val="(%1)"/>
      <w:numFmt w:val="lowerLetter"/>
      <w:start w:val="1"/>
    </w:lvl>
  </w:abstractNum>
  <w:abstractNum w:abstractNumId="199">
    <w:nsid w:val="44344C22"/>
    <w:multiLevelType w:val="hybridMultilevel"/>
    <w:lvl w:ilvl="0">
      <w:lvlJc w:val="left"/>
      <w:lvlText w:val="(%1)"/>
      <w:numFmt w:val="lowerLetter"/>
      <w:start w:val="2"/>
    </w:lvl>
  </w:abstractNum>
  <w:abstractNum w:abstractNumId="200">
    <w:nsid w:val="13CDFCFC"/>
    <w:multiLevelType w:val="hybridMultilevel"/>
    <w:lvl w:ilvl="0">
      <w:lvlJc w:val="left"/>
      <w:lvlText w:val="%1."/>
      <w:numFmt w:val="decimal"/>
      <w:start w:val="14"/>
    </w:lvl>
  </w:abstractNum>
  <w:abstractNum w:abstractNumId="201">
    <w:nsid w:val="471745E4"/>
    <w:multiLevelType w:val="hybridMultilevel"/>
    <w:lvl w:ilvl="0">
      <w:lvlJc w:val="left"/>
      <w:lvlText w:val="%1"/>
      <w:numFmt w:val="upperLetter"/>
      <w:start w:val="1"/>
    </w:lvl>
    <w:lvl w:ilvl="1">
      <w:lvlJc w:val="left"/>
      <w:lvlText w:val="%2."/>
      <w:numFmt w:val="decimal"/>
      <w:start w:val="16"/>
    </w:lvl>
  </w:abstractNum>
  <w:abstractNum w:abstractNumId="202">
    <w:nsid w:val="1DDBC66"/>
    <w:multiLevelType w:val="hybridMultilevel"/>
    <w:lvl w:ilvl="0">
      <w:lvlJc w:val="left"/>
      <w:lvlText w:val="(%1)"/>
      <w:numFmt w:val="lowerLetter"/>
      <w:start w:val="1"/>
    </w:lvl>
  </w:abstractNum>
  <w:abstractNum w:abstractNumId="203">
    <w:nsid w:val="30AADFDA"/>
    <w:multiLevelType w:val="hybridMultilevel"/>
    <w:lvl w:ilvl="0">
      <w:lvlJc w:val="left"/>
      <w:lvlText w:val="(%1)"/>
      <w:numFmt w:val="lowerLetter"/>
      <w:start w:val="4"/>
    </w:lvl>
    <w:lvl w:ilvl="1">
      <w:lvlJc w:val="left"/>
      <w:lvlText w:val="(%2)"/>
      <w:numFmt w:val="lowerRoman"/>
      <w:start w:val="1"/>
    </w:lvl>
  </w:abstractNum>
  <w:abstractNum w:abstractNumId="204">
    <w:nsid w:val="30EADA61"/>
    <w:multiLevelType w:val="hybridMultilevel"/>
    <w:lvl w:ilvl="0">
      <w:lvlJc w:val="left"/>
      <w:lvlText w:val="(%1)"/>
      <w:numFmt w:val="lowerRoman"/>
      <w:start w:val="1"/>
    </w:lvl>
  </w:abstractNum>
  <w:abstractNum w:abstractNumId="205">
    <w:nsid w:val="27179C0B"/>
    <w:multiLevelType w:val="hybridMultilevel"/>
    <w:lvl w:ilvl="0">
      <w:lvlJc w:val="left"/>
      <w:lvlText w:val="(%1)"/>
      <w:numFmt w:val="lowerLetter"/>
      <w:start w:val="6"/>
    </w:lvl>
  </w:abstractNum>
  <w:abstractNum w:abstractNumId="206">
    <w:nsid w:val="5E636063"/>
    <w:multiLevelType w:val="hybridMultilevel"/>
    <w:lvl w:ilvl="0">
      <w:lvlJc w:val="left"/>
      <w:lvlText w:val="%1."/>
      <w:numFmt w:val="lowerLetter"/>
      <w:start w:val="1"/>
    </w:lvl>
  </w:abstractNum>
  <w:abstractNum w:abstractNumId="207">
    <w:nsid w:val="215641AF"/>
    <w:multiLevelType w:val="hybridMultilevel"/>
    <w:lvl w:ilvl="0">
      <w:lvlJc w:val="left"/>
      <w:lvlText w:val="%1."/>
      <w:numFmt w:val="decimal"/>
      <w:start w:val="1"/>
    </w:lvl>
  </w:abstractNum>
  <w:abstractNum w:abstractNumId="208">
    <w:nsid w:val="53280662"/>
    <w:multiLevelType w:val="hybridMultilevel"/>
    <w:lvl w:ilvl="0">
      <w:lvlJc w:val="left"/>
      <w:lvlText w:val="(%1)"/>
      <w:numFmt w:val="lowerRoman"/>
      <w:start w:val="1"/>
    </w:lvl>
  </w:abstractNum>
  <w:abstractNum w:abstractNumId="209">
    <w:nsid w:val="46B24DB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10">
    <w:nsid w:val="75B52783"/>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2"/>
    </w:lvl>
  </w:abstractNum>
  <w:abstractNum w:abstractNumId="211">
    <w:nsid w:val="57CE66B4"/>
    <w:multiLevelType w:val="hybridMultilevel"/>
    <w:lvl w:ilvl="0">
      <w:lvlJc w:val="left"/>
      <w:lvlText w:val="(%1)"/>
      <w:numFmt w:val="lowerLetter"/>
      <w:start w:val="3"/>
    </w:lvl>
  </w:abstractNum>
  <w:abstractNum w:abstractNumId="212">
    <w:nsid w:val="67A70B69"/>
    <w:multiLevelType w:val="hybridMultilevel"/>
    <w:lvl w:ilvl="0">
      <w:lvlJc w:val="left"/>
      <w:lvlText w:val="%1"/>
      <w:numFmt w:val="decimal"/>
      <w:start w:val="1"/>
    </w:lvl>
    <w:lvl w:ilvl="1">
      <w:lvlJc w:val="left"/>
      <w:lvlText w:val="(%2)"/>
      <w:numFmt w:val="lowerLetter"/>
      <w:start w:val="1"/>
    </w:lvl>
  </w:abstractNum>
  <w:abstractNum w:abstractNumId="213">
    <w:nsid w:val="5953172F"/>
    <w:multiLevelType w:val="hybridMultilevel"/>
    <w:lvl w:ilvl="0">
      <w:lvlJc w:val="left"/>
      <w:lvlText w:val="(%1)"/>
      <w:numFmt w:val="decimal"/>
      <w:start w:val="100"/>
    </w:lvl>
    <w:lvl w:ilvl="1">
      <w:lvlJc w:val="left"/>
      <w:lvlText w:val="(%2)"/>
      <w:numFmt w:val="lowerLetter"/>
      <w:start w:val="2"/>
    </w:lvl>
  </w:abstractNum>
  <w:abstractNum w:abstractNumId="214">
    <w:nsid w:val="27EDFE3A"/>
    <w:multiLevelType w:val="hybridMultilevel"/>
    <w:lvl w:ilvl="0">
      <w:lvlJc w:val="left"/>
      <w:lvlText w:val="(%1)"/>
      <w:numFmt w:val="lowerLetter"/>
      <w:start w:val="1"/>
    </w:lvl>
  </w:abstractNum>
  <w:abstractNum w:abstractNumId="215">
    <w:nsid w:val="52AC7DFF"/>
    <w:multiLevelType w:val="hybridMultilevel"/>
    <w:lvl w:ilvl="0">
      <w:lvlJc w:val="left"/>
      <w:lvlText w:val="(%1)"/>
      <w:numFmt w:val="lowerLetter"/>
      <w:start w:val="2"/>
    </w:lvl>
  </w:abstractNum>
  <w:abstractNum w:abstractNumId="216">
    <w:nsid w:val="C4C3AF"/>
    <w:multiLevelType w:val="hybridMultilevel"/>
    <w:lvl w:ilvl="0">
      <w:lvlJc w:val="left"/>
      <w:lvlText w:val="(%1)"/>
      <w:numFmt w:val="lowerLetter"/>
      <w:start w:val="10"/>
    </w:lvl>
  </w:abstractNum>
  <w:abstractNum w:abstractNumId="217">
    <w:nsid w:val="44380727"/>
    <w:multiLevelType w:val="hybridMultilevel"/>
    <w:lvl w:ilvl="0">
      <w:lvlJc w:val="left"/>
      <w:lvlText w:val="(%1)"/>
      <w:numFmt w:val="lowerLetter"/>
      <w:start w:val="1"/>
    </w:lvl>
  </w:abstractNum>
  <w:abstractNum w:abstractNumId="218">
    <w:nsid w:val="6C053B16"/>
    <w:multiLevelType w:val="hybridMultilevel"/>
    <w:lvl w:ilvl="0">
      <w:lvlJc w:val="left"/>
      <w:lvlText w:val="(%1)"/>
      <w:numFmt w:val="lowerLetter"/>
      <w:start w:val="2"/>
    </w:lvl>
  </w:abstractNum>
  <w:abstractNum w:abstractNumId="219">
    <w:nsid w:val="4F294393"/>
    <w:multiLevelType w:val="hybridMultilevel"/>
    <w:lvl w:ilvl="0">
      <w:lvlJc w:val="left"/>
      <w:lvlText w:val="(%1)"/>
      <w:numFmt w:val="lowerLetter"/>
      <w:start w:val="4"/>
    </w:lvl>
  </w:abstractNum>
  <w:abstractNum w:abstractNumId="220">
    <w:nsid w:val="5243BFAC"/>
    <w:multiLevelType w:val="hybridMultilevel"/>
    <w:lvl w:ilvl="0">
      <w:lvlJc w:val="left"/>
      <w:lvlText w:val="(%1)"/>
      <w:numFmt w:val="lowerLetter"/>
      <w:start w:val="6"/>
    </w:lvl>
  </w:abstractNum>
  <w:abstractNum w:abstractNumId="221">
    <w:nsid w:val="425EB207"/>
    <w:multiLevelType w:val="hybridMultilevel"/>
    <w:lvl w:ilvl="0">
      <w:lvlJc w:val="left"/>
      <w:lvlText w:val="(%1)"/>
      <w:numFmt w:val="lowerLetter"/>
      <w:start w:val="1"/>
    </w:lvl>
  </w:abstractNum>
  <w:abstractNum w:abstractNumId="222">
    <w:nsid w:val="334A6F1F"/>
    <w:multiLevelType w:val="hybridMultilevel"/>
    <w:lvl w:ilvl="0">
      <w:lvlJc w:val="left"/>
      <w:lvlText w:val="(%1)"/>
      <w:numFmt w:val="lowerLetter"/>
      <w:start w:val="1"/>
    </w:lvl>
  </w:abstractNum>
  <w:abstractNum w:abstractNumId="223">
    <w:nsid w:val="2E5B12B8"/>
    <w:multiLevelType w:val="hybridMultilevel"/>
    <w:lvl w:ilvl="0">
      <w:lvlJc w:val="left"/>
      <w:lvlText w:val="(%1)"/>
      <w:numFmt w:val="lowerLetter"/>
      <w:start w:val="2"/>
    </w:lvl>
  </w:abstractNum>
  <w:abstractNum w:abstractNumId="224">
    <w:nsid w:val="5C03D76D"/>
    <w:multiLevelType w:val="hybridMultilevel"/>
    <w:lvl w:ilvl="0">
      <w:lvlJc w:val="left"/>
      <w:lvlText w:val="%1"/>
      <w:numFmt w:val="lowerLetter"/>
      <w:start w:val="1"/>
    </w:lvl>
    <w:lvl w:ilvl="1">
      <w:lvlJc w:val="left"/>
      <w:lvlText w:val="(%2)"/>
      <w:numFmt w:val="lowerLetter"/>
      <w:start w:val="3"/>
    </w:lvl>
  </w:abstractNum>
  <w:abstractNum w:abstractNumId="225">
    <w:nsid w:val="66A48D11"/>
    <w:multiLevelType w:val="hybridMultilevel"/>
    <w:lvl w:ilvl="0">
      <w:lvlJc w:val="left"/>
      <w:lvlText w:val="(%1)"/>
      <w:numFmt w:val="lowerLetter"/>
      <w:start w:val="9"/>
    </w:lvl>
    <w:lvl w:ilvl="1">
      <w:lvlJc w:val="left"/>
      <w:lvlText w:val="%2"/>
      <w:numFmt w:val="lowerLetter"/>
      <w:start w:val="1"/>
    </w:lvl>
  </w:abstractNum>
  <w:abstractNum w:abstractNumId="226">
    <w:nsid w:val="56C28E34"/>
    <w:multiLevelType w:val="hybridMultilevel"/>
    <w:lvl w:ilvl="0">
      <w:lvlJc w:val="left"/>
      <w:lvlText w:val="(%1)"/>
      <w:numFmt w:val="lowerLetter"/>
      <w:start w:val="61"/>
    </w:lvl>
    <w:lvl w:ilvl="1">
      <w:lvlJc w:val="left"/>
      <w:lvlText w:val="%2"/>
      <w:numFmt w:val="lowerLetter"/>
      <w:start w:val="1"/>
    </w:lvl>
  </w:abstractNum>
  <w:abstractNum w:abstractNumId="227">
    <w:nsid w:val="13916F2D"/>
    <w:multiLevelType w:val="hybridMultilevel"/>
    <w:lvl w:ilvl="0">
      <w:lvlJc w:val="left"/>
      <w:lvlText w:val="(%1)"/>
      <w:numFmt w:val="lowerLetter"/>
      <w:start w:val="1"/>
    </w:lvl>
  </w:abstractNum>
  <w:abstractNum w:abstractNumId="228">
    <w:nsid w:val="435D38D"/>
    <w:multiLevelType w:val="hybridMultilevel"/>
    <w:lvl w:ilvl="0">
      <w:lvlJc w:val="left"/>
      <w:lvlText w:val="%1"/>
      <w:numFmt w:val="decimal"/>
      <w:start w:val="1"/>
    </w:lvl>
    <w:lvl w:ilvl="1">
      <w:lvlJc w:val="left"/>
      <w:lvlText w:val="(%2)"/>
      <w:numFmt w:val="lowerLetter"/>
      <w:start w:val="2"/>
    </w:lvl>
  </w:abstractNum>
  <w:abstractNum w:abstractNumId="229">
    <w:nsid w:val="822C0EF"/>
    <w:multiLevelType w:val="hybridMultilevel"/>
    <w:lvl w:ilvl="0">
      <w:lvlJc w:val="left"/>
      <w:lvlText w:val="%1."/>
      <w:numFmt w:val="decimal"/>
      <w:start w:val="3"/>
    </w:lvl>
    <w:lvl w:ilvl="1">
      <w:lvlJc w:val="left"/>
      <w:lvlText w:val="%2"/>
      <w:numFmt w:val="lowerLetter"/>
      <w:start w:val="1"/>
    </w:lvl>
  </w:abstractNum>
  <w:abstractNum w:abstractNumId="230">
    <w:nsid w:val="57C5BB4F"/>
    <w:multiLevelType w:val="hybridMultilevel"/>
    <w:lvl w:ilvl="0">
      <w:lvlJc w:val="left"/>
      <w:lvlText w:val="%1"/>
      <w:numFmt w:val="lowerLetter"/>
      <w:start w:val="1"/>
    </w:lvl>
    <w:lvl w:ilvl="1">
      <w:lvlJc w:val="left"/>
      <w:lvlText w:val="(%2)"/>
      <w:numFmt w:val="lowerLetter"/>
      <w:start w:val="1"/>
    </w:lvl>
  </w:abstractNum>
  <w:abstractNum w:abstractNumId="231">
    <w:nsid w:val="1803D089"/>
    <w:multiLevelType w:val="hybridMultilevel"/>
    <w:lvl w:ilvl="0">
      <w:lvlJc w:val="left"/>
      <w:lvlText w:val="(%1)"/>
      <w:numFmt w:val="lowerLetter"/>
      <w:start w:val="9"/>
    </w:lvl>
    <w:lvl w:ilvl="1">
      <w:lvlJc w:val="left"/>
      <w:lvlText w:val="%2"/>
      <w:numFmt w:val="lowerLetter"/>
      <w:start w:val="1"/>
    </w:lvl>
  </w:abstractNum>
  <w:abstractNum w:abstractNumId="232">
    <w:nsid w:val="4F3A06D4"/>
    <w:multiLevelType w:val="hybridMultilevel"/>
    <w:lvl w:ilvl="0">
      <w:lvlJc w:val="left"/>
      <w:lvlText w:val="(%1)"/>
      <w:numFmt w:val="lowerLetter"/>
      <w:start w:val="61"/>
    </w:lvl>
    <w:lvl w:ilvl="1">
      <w:lvlJc w:val="left"/>
      <w:lvlText w:val="(%2)"/>
      <w:numFmt w:val="lowerLetter"/>
      <w:start w:val="2"/>
    </w:lvl>
  </w:abstractNum>
  <w:abstractNum w:abstractNumId="233">
    <w:nsid w:val="59A377B6"/>
    <w:multiLevelType w:val="hybridMultilevel"/>
    <w:lvl w:ilvl="0">
      <w:lvlJc w:val="left"/>
      <w:lvlText w:val="(%1)"/>
      <w:numFmt w:val="lowerLetter"/>
      <w:start w:val="4"/>
    </w:lvl>
  </w:abstractNum>
  <w:abstractNum w:abstractNumId="234">
    <w:nsid w:val="48AEB063"/>
    <w:multiLevelType w:val="hybridMultilevel"/>
    <w:lvl w:ilvl="0">
      <w:lvlJc w:val="left"/>
      <w:lvlText w:val="(%1)"/>
      <w:numFmt w:val="lowerLetter"/>
      <w:start w:val="1"/>
    </w:lvl>
  </w:abstractNum>
  <w:abstractNum w:abstractNumId="235">
    <w:nsid w:val="24E135"/>
    <w:multiLevelType w:val="hybridMultilevel"/>
    <w:lvl w:ilvl="0">
      <w:lvlJc w:val="left"/>
      <w:lvlText w:val="(%1)"/>
      <w:numFmt w:val="lowerLetter"/>
      <w:start w:val="2"/>
    </w:lvl>
  </w:abstractNum>
  <w:abstractNum w:abstractNumId="236">
    <w:nsid w:val="BB13C1"/>
    <w:multiLevelType w:val="hybridMultilevel"/>
    <w:lvl w:ilvl="0">
      <w:lvlJc w:val="left"/>
      <w:lvlText w:val="(%1)"/>
      <w:numFmt w:val="lowerRoman"/>
      <w:start w:val="2"/>
    </w:lvl>
  </w:abstractNum>
  <w:abstractNum w:abstractNumId="237">
    <w:nsid w:val="271210C7"/>
    <w:multiLevelType w:val="hybridMultilevel"/>
    <w:lvl w:ilvl="0">
      <w:lvlJc w:val="left"/>
      <w:lvlText w:val="%1."/>
      <w:numFmt w:val="decimal"/>
      <w:start w:val="4"/>
    </w:lvl>
  </w:abstractNum>
  <w:abstractNum w:abstractNumId="238">
    <w:nsid w:val="217B22E4"/>
    <w:multiLevelType w:val="hybridMultilevel"/>
    <w:lvl w:ilvl="0">
      <w:lvlJc w:val="left"/>
      <w:lvlText w:val="(%1)"/>
      <w:numFmt w:val="lowerLetter"/>
      <w:start w:val="25"/>
    </w:lvl>
  </w:abstractNum>
  <w:abstractNum w:abstractNumId="239">
    <w:nsid w:val="53E31A24"/>
    <w:multiLevelType w:val="hybridMultilevel"/>
    <w:lvl w:ilvl="0">
      <w:lvlJc w:val="left"/>
      <w:lvlText w:val="(%1)"/>
      <w:numFmt w:val="lowerLetter"/>
      <w:start w:val="1"/>
    </w:lvl>
  </w:abstractNum>
  <w:abstractNum w:abstractNumId="240">
    <w:nsid w:val="6DC45E83"/>
    <w:multiLevelType w:val="hybridMultilevel"/>
    <w:lvl w:ilvl="0">
      <w:lvlJc w:val="left"/>
      <w:lvlText w:val="(%1)"/>
      <w:numFmt w:val="lowerLetter"/>
      <w:start w:val="4"/>
    </w:lvl>
  </w:abstractNum>
  <w:abstractNum w:abstractNumId="241">
    <w:nsid w:val="17304A67"/>
    <w:multiLevelType w:val="hybridMultilevel"/>
    <w:lvl w:ilvl="0">
      <w:lvlJc w:val="left"/>
      <w:lvlText w:val="(%1)"/>
      <w:numFmt w:val="lowerRoman"/>
      <w:start w:val="1"/>
    </w:lvl>
    <w:lvl w:ilvl="1">
      <w:lvlJc w:val="left"/>
      <w:lvlText w:val="%2."/>
      <w:numFmt w:val="decimal"/>
      <w:start w:val="5"/>
    </w:lvl>
  </w:abstractNum>
  <w:abstractNum w:abstractNumId="242">
    <w:nsid w:val="2BB180D8"/>
    <w:multiLevelType w:val="hybridMultilevel"/>
    <w:lvl w:ilvl="0">
      <w:lvlJc w:val="left"/>
      <w:lvlText w:val="(%1)"/>
      <w:numFmt w:val="lowerRoman"/>
      <w:start w:val="1"/>
    </w:lvl>
  </w:abstractNum>
  <w:abstractNum w:abstractNumId="243">
    <w:nsid w:val="556B69ED"/>
    <w:multiLevelType w:val="hybridMultilevel"/>
    <w:lvl w:ilvl="0">
      <w:lvlJc w:val="left"/>
      <w:lvlText w:val="(%1)"/>
      <w:numFmt w:val="lowerLetter"/>
      <w:start w:val="1"/>
    </w:lvl>
  </w:abstractNum>
  <w:abstractNum w:abstractNumId="244">
    <w:nsid w:val="70836196"/>
    <w:multiLevelType w:val="hybridMultilevel"/>
    <w:lvl w:ilvl="0">
      <w:lvlJc w:val="left"/>
      <w:lvlText w:val="(%1)"/>
      <w:numFmt w:val="lowerLetter"/>
      <w:start w:val="24"/>
    </w:lvl>
    <w:lvl w:ilvl="1">
      <w:lvlJc w:val="left"/>
      <w:lvlText w:val="(%2)"/>
      <w:numFmt w:val="lowerLetter"/>
      <w:start w:val="3"/>
    </w:lvl>
  </w:abstractNum>
  <w:abstractNum w:abstractNumId="245">
    <w:nsid w:val="539F7F12"/>
    <w:multiLevelType w:val="hybridMultilevel"/>
    <w:lvl w:ilvl="0">
      <w:lvlJc w:val="left"/>
      <w:lvlText w:val="(%1)"/>
      <w:numFmt w:val="lowerRoman"/>
      <w:start w:val="2"/>
    </w:lvl>
  </w:abstractNum>
  <w:abstractNum w:abstractNumId="246">
    <w:nsid w:val="2817E7EC"/>
    <w:multiLevelType w:val="hybridMultilevel"/>
    <w:lvl w:ilvl="0">
      <w:lvlJc w:val="left"/>
      <w:lvlText w:val="(%1)"/>
      <w:numFmt w:val="lowerRoman"/>
      <w:start w:val="10"/>
    </w:lvl>
  </w:abstractNum>
  <w:abstractNum w:abstractNumId="247">
    <w:nsid w:val="71482545"/>
    <w:multiLevelType w:val="hybridMultilevel"/>
    <w:lvl w:ilvl="0">
      <w:lvlJc w:val="left"/>
      <w:lvlText w:val="%1."/>
      <w:numFmt w:val="decimal"/>
      <w:start w:val="6"/>
    </w:lvl>
  </w:abstractNum>
  <w:abstractNum w:abstractNumId="248">
    <w:nsid w:val="17D7863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jpeg"/><Relationship Id="rId135" Type="http://schemas.openxmlformats.org/officeDocument/2006/relationships/image" Target="media/image110.jpeg"/><Relationship Id="rId106" Type="http://schemas.openxmlformats.org/officeDocument/2006/relationships/hyperlink" Target="https://www.sec.gov/Archives/edgar/data/1726445/000162828020017214/exhibit31-closing8xk.htm" TargetMode="External"/><Relationship Id="rId107" Type="http://schemas.openxmlformats.org/officeDocument/2006/relationships/hyperlink" Target="https://www.sec.gov/Archives/edgar/data/1726445/000162828020017214/exhibit32-closing8xk.htm" TargetMode="External"/><Relationship Id="rId108" Type="http://schemas.openxmlformats.org/officeDocument/2006/relationships/hyperlink" Target="https://www.sec.gov/Archives/edgar/data/1726445/000162828020016325/exhibit41-stockcertifi.htm" TargetMode="External"/><Relationship Id="rId109" Type="http://schemas.openxmlformats.org/officeDocument/2006/relationships/hyperlink" Target="https://www.sec.gov/Archives/edgar/data/1726445/000162828020016325/exhibit101-sx1xformofi.htm" TargetMode="External"/><Relationship Id="rId110" Type="http://schemas.openxmlformats.org/officeDocument/2006/relationships/hyperlink" Target="https://www.sec.gov/Archives/edgar/data/1726445/000162828020016863/exhibit102-sx1a1.htm" TargetMode="External"/><Relationship Id="rId111" Type="http://schemas.openxmlformats.org/officeDocument/2006/relationships/hyperlink" Target="https://www.sec.gov/Archives/edgar/data/1726445/000162828020016863/exhibit103-sx1a1.htm" TargetMode="External"/><Relationship Id="rId112" Type="http://schemas.openxmlformats.org/officeDocument/2006/relationships/hyperlink" Target="https://www.sec.gov/Archives/edgar/data/1726445/000162828020016863/exhibit104-sx1a1.htm" TargetMode="External"/><Relationship Id="rId113" Type="http://schemas.openxmlformats.org/officeDocument/2006/relationships/hyperlink" Target="https://www.sec.gov/Archives/edgar/data/1726445/000162828020016863/exhibit105-sx1a1.htm" TargetMode="External"/><Relationship Id="rId114" Type="http://schemas.openxmlformats.org/officeDocument/2006/relationships/hyperlink" Target="https://www.sec.gov/Archives/edgar/data/1726445/000162828020016863/exhibit106-sx1a1.htm" TargetMode="External"/><Relationship Id="rId115" Type="http://schemas.openxmlformats.org/officeDocument/2006/relationships/hyperlink" Target="https://www.sec.gov/Archives/edgar/data/1726445/000162828020016863/exhibit107-sx1a1.htm" TargetMode="External"/><Relationship Id="rId116" Type="http://schemas.openxmlformats.org/officeDocument/2006/relationships/hyperlink" Target="https://www.sec.gov/Archives/edgar/data/1726445/000162828020016863/exhibit108-sx1a1.htm" TargetMode="External"/><Relationship Id="rId117" Type="http://schemas.openxmlformats.org/officeDocument/2006/relationships/hyperlink" Target="https://www.sec.gov/Archives/edgar/data/1726445/000162828020016863/exhibit109-sx1a1.htm" TargetMode="External"/><Relationship Id="rId118" Type="http://schemas.openxmlformats.org/officeDocument/2006/relationships/hyperlink" Target="https://www.sec.gov/Archives/edgar/data/1726445/000162828020016863/exhibit1010-sx1a1.htm" TargetMode="External"/><Relationship Id="rId119" Type="http://schemas.openxmlformats.org/officeDocument/2006/relationships/hyperlink" Target="https://www.sec.gov/Archives/edgar/data/1726445/000162828020016863/exhibit1011-sx1a1.htm" TargetMode="External"/><Relationship Id="rId120" Type="http://schemas.openxmlformats.org/officeDocument/2006/relationships/hyperlink" Target="https://www.sec.gov/Archives/edgar/data/1726445/000162828020016863/exhibit1012-sx1a1.htm" TargetMode="External"/><Relationship Id="rId121" Type="http://schemas.openxmlformats.org/officeDocument/2006/relationships/hyperlink" Target="https://www.sec.gov/Archives/edgar/data/1726445/000162828020016325/exhibit1014-sx1xumbrel.htm" TargetMode="External"/><Relationship Id="rId122" Type="http://schemas.openxmlformats.org/officeDocument/2006/relationships/hyperlink" Target="https://www.sec.gov/Archives/edgar/data/1726445/000162828020016325/exhibit1015-sx1xexclus.htm" TargetMode="External"/><Relationship Id="rId123" Type="http://schemas.openxmlformats.org/officeDocument/2006/relationships/hyperlink" Target="https://www.sec.gov/Archives/edgar/data/1726445/000162828020016325/exhibit1016-sx1xclass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2021-01-25T15:41:31Z</dcterms:created>
  <dcterms:modified xsi:type="dcterms:W3CDTF">2021-01-25T15:41:31Z</dcterms:modified>
</cp:coreProperties>
</file>