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849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4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Farokhzad Omid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 of the Board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5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309,313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0.0428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588,536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0.0428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9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309,313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309,313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210,935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-3190240</wp:posOffset>
            </wp:positionV>
            <wp:extent cx="7034530" cy="3327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32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held of record by Dynamics Group LLC for which the reporting person serves as the sole member.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exercise price was previously reported as $0.05 in a Form 3 filed on December 3, 2020.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 option are subject to an early exercise provision and are immediately exercisable. One-fourth of the shares underlying the option vested on March 23, 2019 and 1/48th of the shares vest monthly thereafter.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Elona Kogan, by power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01/29/2021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852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2021-01-29T17:23:02Z</dcterms:created>
  <dcterms:modified xsi:type="dcterms:W3CDTF">2021-01-29T17:23:02Z</dcterms:modified>
</cp:coreProperties>
</file>