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102026_100706.xml.htm"/>
      <w:bookmarkStart w:id="1" w:name="ksform407102026_1007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Nishar Dipchand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SEER,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3800 BRIDGE PARKWAY, SUITE 102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Seer, Inc.</w:t>
              </w:r>
            </w:hyperlink>
            <w:r>
              <w:rPr/>
              <w:t xml:space="preserve"> [ </w:t>
            </w:r>
            <w:r>
              <w:rPr>
                <w:rFonts w:ascii="Times;serif" w:hAnsi="Times;serif"/>
                <w:color w:val="0000FF"/>
                <w:sz w:val="24"/>
                <w:shd w:fill="FFFFFF" w:val="clear"/>
              </w:rPr>
              <w:t>SEER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10,660</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2.1825</w:t>
            </w:r>
            <w:r>
              <w:rPr>
                <w:rFonts w:ascii="Times;serif" w:hAnsi="Times;serif"/>
                <w:color w:val="008000"/>
                <w:position w:val="7"/>
                <w:sz w:val="16"/>
                <w:sz w:val="20"/>
                <w:shd w:fill="FFFFFF" w:val="clear"/>
              </w:rPr>
              <w:t>(2)</w:t>
            </w:r>
            <w:r>
              <w:rPr/>
              <w:t xml:space="preserve"> </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59,044</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in this Form 4 was effected pursuant to a Rule 10b5-1 trading plan adopted by the reporting person on August 8, 2025 to cover tax obligations upon the vesting and settlement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$2.17 to $2.22, inclusive. The reporting person undertakes to provide the Issuer, any security holder of the Issuer, or the staff of the Securities and Exchange Commission, upon request,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Horn,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19500" TargetMode="External"/><Relationship Id="rId5" Type="http://schemas.openxmlformats.org/officeDocument/2006/relationships/hyperlink" Target="http://www.sec.gov/cgi-bin/browse-edgar?action=getcompany&amp;CIK=00017264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668</Words>
  <Characters>3572</Characters>
  <CharactersWithSpaces>4180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