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December 8, 2020</w:t>
      </w: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SEER, INC.</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92" w:lineRule="exact"/>
        <w:rPr>
          <w:sz w:val="24"/>
          <w:szCs w:val="24"/>
          <w:color w:val="auto"/>
        </w:rPr>
      </w:pPr>
    </w:p>
    <w:p>
      <w:pPr>
        <w:ind w:left="1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001-39747</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82-1153150</w:t>
      </w:r>
    </w:p>
    <w:p>
      <w:pPr>
        <w:spacing w:after="0" w:line="34" w:lineRule="exact"/>
        <w:rPr>
          <w:sz w:val="24"/>
          <w:szCs w:val="24"/>
          <w:color w:val="auto"/>
        </w:rPr>
      </w:pPr>
    </w:p>
    <w:p>
      <w:pPr>
        <w:sectPr>
          <w:pgSz w:w="11900" w:h="16838" w:orient="portrait"/>
          <w:cols w:equalWidth="0" w:num="3">
            <w:col w:w="4500" w:space="720"/>
            <w:col w:w="3040" w:space="720"/>
            <w:col w:w="2260"/>
          </w:cols>
          <w:pgMar w:left="320" w:top="1440" w:right="339" w:bottom="1440" w:gutter="0" w:footer="0" w:header="0"/>
          <w:type w:val="continuous"/>
        </w:sectPr>
      </w:pPr>
    </w:p>
    <w:p>
      <w:pPr>
        <w:spacing w:after="0" w:line="25" w:lineRule="exact"/>
        <w:rPr>
          <w:sz w:val="24"/>
          <w:szCs w:val="24"/>
          <w:color w:val="auto"/>
        </w:rPr>
      </w:pPr>
    </w:p>
    <w:p>
      <w:pPr>
        <w:ind w:left="10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Arial" w:cs="Arial" w:eastAsia="Arial" w:hAnsi="Arial"/>
          <w:sz w:val="18"/>
          <w:szCs w:val="18"/>
          <w:b w:val="1"/>
          <w:bCs w:val="1"/>
          <w:color w:val="auto"/>
        </w:rPr>
        <w:t>(IRS Employer</w:t>
      </w:r>
    </w:p>
    <w:p>
      <w:pPr>
        <w:jc w:val="center"/>
        <w:ind w:right="112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4"/>
          <w:szCs w:val="24"/>
          <w:color w:val="auto"/>
        </w:rPr>
      </w:pPr>
    </w:p>
    <w:p>
      <w:pPr>
        <w:sectPr>
          <w:pgSz w:w="11900" w:h="16838" w:orient="portrait"/>
          <w:cols w:equalWidth="0" w:num="3">
            <w:col w:w="3520" w:space="620"/>
            <w:col w:w="3840" w:space="720"/>
            <w:col w:w="2540"/>
          </w:cols>
          <w:pgMar w:left="320" w:top="1440" w:right="339" w:bottom="1440" w:gutter="0" w:footer="0" w:header="0"/>
          <w:type w:val="continuous"/>
        </w:sectPr>
      </w:pP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3800 Bridge Parkway, Suite 102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Redwood City, California 94065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650-453-0000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52" w:lineRule="exact"/>
        <w:rPr>
          <w:sz w:val="24"/>
          <w:szCs w:val="24"/>
          <w:color w:val="auto"/>
        </w:rPr>
      </w:pPr>
    </w:p>
    <w:p>
      <w:pPr>
        <w:ind w:right="160"/>
        <w:spacing w:after="0" w:line="273" w:lineRule="auto"/>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 General Instruction A.2. below):</w:t>
      </w:r>
    </w:p>
    <w:p>
      <w:pPr>
        <w:spacing w:after="0" w:line="160"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37" w:lineRule="exact"/>
        <w:rPr>
          <w:rFonts w:ascii="MS PGothic" w:cs="MS PGothic" w:eastAsia="MS PGothic" w:hAnsi="MS PGothic"/>
          <w:sz w:val="14"/>
          <w:szCs w:val="14"/>
          <w:color w:val="auto"/>
        </w:rPr>
      </w:pPr>
    </w:p>
    <w:p>
      <w:pPr>
        <w:ind w:left="400" w:hanging="374"/>
        <w:spacing w:after="0"/>
        <w:tabs>
          <w:tab w:leader="none" w:pos="4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28" w:lineRule="exact"/>
        <w:rPr>
          <w:rFonts w:ascii="MS PGothic" w:cs="MS PGothic" w:eastAsia="MS PGothic" w:hAnsi="MS PGothic"/>
          <w:sz w:val="14"/>
          <w:szCs w:val="14"/>
          <w:color w:val="auto"/>
        </w:rPr>
      </w:pPr>
    </w:p>
    <w:p>
      <w:pPr>
        <w:ind w:left="400" w:hanging="374"/>
        <w:spacing w:after="0"/>
        <w:tabs>
          <w:tab w:leader="none" w:pos="4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28" w:lineRule="exact"/>
        <w:rPr>
          <w:rFonts w:ascii="MS PGothic" w:cs="MS PGothic" w:eastAsia="MS PGothic" w:hAnsi="MS PGothic"/>
          <w:sz w:val="14"/>
          <w:szCs w:val="14"/>
          <w:color w:val="auto"/>
        </w:rPr>
      </w:pPr>
    </w:p>
    <w:p>
      <w:pPr>
        <w:ind w:left="400" w:hanging="374"/>
        <w:spacing w:after="0"/>
        <w:tabs>
          <w:tab w:leader="none" w:pos="4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7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3" w:lineRule="exact"/>
        <w:rPr>
          <w:sz w:val="24"/>
          <w:szCs w:val="24"/>
          <w:color w:val="auto"/>
        </w:rPr>
      </w:pPr>
    </w:p>
    <w:tbl>
      <w:tblPr>
        <w:tblLayout w:type="fixed"/>
        <w:tblInd w:w="68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7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1720" w:type="dxa"/>
            <w:vAlign w:val="bottom"/>
          </w:tcPr>
          <w:p>
            <w:pPr>
              <w:spacing w:after="0"/>
              <w:rPr>
                <w:sz w:val="14"/>
                <w:szCs w:val="14"/>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204"/>
        </w:trPr>
        <w:tc>
          <w:tcPr>
            <w:tcW w:w="4860" w:type="dxa"/>
            <w:vAlign w:val="bottom"/>
            <w:gridSpan w:val="3"/>
          </w:tcPr>
          <w:p>
            <w:pPr>
              <w:jc w:val="center"/>
              <w:ind w:right="1740"/>
              <w:spacing w:after="0"/>
              <w:rPr>
                <w:sz w:val="20"/>
                <w:szCs w:val="20"/>
                <w:color w:val="auto"/>
              </w:rPr>
            </w:pPr>
            <w:r>
              <w:rPr>
                <w:rFonts w:ascii="Arial" w:cs="Arial" w:eastAsia="Arial" w:hAnsi="Arial"/>
                <w:sz w:val="14"/>
                <w:szCs w:val="14"/>
                <w:color w:val="auto"/>
                <w:w w:val="92"/>
              </w:rPr>
              <w:t>Class A Common Stock, par value $0.00001 per share</w:t>
            </w:r>
          </w:p>
        </w:tc>
        <w:tc>
          <w:tcPr>
            <w:tcW w:w="2720" w:type="dxa"/>
            <w:vAlign w:val="bottom"/>
            <w:gridSpan w:val="2"/>
          </w:tcPr>
          <w:p>
            <w:pPr>
              <w:jc w:val="center"/>
              <w:ind w:right="1720"/>
              <w:spacing w:after="0"/>
              <w:rPr>
                <w:sz w:val="20"/>
                <w:szCs w:val="20"/>
                <w:color w:val="auto"/>
              </w:rPr>
            </w:pPr>
            <w:r>
              <w:rPr>
                <w:rFonts w:ascii="Arial" w:cs="Arial" w:eastAsia="Arial" w:hAnsi="Arial"/>
                <w:sz w:val="14"/>
                <w:szCs w:val="14"/>
                <w:color w:val="auto"/>
                <w:w w:val="94"/>
              </w:rPr>
              <w:t>SEER</w:t>
            </w:r>
          </w:p>
        </w:tc>
        <w:tc>
          <w:tcPr>
            <w:tcW w:w="234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82"/>
        </w:trPr>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340" w:type="dxa"/>
            <w:vAlign w:val="bottom"/>
          </w:tcPr>
          <w:p>
            <w:pPr>
              <w:jc w:val="center"/>
              <w:spacing w:after="0"/>
              <w:rPr>
                <w:sz w:val="20"/>
                <w:szCs w:val="20"/>
                <w:color w:val="auto"/>
              </w:rPr>
            </w:pPr>
            <w:r>
              <w:rPr>
                <w:rFonts w:ascii="Arial" w:cs="Arial" w:eastAsia="Arial" w:hAnsi="Arial"/>
                <w:sz w:val="14"/>
                <w:szCs w:val="14"/>
                <w:color w:val="auto"/>
                <w:w w:val="93"/>
              </w:rPr>
              <w:t>(The Nasdaq Global Select Market)</w:t>
            </w:r>
          </w:p>
        </w:tc>
      </w:tr>
    </w:tbl>
    <w:p>
      <w:pPr>
        <w:spacing w:after="0" w:line="331" w:lineRule="exact"/>
        <w:rPr>
          <w:sz w:val="24"/>
          <w:szCs w:val="24"/>
          <w:color w:val="auto"/>
        </w:rPr>
      </w:pPr>
    </w:p>
    <w:p>
      <w:pPr>
        <w:ind w:right="340"/>
        <w:spacing w:after="0" w:line="27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94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02"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75"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On December 8, 2020, Seer, Inc. (the “Company”) filed an amended and restated certificate of incorporation (the “Restated Certificate”) with the Secretary of State of the State of Delaware in connection with the completion of the Company’s initial public offering (“IPO”). A description of the Restated Certificate is set forth in the sections entitled “Risk Factors” and “Description of Capital Stock” of the Company’s Prospectus (the “Prospectus”) filed with the Securities and Exchange Commission on December 4, 2020 pursuant to Rule 424(b) under the Securities Act of 1933, as amended (the “Securities Act”), relating to the Registration Statement on Form S-1, as amended (Registration No. 333-250035). The description of the Restated Certificate is qualified in its entirety by reference to the full text of the Restated Certificate filed herewith as Exhibit 3.1 and incorporated herein by reference.</w:t>
      </w:r>
    </w:p>
    <w:p>
      <w:pPr>
        <w:spacing w:after="0" w:line="14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Effective as of December 8, 2020, the Company adopted amended and restated bylaws (the “Restated Bylaws”) in connection with the completion of the IPO. A description of the Restated Bylaws is set forth in the sections of the Prospectus entitled “Risk Factors” and “Description of Capital Stock.” The description of the Restated Bylaws is qualified in its entirety by reference to the full text of the Restated Bylaws filed herewith as Exhibit 3.2 and incorporated herein by reference.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Press Release</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On December 8, 2020, the Company issued a press release announcing the closing of its IPO of 10,592,106 shares of its Class A common stock (which includes 1,381,579 shares that were offered and sold pursuant to the full exercise of the underwriters’ option to purchase additional shares). A copy of the press release is attached hereto as Exhibit 99.1.</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Channels for Disclosure of Information</w:t>
      </w:r>
    </w:p>
    <w:p>
      <w:pPr>
        <w:spacing w:after="0" w:line="171"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Investors and others should note that we may announce material information to the public through filings with the Securities and Exchange Commission, our website (seer.bio), press releases, public conference calls, and public webcasts. We encourage our investors and others to review the information disclosed through such channels as such information could be deemed to be material information. Please note that this list may be updated from time to time.</w:t>
      </w:r>
    </w:p>
    <w:p>
      <w:pPr>
        <w:spacing w:after="0" w:line="13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information furnished pursuant to Item 7.01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gridSpan w:val="2"/>
          </w:tcPr>
          <w:p>
            <w:pPr>
              <w:ind w:left="340"/>
              <w:spacing w:after="0"/>
              <w:rPr>
                <w:sz w:val="20"/>
                <w:szCs w:val="20"/>
                <w:color w:val="auto"/>
              </w:rPr>
            </w:pPr>
            <w:r>
              <w:rPr>
                <w:rFonts w:ascii="Arial" w:cs="Arial" w:eastAsia="Arial" w:hAnsi="Arial"/>
                <w:sz w:val="18"/>
                <w:szCs w:val="18"/>
                <w:color w:val="auto"/>
              </w:rPr>
              <w:t>(d) Exhibits</w:t>
            </w:r>
          </w:p>
        </w:tc>
        <w:tc>
          <w:tcPr>
            <w:tcW w:w="9820" w:type="dxa"/>
            <w:vAlign w:val="bottom"/>
          </w:tcPr>
          <w:p>
            <w:pPr>
              <w:spacing w:after="0"/>
              <w:rPr>
                <w:sz w:val="20"/>
                <w:szCs w:val="20"/>
                <w:color w:val="auto"/>
              </w:rPr>
            </w:pPr>
          </w:p>
        </w:tc>
      </w:tr>
      <w:tr>
        <w:trPr>
          <w:trHeight w:val="432"/>
        </w:trPr>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982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20" w:type="dxa"/>
            <w:vAlign w:val="bottom"/>
            <w:tcBorders>
              <w:bottom w:val="single" w:sz="8" w:color="auto"/>
            </w:tcBorders>
          </w:tcPr>
          <w:p>
            <w:pPr>
              <w:spacing w:after="0"/>
              <w:rPr>
                <w:sz w:val="2"/>
                <w:szCs w:val="2"/>
                <w:color w:val="auto"/>
              </w:rPr>
            </w:pPr>
          </w:p>
        </w:tc>
      </w:tr>
      <w:tr>
        <w:trPr>
          <w:trHeight w:val="264"/>
        </w:trPr>
        <w:tc>
          <w:tcPr>
            <w:tcW w:w="132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9820" w:type="dxa"/>
            <w:vAlign w:val="bottom"/>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Amended and Restated Certificate of Incorporation of the Registrant.</w:t>
              </w:r>
            </w:hyperlink>
          </w:p>
        </w:tc>
      </w:tr>
      <w:tr>
        <w:trPr>
          <w:trHeight w:val="283"/>
        </w:trPr>
        <w:tc>
          <w:tcPr>
            <w:tcW w:w="132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9820" w:type="dxa"/>
            <w:vAlign w:val="bottom"/>
          </w:tcPr>
          <w:p>
            <w:pPr>
              <w:ind w:left="2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Amended and Restated Bylaws of the Registrant.</w:t>
              </w:r>
            </w:hyperlink>
          </w:p>
        </w:tc>
      </w:tr>
      <w:tr>
        <w:trPr>
          <w:trHeight w:val="284"/>
        </w:trPr>
        <w:tc>
          <w:tcPr>
            <w:tcW w:w="1320" w:type="dxa"/>
            <w:vAlign w:val="bottom"/>
          </w:tcPr>
          <w:p>
            <w:pPr>
              <w:ind w:left="2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9820" w:type="dxa"/>
            <w:vAlign w:val="bottom"/>
          </w:tcPr>
          <w:p>
            <w:pPr>
              <w:ind w:left="2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Press Release, dated December 8, 2020.</w:t>
              </w:r>
            </w:hyperlink>
          </w:p>
        </w:tc>
      </w:tr>
    </w:tbl>
    <w:p>
      <w:pPr>
        <w:sectPr>
          <w:pgSz w:w="11900" w:h="16838" w:orient="portrait"/>
          <w:cols w:equalWidth="0" w:num="1">
            <w:col w:w="11240"/>
          </w:cols>
          <w:pgMar w:left="320" w:top="1417" w:right="339" w:bottom="1440" w:gutter="0" w:footer="0" w:header="0"/>
        </w:sectPr>
      </w:pPr>
    </w:p>
    <w:bookmarkStart w:id="2" w:name="page3"/>
    <w:bookmarkEnd w:id="2"/>
    <w:p>
      <w:pPr>
        <w:spacing w:after="0" w:line="14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3"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By:  /s/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14605</wp:posOffset>
            </wp:positionV>
            <wp:extent cx="15005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15"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David Horn</w:t>
      </w:r>
    </w:p>
    <w:p>
      <w:pPr>
        <w:spacing w:after="0" w:line="23" w:lineRule="exact"/>
        <w:rPr>
          <w:sz w:val="20"/>
          <w:szCs w:val="20"/>
          <w:color w:val="auto"/>
        </w:rPr>
      </w:pPr>
    </w:p>
    <w:p>
      <w:pPr>
        <w:ind w:left="8900"/>
        <w:spacing w:after="0"/>
        <w:rPr>
          <w:sz w:val="20"/>
          <w:szCs w:val="20"/>
          <w:color w:val="auto"/>
        </w:rPr>
      </w:pPr>
      <w:r>
        <w:rPr>
          <w:rFonts w:ascii="Arial" w:cs="Arial" w:eastAsia="Arial" w:hAnsi="Arial"/>
          <w:sz w:val="17"/>
          <w:szCs w:val="17"/>
          <w:color w:val="auto"/>
        </w:rPr>
        <w:t>Chief Financial Officer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2020</w:t>
      </w:r>
    </w:p>
    <w:p>
      <w:pPr>
        <w:sectPr>
          <w:pgSz w:w="11900" w:h="16838" w:orient="portrait"/>
          <w:cols w:equalWidth="0" w:num="1">
            <w:col w:w="10600"/>
          </w:cols>
          <w:pgMar w:left="320" w:top="1440"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INCORPORATION 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SEER, INC.</w:t>
      </w:r>
    </w:p>
    <w:p>
      <w:pPr>
        <w:spacing w:after="0" w:line="17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Seer, Inc., a corporation organized and existing under the laws of the State of Delaware (the “</w:t>
      </w:r>
      <w:r>
        <w:rPr>
          <w:rFonts w:ascii="Arial" w:cs="Arial" w:eastAsia="Arial" w:hAnsi="Arial"/>
          <w:sz w:val="22"/>
          <w:szCs w:val="22"/>
          <w:u w:val="single" w:color="auto"/>
          <w:color w:val="auto"/>
        </w:rPr>
        <w:t>Corporation</w:t>
      </w:r>
      <w:r>
        <w:rPr>
          <w:rFonts w:ascii="Arial" w:cs="Arial" w:eastAsia="Arial" w:hAnsi="Arial"/>
          <w:sz w:val="22"/>
          <w:szCs w:val="22"/>
          <w:color w:val="auto"/>
        </w:rPr>
        <w:t>”), does hereby certify as follows:</w:t>
      </w:r>
    </w:p>
    <w:p>
      <w:pPr>
        <w:spacing w:after="0" w:line="121" w:lineRule="exact"/>
        <w:rPr>
          <w:sz w:val="20"/>
          <w:szCs w:val="20"/>
          <w:color w:val="auto"/>
        </w:rPr>
      </w:pPr>
    </w:p>
    <w:p>
      <w:pPr>
        <w:ind w:right="20" w:firstLine="980"/>
        <w:spacing w:after="0" w:line="287" w:lineRule="auto"/>
        <w:tabs>
          <w:tab w:leader="none" w:pos="1290" w:val="left"/>
        </w:tabs>
        <w:numPr>
          <w:ilvl w:val="0"/>
          <w:numId w:val="2"/>
        </w:numPr>
        <w:rPr>
          <w:rFonts w:ascii="Arial" w:cs="Arial" w:eastAsia="Arial" w:hAnsi="Arial"/>
          <w:sz w:val="21"/>
          <w:szCs w:val="21"/>
          <w:color w:val="auto"/>
        </w:rPr>
      </w:pPr>
      <w:r>
        <w:rPr>
          <w:rFonts w:ascii="Arial" w:cs="Arial" w:eastAsia="Arial" w:hAnsi="Arial"/>
          <w:sz w:val="21"/>
          <w:szCs w:val="21"/>
          <w:color w:val="auto"/>
        </w:rPr>
        <w:t>The name of the Corporation is Seer, Inc. The Corporation was originally incorporated pursuant to the General Corporation Law of the State of Delaware (“</w:t>
      </w:r>
      <w:r>
        <w:rPr>
          <w:rFonts w:ascii="Arial" w:cs="Arial" w:eastAsia="Arial" w:hAnsi="Arial"/>
          <w:sz w:val="21"/>
          <w:szCs w:val="21"/>
          <w:u w:val="single" w:color="auto"/>
          <w:color w:val="auto"/>
        </w:rPr>
        <w:t>DGCL</w:t>
      </w:r>
      <w:r>
        <w:rPr>
          <w:rFonts w:ascii="Arial" w:cs="Arial" w:eastAsia="Arial" w:hAnsi="Arial"/>
          <w:sz w:val="21"/>
          <w:szCs w:val="21"/>
          <w:color w:val="auto"/>
        </w:rPr>
        <w:t>”) on March 16, 2017 under the name Seer Biosciences, Inc.</w:t>
      </w:r>
    </w:p>
    <w:p>
      <w:pPr>
        <w:spacing w:after="0" w:line="97" w:lineRule="exact"/>
        <w:rPr>
          <w:rFonts w:ascii="Arial" w:cs="Arial" w:eastAsia="Arial" w:hAnsi="Arial"/>
          <w:sz w:val="21"/>
          <w:szCs w:val="21"/>
          <w:color w:val="auto"/>
        </w:rPr>
      </w:pPr>
    </w:p>
    <w:p>
      <w:pPr>
        <w:jc w:val="both"/>
        <w:ind w:firstLine="980"/>
        <w:spacing w:after="0" w:line="250" w:lineRule="auto"/>
        <w:tabs>
          <w:tab w:leader="none" w:pos="129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Amended and Restated Certificate of Incorporation (this “</w:t>
      </w:r>
      <w:r>
        <w:rPr>
          <w:rFonts w:ascii="Arial" w:cs="Arial" w:eastAsia="Arial" w:hAnsi="Arial"/>
          <w:sz w:val="22"/>
          <w:szCs w:val="22"/>
          <w:u w:val="single" w:color="auto"/>
          <w:color w:val="auto"/>
        </w:rPr>
        <w:t>Amended and Restated Certificate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Incorporation</w:t>
      </w:r>
      <w:r>
        <w:rPr>
          <w:rFonts w:ascii="Arial" w:cs="Arial" w:eastAsia="Arial" w:hAnsi="Arial"/>
          <w:sz w:val="22"/>
          <w:szCs w:val="22"/>
          <w:color w:val="auto"/>
        </w:rPr>
        <w:t>”) was duly adopted by the Board of Directors of the Corporation (the “</w:t>
      </w:r>
      <w:r>
        <w:rPr>
          <w:rFonts w:ascii="Arial" w:cs="Arial" w:eastAsia="Arial" w:hAnsi="Arial"/>
          <w:sz w:val="22"/>
          <w:szCs w:val="22"/>
          <w:u w:val="single" w:color="auto"/>
          <w:color w:val="auto"/>
        </w:rPr>
        <w:t>Board of Directors</w:t>
      </w:r>
      <w:r>
        <w:rPr>
          <w:rFonts w:ascii="Arial" w:cs="Arial" w:eastAsia="Arial" w:hAnsi="Arial"/>
          <w:sz w:val="22"/>
          <w:szCs w:val="22"/>
          <w:color w:val="auto"/>
        </w:rPr>
        <w:t>”) in accordance with Sections 242 and 245 of the DGCL, and has been duly approved by the written consent of the stockholders of the Corporation in accordance with Section 228 of the DGCL.</w:t>
      </w:r>
    </w:p>
    <w:p>
      <w:pPr>
        <w:spacing w:after="0" w:line="133" w:lineRule="exact"/>
        <w:rPr>
          <w:rFonts w:ascii="Arial" w:cs="Arial" w:eastAsia="Arial" w:hAnsi="Arial"/>
          <w:sz w:val="22"/>
          <w:szCs w:val="22"/>
          <w:color w:val="auto"/>
        </w:rPr>
      </w:pPr>
    </w:p>
    <w:p>
      <w:pPr>
        <w:ind w:firstLine="980"/>
        <w:spacing w:after="0" w:line="263" w:lineRule="auto"/>
        <w:tabs>
          <w:tab w:leader="none" w:pos="129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text of the Amended and Restated Certificate of Incorporation is hereby amended and restated in its entirety to read as follows: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name of the Corporation is Seer, Inc.</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172"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The address of the Corporation’s registered office in the State of Delaware is 1209 Orange Street, City of Wilmington, County of New Castle, Delaware 19801. The name of its registered agent at such address is The Corporation Trust Company.</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17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nature of the business or purposes to be conducted or promoted by the Corporation is to engage in any lawful act or activity for which corporations may be organized under the DGCL.</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17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total number of shares of all classes of stock that the Corporation is authorized to issue is 105,000,000 shares of stock, consisting of (i) 5,000,000 shares of Preferred Stock, par value $0.00001 per share (“</w:t>
      </w:r>
      <w:r>
        <w:rPr>
          <w:rFonts w:ascii="Arial" w:cs="Arial" w:eastAsia="Arial" w:hAnsi="Arial"/>
          <w:sz w:val="22"/>
          <w:szCs w:val="22"/>
          <w:u w:val="single" w:color="auto"/>
          <w:color w:val="auto"/>
        </w:rPr>
        <w:t>Preferred Stock</w:t>
      </w:r>
      <w:r>
        <w:rPr>
          <w:rFonts w:ascii="Arial" w:cs="Arial" w:eastAsia="Arial" w:hAnsi="Arial"/>
          <w:sz w:val="22"/>
          <w:szCs w:val="22"/>
          <w:color w:val="auto"/>
        </w:rPr>
        <w:t>”), (ii) 94,000,000 shares of Class A Common Stock, par value $0.00001 per share (the “</w:t>
      </w:r>
      <w:r>
        <w:rPr>
          <w:rFonts w:ascii="Arial" w:cs="Arial" w:eastAsia="Arial" w:hAnsi="Arial"/>
          <w:sz w:val="22"/>
          <w:szCs w:val="22"/>
          <w:u w:val="single" w:color="auto"/>
          <w:color w:val="auto"/>
        </w:rPr>
        <w:t>Class A Common Stock</w:t>
      </w:r>
      <w:r>
        <w:rPr>
          <w:rFonts w:ascii="Arial" w:cs="Arial" w:eastAsia="Arial" w:hAnsi="Arial"/>
          <w:sz w:val="22"/>
          <w:szCs w:val="22"/>
          <w:color w:val="auto"/>
        </w:rPr>
        <w:t>”), and (iii) 6,000,000 shares of Class B Common Stock, par value $0.00001 per share (the “</w:t>
      </w:r>
      <w:r>
        <w:rPr>
          <w:rFonts w:ascii="Arial" w:cs="Arial" w:eastAsia="Arial" w:hAnsi="Arial"/>
          <w:sz w:val="22"/>
          <w:szCs w:val="22"/>
          <w:u w:val="single" w:color="auto"/>
          <w:color w:val="auto"/>
        </w:rPr>
        <w:t>Class B Common Stock</w:t>
      </w:r>
      <w:r>
        <w:rPr>
          <w:rFonts w:ascii="Arial" w:cs="Arial" w:eastAsia="Arial" w:hAnsi="Arial"/>
          <w:sz w:val="22"/>
          <w:szCs w:val="22"/>
          <w:color w:val="auto"/>
        </w:rPr>
        <w:t>” and, together with the Class A Common Stock, the “</w:t>
      </w:r>
      <w:r>
        <w:rPr>
          <w:rFonts w:ascii="Arial" w:cs="Arial" w:eastAsia="Arial" w:hAnsi="Arial"/>
          <w:sz w:val="22"/>
          <w:szCs w:val="22"/>
          <w:u w:val="single" w:color="auto"/>
          <w:color w:val="auto"/>
        </w:rPr>
        <w:t>Common Stock</w:t>
      </w:r>
      <w:r>
        <w:rPr>
          <w:rFonts w:ascii="Arial" w:cs="Arial" w:eastAsia="Arial" w:hAnsi="Arial"/>
          <w:sz w:val="22"/>
          <w:szCs w:val="22"/>
          <w:color w:val="auto"/>
        </w:rPr>
        <w:t>”).</w:t>
      </w:r>
    </w:p>
    <w:p>
      <w:pPr>
        <w:sectPr>
          <w:pgSz w:w="11900" w:h="16838" w:orient="portrait"/>
          <w:cols w:equalWidth="0" w:num="1">
            <w:col w:w="11240"/>
          </w:cols>
          <w:pgMar w:left="320" w:top="121" w:right="339" w:bottom="1440" w:gutter="0" w:footer="0" w:header="0"/>
        </w:sectPr>
      </w:pPr>
    </w:p>
    <w:bookmarkStart w:id="4" w:name="page5"/>
    <w:bookmarkEnd w:id="4"/>
    <w:p>
      <w:pPr>
        <w:ind w:firstLine="648"/>
        <w:spacing w:after="0" w:line="263" w:lineRule="auto"/>
        <w:rPr>
          <w:sz w:val="20"/>
          <w:szCs w:val="20"/>
          <w:color w:val="auto"/>
        </w:rPr>
      </w:pPr>
      <w:r>
        <w:rPr>
          <w:rFonts w:ascii="Arial" w:cs="Arial" w:eastAsia="Arial" w:hAnsi="Arial"/>
          <w:sz w:val="22"/>
          <w:szCs w:val="22"/>
          <w:color w:val="auto"/>
        </w:rPr>
        <w:t>The following is a statement of the designations and the powers, privileges and rights, and the qualifications, limitations or restrictions thereof in respect of each class of capital stock of the Corporation.</w:t>
      </w:r>
    </w:p>
    <w:p>
      <w:pPr>
        <w:spacing w:after="0" w:line="121"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COMMON STOCK</w:t>
      </w:r>
    </w:p>
    <w:p>
      <w:pPr>
        <w:spacing w:after="0" w:line="165" w:lineRule="exact"/>
        <w:rPr>
          <w:rFonts w:ascii="Arial" w:cs="Arial" w:eastAsia="Arial" w:hAnsi="Arial"/>
          <w:sz w:val="22"/>
          <w:szCs w:val="22"/>
          <w:color w:val="auto"/>
        </w:rPr>
      </w:pPr>
    </w:p>
    <w:p>
      <w:pPr>
        <w:jc w:val="both"/>
        <w:ind w:firstLine="1304"/>
        <w:spacing w:after="0" w:line="302" w:lineRule="auto"/>
        <w:tabs>
          <w:tab w:leader="none" w:pos="1944" w:val="left"/>
        </w:tabs>
        <w:numPr>
          <w:ilvl w:val="1"/>
          <w:numId w:val="3"/>
        </w:numPr>
        <w:rPr>
          <w:rFonts w:ascii="Arial" w:cs="Arial" w:eastAsia="Arial" w:hAnsi="Arial"/>
          <w:sz w:val="19"/>
          <w:szCs w:val="19"/>
          <w:color w:val="auto"/>
        </w:rPr>
      </w:pPr>
      <w:r>
        <w:rPr>
          <w:rFonts w:ascii="Arial" w:cs="Arial" w:eastAsia="Arial" w:hAnsi="Arial"/>
          <w:sz w:val="19"/>
          <w:szCs w:val="19"/>
          <w:u w:val="single" w:color="auto"/>
          <w:color w:val="auto"/>
        </w:rPr>
        <w:t>Equal Status</w:t>
      </w:r>
      <w:r>
        <w:rPr>
          <w:rFonts w:ascii="Arial" w:cs="Arial" w:eastAsia="Arial" w:hAnsi="Arial"/>
          <w:sz w:val="19"/>
          <w:szCs w:val="19"/>
          <w:color w:val="auto"/>
        </w:rPr>
        <w:t>. Except as otherwise provided in this Amended and Restated Certificate of Incorporation or required by applicable law, shares of Class A Common Stock and Class B Common Stock shall have the same rights and powers, rank equally (including, without limitation, as to any dividends and distributions, and upon any liquidation, dissolution or winding up of the Corporation), share ratably and be identical in all respects and as to all matters, including:</w:t>
      </w:r>
    </w:p>
    <w:p>
      <w:pPr>
        <w:spacing w:after="0" w:line="88" w:lineRule="exact"/>
        <w:rPr>
          <w:sz w:val="20"/>
          <w:szCs w:val="20"/>
          <w:color w:val="auto"/>
        </w:rPr>
      </w:pPr>
    </w:p>
    <w:p>
      <w:pPr>
        <w:jc w:val="both"/>
        <w:ind w:firstLine="1944"/>
        <w:spacing w:after="0" w:line="260" w:lineRule="auto"/>
        <w:rPr>
          <w:sz w:val="20"/>
          <w:szCs w:val="20"/>
          <w:color w:val="auto"/>
        </w:rPr>
      </w:pPr>
      <w:r>
        <w:rPr>
          <w:rFonts w:ascii="Arial" w:cs="Arial" w:eastAsia="Arial" w:hAnsi="Arial"/>
          <w:sz w:val="21"/>
          <w:szCs w:val="21"/>
          <w:color w:val="auto"/>
        </w:rPr>
        <w:t>1.1 Subject to the prior rights of holders of all classes and series of stock at the time outstanding having prior rights as to dividends, the holders of the Common Stock shall be entitled to receive, when, as and if declared by the Board of Directors, out of any assets of the Corporation legally available therefor, such dividends as may be declared from time to time by the Board of Directors. Any dividends paid to the holders of shares of Common Stock shall be paid pro rata, on an equal priority, pari passu basis, unless different treatment of the shares of any such class or series is approved by the affirmative vote of the holders of a majority of the voting power of the outstanding shares of such applicable class or series of Common Stock treated adversely, voting separately as a class.</w:t>
      </w:r>
    </w:p>
    <w:p>
      <w:pPr>
        <w:spacing w:after="0" w:line="126" w:lineRule="exact"/>
        <w:rPr>
          <w:sz w:val="20"/>
          <w:szCs w:val="20"/>
          <w:color w:val="auto"/>
        </w:rPr>
      </w:pPr>
    </w:p>
    <w:p>
      <w:pPr>
        <w:jc w:val="both"/>
        <w:ind w:firstLine="1944"/>
        <w:spacing w:after="0" w:line="285" w:lineRule="auto"/>
        <w:rPr>
          <w:sz w:val="20"/>
          <w:szCs w:val="20"/>
          <w:color w:val="auto"/>
        </w:rPr>
      </w:pPr>
      <w:r>
        <w:rPr>
          <w:rFonts w:ascii="Arial" w:cs="Arial" w:eastAsia="Arial" w:hAnsi="Arial"/>
          <w:sz w:val="19"/>
          <w:szCs w:val="19"/>
          <w:color w:val="auto"/>
        </w:rPr>
        <w:t xml:space="preserve">1.2 The Corporation shall not declare or pay any dividend or make any other distribution to the holders of Common Stock payable in securities of the Corporation unless the same dividend or distribution with the same record date and payment date shall be declared and paid on all shares of Common Stock, unless different treatment of the shares of Class A Common Stock or Class B Common Stock, as applicable, is approved by the affirmative vote of the holders of a majority of the outstanding shares of Class A Common Stock and Class B Common Stock, each voting separately as a class;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the Class B Common Stock if, and only if, a dividend payable in shares of Class B Common Stock, or rights to acquire shares of Class B Common Stock, is declared and paid to the holders of Class B Common Stock at the same rate and with the same record date and payment date; and (ii) dividends or other distributions payable in shares of Class B Common Stock or rights to acquire shares of Class B Common Stock may be declared and paid to the holders of Class B Common Stock without the same dividend or distribution being declared and paid to the holders of the Class A Common Stock if, and only if, a dividend payable in shares of Class A Common Stock, or rights to acquire shares of Class A Common Stock, is declared and paid to the holders of Class A Common Stock at the same rate and with the same record date and payment date; and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further</w:t>
      </w:r>
      <w:r>
        <w:rPr>
          <w:rFonts w:ascii="Arial" w:cs="Arial" w:eastAsia="Arial" w:hAnsi="Arial"/>
          <w:sz w:val="19"/>
          <w:szCs w:val="19"/>
          <w:color w:val="auto"/>
        </w:rPr>
        <w:t>, that nothing in the foregoing shall prevent the Corporation from declaring and paying dividends or other</w:t>
      </w:r>
      <w:r>
        <w:rPr>
          <w:rFonts w:ascii="Arial" w:cs="Arial" w:eastAsia="Arial" w:hAnsi="Arial"/>
          <w:sz w:val="19"/>
          <w:szCs w:val="19"/>
          <w:i w:val="1"/>
          <w:iCs w:val="1"/>
          <w:color w:val="auto"/>
        </w:rPr>
        <w:t xml:space="preserve"> </w:t>
      </w:r>
      <w:r>
        <w:rPr>
          <w:rFonts w:ascii="Arial" w:cs="Arial" w:eastAsia="Arial" w:hAnsi="Arial"/>
          <w:sz w:val="19"/>
          <w:szCs w:val="19"/>
          <w:color w:val="auto"/>
        </w:rPr>
        <w:t>distributions payable in shares of one class of Common Stock or rights to acquire one class of Common Stock to holders of all classes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28" w:right="339" w:bottom="1440" w:gutter="0" w:footer="0" w:header="0"/>
        </w:sectPr>
      </w:pPr>
    </w:p>
    <w:bookmarkStart w:id="5" w:name="page6"/>
    <w:bookmarkEnd w:id="5"/>
    <w:p>
      <w:pPr>
        <w:jc w:val="both"/>
        <w:ind w:firstLine="1944"/>
        <w:spacing w:after="0" w:line="248" w:lineRule="auto"/>
        <w:rPr>
          <w:sz w:val="20"/>
          <w:szCs w:val="20"/>
          <w:color w:val="auto"/>
        </w:rPr>
      </w:pPr>
      <w:r>
        <w:rPr>
          <w:rFonts w:ascii="Arial" w:cs="Arial" w:eastAsia="Arial" w:hAnsi="Arial"/>
          <w:sz w:val="22"/>
          <w:szCs w:val="22"/>
          <w:color w:val="auto"/>
        </w:rPr>
        <w:t>1.3 If the Corporation in any manner subdivides or combines the outstanding shares of Class A Common Stock or Class B Common Stock, then the outstanding shares of all Common Stock will be subdivided or combined in the same proportion and manner, unless different treatment of the shares of Class A Common Stock or Class B Common Stock, as applicable, is approved by the affirmative vote of the holders of a majority of the outstanding shares of Class A Common Stock and Class B Common Stock, each voting separately as a class.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Without limiting the generality of the foregoing, (i) in the event of a merger, consolidation or other business combination requiring the approval of the holders of the Corporation’s capital stock entitled to vote thereon (whether or not the Corporation is the surviving entity), the holders of the Class A Common Stock shall have the right to receive, or the right to elect to receive, the same form of consideration, if any, as the holders of the Class B Common Stock and the holders of the Class A Common Stock shall have the right to receive, or the right to elect to receive, at least the same amount of consideration, if any, on a per share basis as the holders of the Class B Common Stock, and (ii) in the event of (x) any tender or exchange offer to acquire any shares of Common Stock by any third party pursuant to an agreement to which the Corporation is a party or (y) any tender or exchange offer by the Corporation to acquire any shares of Common Stock, pursuant to the terms of the applicable tender or exchange offer, the holders of the Class A Common Stock shall have the right to receive, or the right to elect to receive, the same form of consideration as the holders of the Class B Common Stock and the holders of the Class A Common Stock shall have the right to receive, or the right to elect to receive, at least the same amount of consideration on a per share basis as the holders of the Class B Common Stock.</w:t>
      </w:r>
    </w:p>
    <w:p>
      <w:pPr>
        <w:spacing w:after="0" w:line="137" w:lineRule="exact"/>
        <w:rPr>
          <w:sz w:val="20"/>
          <w:szCs w:val="20"/>
          <w:color w:val="auto"/>
        </w:rPr>
      </w:pPr>
    </w:p>
    <w:p>
      <w:pPr>
        <w:jc w:val="both"/>
        <w:ind w:firstLine="1304"/>
        <w:spacing w:after="0" w:line="288" w:lineRule="auto"/>
        <w:tabs>
          <w:tab w:leader="none" w:pos="1944"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Voting Rights</w:t>
      </w:r>
      <w:r>
        <w:rPr>
          <w:rFonts w:ascii="Arial" w:cs="Arial" w:eastAsia="Arial" w:hAnsi="Arial"/>
          <w:sz w:val="19"/>
          <w:szCs w:val="19"/>
          <w:color w:val="auto"/>
        </w:rPr>
        <w:t>. Except as otherwise expressly provided by this Amended and Restated Certificate of Incorporation or as required by law, the holders of shares of Class A Common Stock and Class B Common Stock shall (a) at all times vote together as a single class on all matters (including the election of directors) submitted to a vote or for the consent (provided such action by written consent is first recommended or approved by the Board of Directors) of the stockholders of the Corporation, (b) be entitled to notice of any stockholders’ meeting in accordance with the Bylaws of the Corporation and (c) be entitled to vote upon such matters and in such manner as may be provided by applicable law. Except as otherwise expressly provided herein or required by applicable law, on any matter that is submitted to a vote of stockholders of the Corporation, each holder of Class A Common Stock shall have the right to one (1) vote per share of Class A Common Stock held of record by such holder as of the applicable record date and each holder of Class B Common Stock shall have the right to ten (10) votes per share of Class B Common Stock held of record by such holder as of the applicable record date.</w:t>
      </w:r>
    </w:p>
    <w:p>
      <w:pPr>
        <w:spacing w:after="0" w:line="10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Except as otherwise required by law, holders of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Amended and Restated Certificate of Incorporation (including any certificate of designation filed with respect to any series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28" w:right="339" w:bottom="1440" w:gutter="0" w:footer="0" w:header="0"/>
        </w:sectPr>
      </w:pPr>
    </w:p>
    <w:bookmarkStart w:id="6" w:name="page7"/>
    <w:bookmarkEnd w:id="6"/>
    <w:p>
      <w:pPr>
        <w:ind w:left="1300" w:hanging="656"/>
        <w:spacing w:after="0"/>
        <w:tabs>
          <w:tab w:leader="none" w:pos="1300"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Conversion</w:t>
      </w:r>
      <w:r>
        <w:rPr>
          <w:rFonts w:ascii="Arial" w:cs="Arial" w:eastAsia="Arial" w:hAnsi="Arial"/>
          <w:sz w:val="22"/>
          <w:szCs w:val="22"/>
          <w:color w:val="auto"/>
        </w:rPr>
        <w:t>.</w:t>
      </w:r>
    </w:p>
    <w:p>
      <w:pPr>
        <w:spacing w:after="0" w:line="16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1"/>
          <w:szCs w:val="21"/>
          <w:u w:val="single" w:color="auto"/>
          <w:color w:val="auto"/>
        </w:rPr>
        <w:t>Certain Definitions</w:t>
      </w:r>
      <w:r>
        <w:rPr>
          <w:rFonts w:ascii="Arial" w:cs="Arial" w:eastAsia="Arial" w:hAnsi="Arial"/>
          <w:sz w:val="21"/>
          <w:szCs w:val="21"/>
          <w:color w:val="auto"/>
        </w:rPr>
        <w:t>. As used in this Section 3, the following terms shall have the following</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meanings:</w:t>
      </w:r>
    </w:p>
    <w:p>
      <w:pPr>
        <w:spacing w:after="0" w:line="148" w:lineRule="exact"/>
        <w:rPr>
          <w:sz w:val="20"/>
          <w:szCs w:val="20"/>
          <w:color w:val="auto"/>
        </w:rPr>
      </w:pPr>
    </w:p>
    <w:p>
      <w:pPr>
        <w:jc w:val="both"/>
        <w:ind w:left="1940" w:hanging="648"/>
        <w:spacing w:after="0" w:line="260" w:lineRule="auto"/>
        <w:tabs>
          <w:tab w:leader="none" w:pos="1928" w:val="left"/>
        </w:tabs>
        <w:numPr>
          <w:ilvl w:val="0"/>
          <w:numId w:val="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shall mean, with respect to any stockholder of the Corporation, any person, entity or firm which, directly or indirectly, controls, is controlled by or is under common control with such stockholder, including, without limitation, any entity of which the stockholder is a partner or member, any partner, officer, director, member or employee of such stockholder and any venture capital fund now or hereafter existing of which the stockholder is a partner or member which is controlled by or under common control with one or more general partners of such stockholder or shares the same management company with such stockholder.</w:t>
      </w:r>
    </w:p>
    <w:p>
      <w:pPr>
        <w:spacing w:after="0" w:line="126" w:lineRule="exact"/>
        <w:rPr>
          <w:rFonts w:ascii="Arial" w:cs="Arial" w:eastAsia="Arial" w:hAnsi="Arial"/>
          <w:sz w:val="21"/>
          <w:szCs w:val="21"/>
          <w:color w:val="auto"/>
        </w:rPr>
      </w:pPr>
    </w:p>
    <w:p>
      <w:pPr>
        <w:ind w:left="1940" w:hanging="648"/>
        <w:spacing w:after="0" w:line="263" w:lineRule="auto"/>
        <w:tabs>
          <w:tab w:leader="none" w:pos="1934" w:val="left"/>
        </w:tabs>
        <w:numPr>
          <w:ilvl w:val="0"/>
          <w:numId w:val="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B Stockholder</w:t>
      </w:r>
      <w:r>
        <w:rPr>
          <w:rFonts w:ascii="Arial" w:cs="Arial" w:eastAsia="Arial" w:hAnsi="Arial"/>
          <w:sz w:val="22"/>
          <w:szCs w:val="22"/>
          <w:color w:val="auto"/>
        </w:rPr>
        <w:t>” shall mean any stockholder that is issued Class B Common Stock by the Corporation.</w:t>
      </w:r>
    </w:p>
    <w:p>
      <w:pPr>
        <w:spacing w:after="0" w:line="120" w:lineRule="exact"/>
        <w:rPr>
          <w:rFonts w:ascii="Arial" w:cs="Arial" w:eastAsia="Arial" w:hAnsi="Arial"/>
          <w:sz w:val="22"/>
          <w:szCs w:val="22"/>
          <w:color w:val="auto"/>
        </w:rPr>
      </w:pPr>
    </w:p>
    <w:p>
      <w:pPr>
        <w:jc w:val="both"/>
        <w:ind w:left="1940" w:hanging="648"/>
        <w:spacing w:after="0" w:line="250" w:lineRule="auto"/>
        <w:tabs>
          <w:tab w:leader="none" w:pos="1940" w:val="left"/>
        </w:tabs>
        <w:numPr>
          <w:ilvl w:val="0"/>
          <w:numId w:val="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Entity</w:t>
      </w:r>
      <w:r>
        <w:rPr>
          <w:rFonts w:ascii="Arial" w:cs="Arial" w:eastAsia="Arial" w:hAnsi="Arial"/>
          <w:sz w:val="22"/>
          <w:szCs w:val="22"/>
          <w:color w:val="auto"/>
        </w:rPr>
        <w:t xml:space="preserve">” shall mean, with respect to any Class B Stockholder, any trust, account, plan, corporation, partnership, or limited liability company specified in </w:t>
      </w:r>
      <w:r>
        <w:rPr>
          <w:rFonts w:ascii="Arial" w:cs="Arial" w:eastAsia="Arial" w:hAnsi="Arial"/>
          <w:sz w:val="22"/>
          <w:szCs w:val="22"/>
          <w:u w:val="single" w:color="auto"/>
          <w:color w:val="auto"/>
        </w:rPr>
        <w:t>Subsection 3.3</w:t>
      </w:r>
      <w:r>
        <w:rPr>
          <w:rFonts w:ascii="Arial" w:cs="Arial" w:eastAsia="Arial" w:hAnsi="Arial"/>
          <w:sz w:val="22"/>
          <w:szCs w:val="22"/>
          <w:color w:val="auto"/>
        </w:rPr>
        <w:t xml:space="preserve"> established by or for such Class B Stockholder, so long as such entity meets the requirements set forth in </w:t>
      </w:r>
      <w:r>
        <w:rPr>
          <w:rFonts w:ascii="Arial" w:cs="Arial" w:eastAsia="Arial" w:hAnsi="Arial"/>
          <w:sz w:val="22"/>
          <w:szCs w:val="22"/>
          <w:u w:val="single" w:color="auto"/>
          <w:color w:val="auto"/>
        </w:rPr>
        <w:t>Subsection 3.3</w:t>
      </w:r>
      <w:r>
        <w:rPr>
          <w:rFonts w:ascii="Arial" w:cs="Arial" w:eastAsia="Arial" w:hAnsi="Arial"/>
          <w:sz w:val="22"/>
          <w:szCs w:val="22"/>
          <w:color w:val="auto"/>
        </w:rPr>
        <w:t>.</w:t>
      </w:r>
    </w:p>
    <w:p>
      <w:pPr>
        <w:spacing w:after="0" w:line="133" w:lineRule="exact"/>
        <w:rPr>
          <w:rFonts w:ascii="Arial" w:cs="Arial" w:eastAsia="Arial" w:hAnsi="Arial"/>
          <w:sz w:val="22"/>
          <w:szCs w:val="22"/>
          <w:color w:val="auto"/>
        </w:rPr>
      </w:pPr>
    </w:p>
    <w:p>
      <w:pPr>
        <w:jc w:val="both"/>
        <w:ind w:left="1940" w:hanging="648"/>
        <w:spacing w:after="0" w:line="290" w:lineRule="auto"/>
        <w:tabs>
          <w:tab w:leader="none" w:pos="1928" w:val="left"/>
        </w:tabs>
        <w:numPr>
          <w:ilvl w:val="0"/>
          <w:numId w:val="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w:t>
      </w:r>
      <w:r>
        <w:rPr>
          <w:rFonts w:ascii="Arial" w:cs="Arial" w:eastAsia="Arial" w:hAnsi="Arial"/>
          <w:sz w:val="19"/>
          <w:szCs w:val="19"/>
          <w:color w:val="auto"/>
        </w:rPr>
        <w:t xml:space="preserve">” shall mean, with respect to a share of Class B Common Stock, any sale, assignment, transfer, conveyance, hypothecation or other transfer or disposition of such share or any legal or beneficial interest in such share, whether or not for value and whether voluntary or involuntary or by operation of law; </w:t>
      </w:r>
      <w:r>
        <w:rPr>
          <w:rFonts w:ascii="Arial" w:cs="Arial" w:eastAsia="Arial" w:hAnsi="Arial"/>
          <w:sz w:val="19"/>
          <w:szCs w:val="19"/>
          <w:i w:val="1"/>
          <w:iCs w:val="1"/>
          <w:color w:val="auto"/>
        </w:rPr>
        <w:t>provided, that</w:t>
      </w:r>
      <w:r>
        <w:rPr>
          <w:rFonts w:ascii="Arial" w:cs="Arial" w:eastAsia="Arial" w:hAnsi="Arial"/>
          <w:sz w:val="19"/>
          <w:szCs w:val="19"/>
          <w:color w:val="auto"/>
        </w:rPr>
        <w:t>, the transfer of, or entering into of a binding agreement with respect to the transfer of, Voting Control (as defined below) over such share by proxy or otherwise in connection with a transaction approved by the Board of Directors, or at the request of the Board of Directors in connection with actions to be taken at an annual or special meeting of stockholders of the Corporation, shall not constitute a Transfer.</w:t>
      </w:r>
    </w:p>
    <w:p>
      <w:pPr>
        <w:spacing w:after="0" w:line="101" w:lineRule="exact"/>
        <w:rPr>
          <w:rFonts w:ascii="Arial" w:cs="Arial" w:eastAsia="Arial" w:hAnsi="Arial"/>
          <w:sz w:val="19"/>
          <w:szCs w:val="19"/>
          <w:color w:val="auto"/>
        </w:rPr>
      </w:pPr>
    </w:p>
    <w:p>
      <w:pPr>
        <w:jc w:val="both"/>
        <w:ind w:left="1940" w:hanging="648"/>
        <w:spacing w:after="0" w:line="253" w:lineRule="auto"/>
        <w:tabs>
          <w:tab w:leader="none" w:pos="1935" w:val="left"/>
        </w:tabs>
        <w:numPr>
          <w:ilvl w:val="0"/>
          <w:numId w:val="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Voting Control</w:t>
      </w:r>
      <w:r>
        <w:rPr>
          <w:rFonts w:ascii="Arial" w:cs="Arial" w:eastAsia="Arial" w:hAnsi="Arial"/>
          <w:sz w:val="22"/>
          <w:szCs w:val="22"/>
          <w:color w:val="auto"/>
        </w:rPr>
        <w:t>” shall mean, with respect to a share of capital stock, or other security, the power (whether exclusive or shared) to vote or direct the voting of such security by proxy, voting agreement or otherwise.</w:t>
      </w:r>
    </w:p>
    <w:p>
      <w:pPr>
        <w:spacing w:after="0" w:line="13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Optional Conversion</w:t>
      </w:r>
      <w:r>
        <w:rPr>
          <w:rFonts w:ascii="Arial" w:cs="Arial" w:eastAsia="Arial" w:hAnsi="Arial"/>
          <w:sz w:val="22"/>
          <w:szCs w:val="22"/>
          <w:color w:val="auto"/>
        </w:rPr>
        <w:t>. Each share of Class B Common Stock shall be convertible into one (1) fully paid and nonassessable share of Class A Common Stock at the option of the holder thereof at any time upon written notice or, if later,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580"/>
          </w:cols>
          <w:pgMar w:left="980" w:top="1428"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or the happening of a future event specified in such written notice, to the transfer agent of the Corporation.</w:t>
      </w:r>
    </w:p>
    <w:p>
      <w:pPr>
        <w:spacing w:after="0" w:line="166"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Automatic Conversion upon Transfer</w:t>
      </w:r>
      <w:r>
        <w:rPr>
          <w:rFonts w:ascii="Arial" w:cs="Arial" w:eastAsia="Arial" w:hAnsi="Arial"/>
          <w:sz w:val="21"/>
          <w:szCs w:val="21"/>
          <w:color w:val="auto"/>
        </w:rPr>
        <w:t xml:space="preserve">. Each share of Class B Common Stock shall automatically, without any further action, convert into one (1) fully paid and nonassessable share of Class A Common Stock upon the Transfer of such share;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in the case of a Class B Stockholder that is a single member limited liability company, a Transfer of Class B Common Stock by a Class B Stockholder to the sole member of such Class B Stockholder shall not trigger such automatic conversion;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a Transfer by a Class B Stockholder (including a Class B Stockholder that is a transferee of Class B Common Stock by virtue of a permitted transfer from a single member limited liability company to its sole member as contemplated under this </w:t>
      </w:r>
      <w:r>
        <w:rPr>
          <w:rFonts w:ascii="Arial" w:cs="Arial" w:eastAsia="Arial" w:hAnsi="Arial"/>
          <w:sz w:val="21"/>
          <w:szCs w:val="21"/>
          <w:u w:val="single" w:color="auto"/>
          <w:color w:val="auto"/>
        </w:rPr>
        <w:t>Subsection 3.3</w:t>
      </w:r>
      <w:r>
        <w:rPr>
          <w:rFonts w:ascii="Arial" w:cs="Arial" w:eastAsia="Arial" w:hAnsi="Arial"/>
          <w:sz w:val="21"/>
          <w:szCs w:val="21"/>
          <w:color w:val="auto"/>
        </w:rPr>
        <w:t>) to any of the following Permitted Entities, and from any of the following Permitted Entities back to such Class B Stockholder and/or any other Permitted Entity by or for such Class B Stockholder shall not trigger such automatic conversion:</w:t>
      </w:r>
    </w:p>
    <w:p>
      <w:pPr>
        <w:spacing w:after="0" w:line="131" w:lineRule="exact"/>
        <w:rPr>
          <w:sz w:val="20"/>
          <w:szCs w:val="20"/>
          <w:color w:val="auto"/>
        </w:rPr>
      </w:pPr>
    </w:p>
    <w:p>
      <w:pPr>
        <w:ind w:left="1920" w:hanging="628"/>
        <w:spacing w:after="0"/>
        <w:tabs>
          <w:tab w:leader="none" w:pos="1920" w:val="left"/>
        </w:tabs>
        <w:numPr>
          <w:ilvl w:val="0"/>
          <w:numId w:val="7"/>
        </w:numPr>
        <w:rPr>
          <w:rFonts w:ascii="Arial" w:cs="Arial" w:eastAsia="Arial" w:hAnsi="Arial"/>
          <w:sz w:val="22"/>
          <w:szCs w:val="22"/>
          <w:color w:val="auto"/>
        </w:rPr>
      </w:pPr>
      <w:r>
        <w:rPr>
          <w:rFonts w:ascii="Arial" w:cs="Arial" w:eastAsia="Arial" w:hAnsi="Arial"/>
          <w:sz w:val="22"/>
          <w:szCs w:val="22"/>
          <w:color w:val="auto"/>
        </w:rPr>
        <w:t>an Affiliate of such Class B Stockholder;</w:t>
      </w:r>
    </w:p>
    <w:p>
      <w:pPr>
        <w:spacing w:after="0" w:line="165" w:lineRule="exact"/>
        <w:rPr>
          <w:rFonts w:ascii="Arial" w:cs="Arial" w:eastAsia="Arial" w:hAnsi="Arial"/>
          <w:sz w:val="22"/>
          <w:szCs w:val="22"/>
          <w:color w:val="auto"/>
        </w:rPr>
      </w:pPr>
    </w:p>
    <w:p>
      <w:pPr>
        <w:ind w:left="1940" w:hanging="648"/>
        <w:spacing w:after="0" w:line="263" w:lineRule="auto"/>
        <w:tabs>
          <w:tab w:leader="none" w:pos="1934" w:val="left"/>
        </w:tabs>
        <w:numPr>
          <w:ilvl w:val="0"/>
          <w:numId w:val="7"/>
        </w:numPr>
        <w:rPr>
          <w:rFonts w:ascii="Arial" w:cs="Arial" w:eastAsia="Arial" w:hAnsi="Arial"/>
          <w:sz w:val="22"/>
          <w:szCs w:val="22"/>
          <w:color w:val="auto"/>
        </w:rPr>
      </w:pPr>
      <w:r>
        <w:rPr>
          <w:rFonts w:ascii="Arial" w:cs="Arial" w:eastAsia="Arial" w:hAnsi="Arial"/>
          <w:sz w:val="22"/>
          <w:szCs w:val="22"/>
          <w:color w:val="auto"/>
        </w:rPr>
        <w:t>a trust for the benefit of such Class B Stockholder or such Class B Stockholder’s spouse, parents or children;</w:t>
      </w:r>
    </w:p>
    <w:p>
      <w:pPr>
        <w:spacing w:after="0" w:line="120" w:lineRule="exact"/>
        <w:rPr>
          <w:rFonts w:ascii="Arial" w:cs="Arial" w:eastAsia="Arial" w:hAnsi="Arial"/>
          <w:sz w:val="22"/>
          <w:szCs w:val="22"/>
          <w:color w:val="auto"/>
        </w:rPr>
      </w:pPr>
    </w:p>
    <w:p>
      <w:pPr>
        <w:jc w:val="both"/>
        <w:ind w:left="1940" w:hanging="648"/>
        <w:spacing w:after="0" w:line="260" w:lineRule="auto"/>
        <w:tabs>
          <w:tab w:leader="none" w:pos="1940" w:val="left"/>
        </w:tabs>
        <w:numPr>
          <w:ilvl w:val="0"/>
          <w:numId w:val="7"/>
        </w:numPr>
        <w:rPr>
          <w:rFonts w:ascii="Arial" w:cs="Arial" w:eastAsia="Arial" w:hAnsi="Arial"/>
          <w:sz w:val="21"/>
          <w:szCs w:val="21"/>
          <w:color w:val="auto"/>
        </w:rPr>
      </w:pPr>
      <w:r>
        <w:rPr>
          <w:rFonts w:ascii="Arial" w:cs="Arial" w:eastAsia="Arial" w:hAnsi="Arial"/>
          <w:sz w:val="21"/>
          <w:szCs w:val="21"/>
          <w:color w:val="auto"/>
        </w:rPr>
        <w:t>a trust for the benefit of persons other than those listed in paragraph 3.3(ii) or an Individual Retirement Account, as defined in Section 408(a) of the Internal Revenue Code of 1986, as amended (the “</w:t>
      </w:r>
      <w:r>
        <w:rPr>
          <w:rFonts w:ascii="Arial" w:cs="Arial" w:eastAsia="Arial" w:hAnsi="Arial"/>
          <w:sz w:val="21"/>
          <w:szCs w:val="21"/>
          <w:b w:val="1"/>
          <w:bCs w:val="1"/>
          <w:color w:val="auto"/>
        </w:rPr>
        <w:t>Code</w:t>
      </w:r>
      <w:r>
        <w:rPr>
          <w:rFonts w:ascii="Arial" w:cs="Arial" w:eastAsia="Arial" w:hAnsi="Arial"/>
          <w:sz w:val="21"/>
          <w:szCs w:val="21"/>
          <w:color w:val="auto"/>
        </w:rPr>
        <w:t>”), or a pension, profit sharing, stock bonus or other type of plan or trust of which such Class B Stockholder is a participant or beneficiary and which satisfies the requirements for qualification under Section 401 of the Code, in each case so long as the Class B Stockholder has sole dispositive power and exclusive Voting Control with respect to the shares of Class B Common Stock held by such trust;</w:t>
      </w:r>
    </w:p>
    <w:p>
      <w:pPr>
        <w:spacing w:after="0" w:line="126" w:lineRule="exact"/>
        <w:rPr>
          <w:rFonts w:ascii="Arial" w:cs="Arial" w:eastAsia="Arial" w:hAnsi="Arial"/>
          <w:sz w:val="21"/>
          <w:szCs w:val="21"/>
          <w:color w:val="auto"/>
        </w:rPr>
      </w:pPr>
    </w:p>
    <w:p>
      <w:pPr>
        <w:jc w:val="both"/>
        <w:ind w:left="1940" w:hanging="648"/>
        <w:spacing w:after="0" w:line="246" w:lineRule="auto"/>
        <w:tabs>
          <w:tab w:leader="none" w:pos="1928" w:val="left"/>
        </w:tabs>
        <w:numPr>
          <w:ilvl w:val="0"/>
          <w:numId w:val="7"/>
        </w:numPr>
        <w:rPr>
          <w:rFonts w:ascii="Arial" w:cs="Arial" w:eastAsia="Arial" w:hAnsi="Arial"/>
          <w:sz w:val="22"/>
          <w:szCs w:val="22"/>
          <w:color w:val="auto"/>
        </w:rPr>
      </w:pPr>
      <w:r>
        <w:rPr>
          <w:rFonts w:ascii="Arial" w:cs="Arial" w:eastAsia="Arial" w:hAnsi="Arial"/>
          <w:sz w:val="22"/>
          <w:szCs w:val="22"/>
          <w:color w:val="auto"/>
        </w:rPr>
        <w:t>a limited liability company in which such Class B Stockholder, together with such Class B Stockholder’s spouse or children, or, in the case of a Class B Stockholder that is a single member limited liability company, the sole member of such Class B Stockholder and such sole member’s spouse or children, directly, or indirectly through one or more Permitted Entities, owns membership interests with sufficient Voting Control in the limited liability company, or otherwise has legally enforceable rights, such that the Class B Stockholder retains sole dispositive power and exclusive Voting Control with respect to the shares of Class B Common Stock held by such limited liability company;</w:t>
      </w:r>
    </w:p>
    <w:p>
      <w:pPr>
        <w:spacing w:after="0" w:line="139" w:lineRule="exact"/>
        <w:rPr>
          <w:rFonts w:ascii="Arial" w:cs="Arial" w:eastAsia="Arial" w:hAnsi="Arial"/>
          <w:sz w:val="22"/>
          <w:szCs w:val="22"/>
          <w:color w:val="auto"/>
        </w:rPr>
      </w:pPr>
    </w:p>
    <w:p>
      <w:pPr>
        <w:ind w:left="1940" w:hanging="648"/>
        <w:spacing w:after="0" w:line="263" w:lineRule="auto"/>
        <w:tabs>
          <w:tab w:leader="none" w:pos="1935" w:val="left"/>
        </w:tabs>
        <w:numPr>
          <w:ilvl w:val="0"/>
          <w:numId w:val="7"/>
        </w:numPr>
        <w:rPr>
          <w:rFonts w:ascii="Arial" w:cs="Arial" w:eastAsia="Arial" w:hAnsi="Arial"/>
          <w:sz w:val="22"/>
          <w:szCs w:val="22"/>
          <w:color w:val="auto"/>
        </w:rPr>
      </w:pPr>
      <w:r>
        <w:rPr>
          <w:rFonts w:ascii="Arial" w:cs="Arial" w:eastAsia="Arial" w:hAnsi="Arial"/>
          <w:sz w:val="22"/>
          <w:szCs w:val="22"/>
          <w:color w:val="auto"/>
        </w:rPr>
        <w:t>a corporation in which such Class B Stockholder directly, or indirectly through one or more Permitted Entities, owns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580"/>
          </w:cols>
          <w:pgMar w:left="980" w:top="1428" w:right="339" w:bottom="1440" w:gutter="0" w:footer="0" w:header="0"/>
        </w:sectPr>
      </w:pPr>
    </w:p>
    <w:bookmarkStart w:id="8" w:name="page9"/>
    <w:bookmarkEnd w:id="8"/>
    <w:p>
      <w:pPr>
        <w:jc w:val="both"/>
        <w:ind w:left="1940"/>
        <w:spacing w:after="0" w:line="271" w:lineRule="auto"/>
        <w:rPr>
          <w:sz w:val="20"/>
          <w:szCs w:val="20"/>
          <w:color w:val="auto"/>
        </w:rPr>
      </w:pPr>
      <w:r>
        <w:rPr>
          <w:rFonts w:ascii="Arial" w:cs="Arial" w:eastAsia="Arial" w:hAnsi="Arial"/>
          <w:sz w:val="21"/>
          <w:szCs w:val="21"/>
          <w:color w:val="auto"/>
        </w:rPr>
        <w:t>with sufficient Voting Control in the corporation, or otherwise has legally enforceable rights, such that the Class B Stockholder retains sole dispositive power and exclusive Voting Control with respect to the shares of Class B Common Stock held by such corporation; or</w:t>
      </w:r>
    </w:p>
    <w:p>
      <w:pPr>
        <w:spacing w:after="0" w:line="113" w:lineRule="exact"/>
        <w:rPr>
          <w:sz w:val="20"/>
          <w:szCs w:val="20"/>
          <w:color w:val="auto"/>
        </w:rPr>
      </w:pPr>
    </w:p>
    <w:p>
      <w:pPr>
        <w:jc w:val="both"/>
        <w:ind w:left="1940" w:hanging="648"/>
        <w:spacing w:after="0" w:line="248" w:lineRule="auto"/>
        <w:tabs>
          <w:tab w:leader="none" w:pos="1928" w:val="left"/>
        </w:tabs>
        <w:numPr>
          <w:ilvl w:val="0"/>
          <w:numId w:val="8"/>
        </w:numPr>
        <w:rPr>
          <w:rFonts w:ascii="Arial" w:cs="Arial" w:eastAsia="Arial" w:hAnsi="Arial"/>
          <w:sz w:val="22"/>
          <w:szCs w:val="22"/>
          <w:color w:val="auto"/>
        </w:rPr>
      </w:pPr>
      <w:r>
        <w:rPr>
          <w:rFonts w:ascii="Arial" w:cs="Arial" w:eastAsia="Arial" w:hAnsi="Arial"/>
          <w:sz w:val="22"/>
          <w:szCs w:val="22"/>
          <w:color w:val="auto"/>
        </w:rPr>
        <w:t>a partnership in which such Class B Stockholder directly, or indirectly through one or more Permitted Entities, owns partnership interests with sufficient Voting Control in the partnership, or otherwise has legally enforceable rights, such that the Class B Stockholder retains sole dispositive power and exclusive Voting Control with respect to the shares of Class B Common Stock held by such partnership.</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in each case such Transfer does not involve any payment of cash, securities, property or other consideration (other than an interest in such trust) to the Class B Stockholder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in the event that the requirements of such Permitted Entity as described in paragraphs 3.3(ii)-3.3(iv) above are no longer met, then each share of Class B Common Stock then held by such Permitted Entity shall automatically convert into one (1) fully paid and nonassessable share of Class A Common Stock.</w:t>
      </w:r>
    </w:p>
    <w:p>
      <w:pPr>
        <w:spacing w:after="0" w:line="12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For the avoidance of doubt, to the extent any shares are deemed to be held by a trustee of a trust described in paragraphs 3.3(ii) or 3.3(iii) above, the Transfer shall not trigger such automatic conversion and the trustee shall be deemed a Permitted Entity so long as the other requirements of 3.3(ii) or 3.3(iii) above, as the case may be, are otherwise satisfied.</w:t>
      </w:r>
    </w:p>
    <w:p>
      <w:pPr>
        <w:spacing w:after="0" w:line="13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Automatic Conversion</w:t>
      </w:r>
      <w:r>
        <w:rPr>
          <w:rFonts w:ascii="Arial" w:cs="Arial" w:eastAsia="Arial" w:hAnsi="Arial"/>
          <w:sz w:val="19"/>
          <w:szCs w:val="19"/>
          <w:color w:val="auto"/>
        </w:rPr>
        <w:t>. Each share of Class B Common Stock held of record by a Class B Stockholder, or by such Class B Stockholder’s Permitted Entities, shall automatically, without any further action, convert into one (1) fully paid and nonassessable share of Class A Common Stock upon (i) the death or permanent disability of such Class B Stockholder, or, in the case of a Class B Stockholder that is a single-member limited liability company, the death or permanent disability of the individual who is the sole member of such Class B Stockholder at the time of the original issuance of such shares of Class B Common Stock, (ii) the close of business on the first day following any period of 90 consecutive days during which such Class B Stockholder does not directly, or, in the case of a Class B Stockholder that is not a natural person, through a member, nominee or designee, provide services to the Corporation as an employee, consultant or director, (iii) the time, including a time determined by the happening of a future event, specified in a written consent or agreement of holders of at least fifty percent (50%) of the then outstanding shares of Class B Common Stock or (iv) the earlier of (x) the close of business on the first day following the fifth anniversary of the closing of the first firm-commitment underwritten public offering pursuant to an effective registration statement under the Securities Act of 1933, as amended, resulting in the listing of shares of the Corporation’s capital stock on a securities exchange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580"/>
          </w:cols>
          <w:pgMar w:left="980" w:top="1428" w:right="339" w:bottom="1440" w:gutter="0" w:footer="0" w:header="0"/>
        </w:sectPr>
      </w:pPr>
    </w:p>
    <w:bookmarkStart w:id="9" w:name="page10"/>
    <w:bookmarkEnd w:id="9"/>
    <w:p>
      <w:pPr>
        <w:jc w:val="both"/>
        <w:ind w:left="660"/>
        <w:spacing w:after="0" w:line="343" w:lineRule="auto"/>
        <w:rPr>
          <w:sz w:val="20"/>
          <w:szCs w:val="20"/>
          <w:color w:val="auto"/>
        </w:rPr>
      </w:pPr>
      <w:r>
        <w:rPr>
          <w:rFonts w:ascii="Arial" w:cs="Arial" w:eastAsia="Arial" w:hAnsi="Arial"/>
          <w:sz w:val="19"/>
          <w:szCs w:val="19"/>
          <w:color w:val="auto"/>
        </w:rPr>
        <w:t>with the U.S. Securities and Exchange Commission as a national securities exchange pursuant to Section 6(a) of the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and (y) the close of business on December 31, 2025.</w:t>
      </w:r>
    </w:p>
    <w:p>
      <w:pPr>
        <w:spacing w:after="0" w:line="50" w:lineRule="exact"/>
        <w:rPr>
          <w:sz w:val="20"/>
          <w:szCs w:val="20"/>
          <w:color w:val="auto"/>
        </w:rPr>
      </w:pPr>
    </w:p>
    <w:p>
      <w:pPr>
        <w:jc w:val="both"/>
        <w:ind w:left="660" w:firstLine="1296"/>
        <w:spacing w:after="0" w:line="287"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Effect of Conversion</w:t>
      </w:r>
      <w:r>
        <w:rPr>
          <w:rFonts w:ascii="Arial" w:cs="Arial" w:eastAsia="Arial" w:hAnsi="Arial"/>
          <w:sz w:val="19"/>
          <w:szCs w:val="19"/>
          <w:color w:val="auto"/>
        </w:rPr>
        <w:t xml:space="preserve">. In the event of a conversion of shares of Class B Common Stock to shares of Class A Common Stock pursuant to this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such conversion shall be deemed to have been made at the time that the Corporation’s transfer agent receives the written notice required pursuant to </w:t>
      </w:r>
      <w:r>
        <w:rPr>
          <w:rFonts w:ascii="Arial" w:cs="Arial" w:eastAsia="Arial" w:hAnsi="Arial"/>
          <w:sz w:val="19"/>
          <w:szCs w:val="19"/>
          <w:u w:val="single" w:color="auto"/>
          <w:color w:val="auto"/>
        </w:rPr>
        <w:t>Subsection 3.2</w:t>
      </w:r>
      <w:r>
        <w:rPr>
          <w:rFonts w:ascii="Arial" w:cs="Arial" w:eastAsia="Arial" w:hAnsi="Arial"/>
          <w:sz w:val="19"/>
          <w:szCs w:val="19"/>
          <w:color w:val="auto"/>
        </w:rPr>
        <w:t xml:space="preserve"> (or, if later, the time or happening of a future event specified in such written notice), the time that the Transfer of such shares occurred or the death or permanent disability of the Class B Stockholder (or its sole member), as applicable or as otherwise provided in Article IV, Part A, Section 3.4. Upon any conversion of Class B Common Stock to Class A Common Stock, all rights of the holder of such shares of Class B Common Stock shall cease and the person or persons in whose names or names the certificate or certificates representing the shares of Class B Common Stock are to be issued, if any, shall be treated for all purposes as having become the record holder or holders of such number of shares of Class A Common Stock into which such Class B Common Stock were convertible. Shares of Class B Common Stock that are converted into shares of Class A Common Stock as provided in this Section 3 shall be retired and shall not be reissued.</w:t>
      </w:r>
    </w:p>
    <w:p>
      <w:pPr>
        <w:spacing w:after="0" w:line="109" w:lineRule="exact"/>
        <w:rPr>
          <w:sz w:val="20"/>
          <w:szCs w:val="20"/>
          <w:color w:val="auto"/>
        </w:rPr>
      </w:pPr>
    </w:p>
    <w:p>
      <w:pPr>
        <w:jc w:val="both"/>
        <w:ind w:firstLine="1304"/>
        <w:spacing w:after="0" w:line="302" w:lineRule="auto"/>
        <w:tabs>
          <w:tab w:leader="none" w:pos="1944"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Reservation of Stock</w:t>
      </w:r>
      <w:r>
        <w:rPr>
          <w:rFonts w:ascii="Arial" w:cs="Arial" w:eastAsia="Arial" w:hAnsi="Arial"/>
          <w:sz w:val="19"/>
          <w:szCs w:val="19"/>
          <w:color w:val="auto"/>
        </w:rPr>
        <w:t>. The Corporation shall at all times reserve and keep available out of its authorized but unissued shares of Class A Common Stock, solely for the purpose of effecting the conversion of the shares of Class B Common Stock, such number of its shares of Class A Common Stock as shall from time to time be sufficient to effect the conversion of all outstanding shares of Class B Common Stock into shares of Class A Common Stock.</w:t>
      </w:r>
    </w:p>
    <w:p>
      <w:pPr>
        <w:spacing w:after="0" w:line="88" w:lineRule="exact"/>
        <w:rPr>
          <w:rFonts w:ascii="Arial" w:cs="Arial" w:eastAsia="Arial" w:hAnsi="Arial"/>
          <w:sz w:val="19"/>
          <w:szCs w:val="19"/>
          <w:color w:val="auto"/>
        </w:rPr>
      </w:pPr>
    </w:p>
    <w:p>
      <w:pPr>
        <w:jc w:val="both"/>
        <w:ind w:firstLine="1304"/>
        <w:spacing w:after="0" w:line="259" w:lineRule="auto"/>
        <w:tabs>
          <w:tab w:leader="none" w:pos="1944" w:val="left"/>
        </w:tabs>
        <w:numPr>
          <w:ilvl w:val="0"/>
          <w:numId w:val="9"/>
        </w:numPr>
        <w:rPr>
          <w:rFonts w:ascii="Arial" w:cs="Arial" w:eastAsia="Arial" w:hAnsi="Arial"/>
          <w:sz w:val="21"/>
          <w:szCs w:val="21"/>
          <w:color w:val="auto"/>
        </w:rPr>
      </w:pPr>
      <w:r>
        <w:rPr>
          <w:rFonts w:ascii="Arial" w:cs="Arial" w:eastAsia="Arial" w:hAnsi="Arial"/>
          <w:sz w:val="21"/>
          <w:szCs w:val="21"/>
          <w:u w:val="single" w:color="auto"/>
          <w:color w:val="auto"/>
        </w:rPr>
        <w:t>Adjustment in Authorized Class A Common Stock and Class B Common Stock</w:t>
      </w:r>
      <w:r>
        <w:rPr>
          <w:rFonts w:ascii="Arial" w:cs="Arial" w:eastAsia="Arial" w:hAnsi="Arial"/>
          <w:sz w:val="21"/>
          <w:szCs w:val="21"/>
          <w:color w:val="auto"/>
        </w:rPr>
        <w:t>. The number of authorized shares of Class A Common Stock may be increased or decreased (but not below the number of shares of Class A Common Stock then outstanding plus the number of shares reserved for issuance pursuant to Section 4 of this Article IV, Part A) by an affirmative vote of the holders of a majority of the outstanding voting power of the Corporation entitled to vote thereon, irrespective of the provisions of Section 242(b)(2) of the DGCL. The number of authorized shares of Class B Common Stock may be increased or decreased (but not below the number of shares of Class B Common Stock then outstanding) by an affirmative vote of the holders of a majority of the outstanding shares of Class B Common Stock, voting as a separate class, irrespective of the provisions of Section 242(b)(2) of the DGCL.</w:t>
      </w:r>
    </w:p>
    <w:p>
      <w:pPr>
        <w:spacing w:after="0" w:line="129" w:lineRule="exact"/>
        <w:rPr>
          <w:rFonts w:ascii="Arial" w:cs="Arial" w:eastAsia="Arial" w:hAnsi="Arial"/>
          <w:sz w:val="21"/>
          <w:szCs w:val="21"/>
          <w:color w:val="auto"/>
        </w:rPr>
      </w:pPr>
    </w:p>
    <w:p>
      <w:pPr>
        <w:jc w:val="both"/>
        <w:ind w:firstLine="1304"/>
        <w:spacing w:after="0" w:line="292" w:lineRule="auto"/>
        <w:tabs>
          <w:tab w:leader="none" w:pos="1944"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Administration</w:t>
      </w:r>
      <w:r>
        <w:rPr>
          <w:rFonts w:ascii="Arial" w:cs="Arial" w:eastAsia="Arial" w:hAnsi="Arial"/>
          <w:sz w:val="19"/>
          <w:szCs w:val="19"/>
          <w:color w:val="auto"/>
        </w:rPr>
        <w:t>. The Corporation may, from time to time, establish such policies and procedures relating to the conversion of the Class B Common Stock into Class A Common Stock and the general administration of this dual-class stock structure, including the issuance of stock certificates with respect thereto, as it may deem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Board of Directors made in good faith as to whether or not a Transfer has occurred and results in a conversion to Class A Common Stock,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28" w:right="339" w:bottom="1440" w:gutter="0" w:footer="0" w:header="0"/>
        </w:sectPr>
      </w:pPr>
    </w:p>
    <w:bookmarkStart w:id="10" w:name="page11"/>
    <w:bookmarkEnd w:id="10"/>
    <w:p>
      <w:pPr>
        <w:spacing w:after="0" w:line="263" w:lineRule="auto"/>
        <w:rPr>
          <w:sz w:val="20"/>
          <w:szCs w:val="20"/>
          <w:color w:val="auto"/>
        </w:rPr>
      </w:pPr>
      <w:r>
        <w:rPr>
          <w:rFonts w:ascii="Arial" w:cs="Arial" w:eastAsia="Arial" w:hAnsi="Arial"/>
          <w:sz w:val="22"/>
          <w:szCs w:val="22"/>
          <w:color w:val="auto"/>
        </w:rPr>
        <w:t>as to whether or not another conversion contemplated in the foregoing Section 3 of Part A of this Article IV has occurred, shall be conclusive and binding.</w:t>
      </w:r>
    </w:p>
    <w:p>
      <w:pPr>
        <w:spacing w:after="0" w:line="121"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PREFERRED STOCK.</w:t>
      </w:r>
    </w:p>
    <w:p>
      <w:pPr>
        <w:spacing w:after="0" w:line="165" w:lineRule="exact"/>
        <w:rPr>
          <w:rFonts w:ascii="Arial" w:cs="Arial" w:eastAsia="Arial" w:hAnsi="Arial"/>
          <w:sz w:val="22"/>
          <w:szCs w:val="22"/>
          <w:color w:val="auto"/>
        </w:rPr>
      </w:pPr>
    </w:p>
    <w:p>
      <w:pPr>
        <w:jc w:val="both"/>
        <w:ind w:firstLine="1304"/>
        <w:spacing w:after="0" w:line="284" w:lineRule="auto"/>
        <w:tabs>
          <w:tab w:leader="none" w:pos="1944" w:val="left"/>
        </w:tabs>
        <w:numPr>
          <w:ilvl w:val="1"/>
          <w:numId w:val="10"/>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The Preferred Stock may be issued from time to time in one or more series pursuant to a resolution or resolutions providing for such issue duly adopted by the Board of Directors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the number of which was fixed by it, subject to the powers, preferences and rights, and the qualifications, limitations and restrictions thereof stated in this Amended and Restated Certificate of Incorporation or the resolution of the Board of Directors originally fixing the number of shares of such series and to applicable law. Except as may be otherwise specified by the terms of any series of Preferred Stock, if the number of shares of any series is so decreased, then the Corporation shall take all such steps as are necessary to cause the shares constituting such decrease to resume the status which they had prior to the adoption of the resolution originally fixing the number of shares of such series. The number of authorized shares of Preferred Stock may be increased or decreased (but not below the number of shares thereof then outstanding) by an affirmative vote of the holders of a majority of the outstanding voting power of the Corporation entitled to vote thereon, without a separate vote of the holders of the class or classes the number of authorized shares of which are being increased or decreased, unless a vote of any holders of one or more series of Preferred Stock is required pursuant to the terms of any certificate of designation relating to any series of Preferred Stock, irrespective of the provisions of Section 242(b)(2) of the DGCL.</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17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Section 1. Subject to the rights of holders of Preferred Stock, the number of directors that constitutes the entire Board of Directors of the Corporation shall be fixed only by resolution of the Board of Directors acting pursuant to a resolution adopted by a majority of the Whole Board. For purposes of this Amended and Restated Certificate of Incorporation, “</w:t>
      </w:r>
      <w:r>
        <w:rPr>
          <w:rFonts w:ascii="Arial" w:cs="Arial" w:eastAsia="Arial" w:hAnsi="Arial"/>
          <w:sz w:val="19"/>
          <w:szCs w:val="19"/>
          <w:b w:val="1"/>
          <w:bCs w:val="1"/>
          <w:color w:val="auto"/>
        </w:rPr>
        <w:t>Whole Board</w:t>
      </w:r>
      <w:r>
        <w:rPr>
          <w:rFonts w:ascii="Arial" w:cs="Arial" w:eastAsia="Arial" w:hAnsi="Arial"/>
          <w:sz w:val="19"/>
          <w:szCs w:val="19"/>
          <w:color w:val="auto"/>
        </w:rPr>
        <w:t>” shall mean the total number of authorized directorships whether or not there exist any vacancies or other unfilled seats in previously authorized directorships. At each annual meeting of stockholders, directors of the Corporation whose terms are expiring at such meeting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28" w:right="339" w:bottom="1440" w:gutter="0" w:footer="0" w:header="0"/>
        </w:sectPr>
      </w:pPr>
    </w:p>
    <w:bookmarkStart w:id="11" w:name="page12"/>
    <w:bookmarkEnd w:id="11"/>
    <w:p>
      <w:pPr>
        <w:jc w:val="both"/>
        <w:ind w:firstLine="648"/>
        <w:spacing w:after="0" w:line="286" w:lineRule="auto"/>
        <w:rPr>
          <w:sz w:val="20"/>
          <w:szCs w:val="20"/>
          <w:color w:val="auto"/>
        </w:rPr>
      </w:pPr>
      <w:r>
        <w:rPr>
          <w:rFonts w:ascii="Arial" w:cs="Arial" w:eastAsia="Arial" w:hAnsi="Arial"/>
          <w:sz w:val="19"/>
          <w:szCs w:val="19"/>
          <w:color w:val="auto"/>
        </w:rPr>
        <w:t xml:space="preserve">Section 2. From and after the effectiveness of this Amended and Restated Certificate of Incorporation, the directors of the Corporation (other than any who may be elected by holders of Preferred Stock under specified circumstances) shall be divided into three classes as nearly equal in size as is practicable, hereby designated Class I, Class II and Class III. Directors already in office shall be assigned to each class at the time such classification becomes effective in accordance with a resolution or resolutions adopted by the Board of Directors. At the first annual meeting of stockholders following the date hereof, the term of office of the Class I directors shall expire and Class I directors shall be elected for a full term of three years. At the second annual meeting of stockholders following the date hereof, the term of office 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hereafter among the classes as to make all classes as nearly equal in number as is practicable,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no decrease in the number of directors constituting the Board of Directors shall shorten the term of any incumbent director.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17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Section 1. From and after the effectiveness of this Amended and Restated Certificate of Incorporation, only for so long as the Board of Directors is classified and subject to the rights of holders of Preferred Stock, any director or the entire Board of Directors may be removed from office at any time, but only for cause, and only by the affirmative vote of the holders of at least a majority of the voting power of the issued and outstanding capital stock of the Corporation entitled to vote in the election of directors.</w:t>
      </w:r>
    </w:p>
    <w:p>
      <w:pPr>
        <w:spacing w:after="0" w:line="13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Section 2. Except as otherwise provided for or fixed by or pursuant to the provisions of Article IV hereof in relation to the rights of the holders of Preferred Stock to elect directors under specified circumstances or except as otherwise provided by resolution of a majority of the Whole Board, newly created directorships resulting from any increase in the number of directors, created in accordance with the Bylaws of the Corporation, and any vacancies on the Board of Directors resulting from death, resignation, disqualification, removal or other cause shall be filled only by the affirmative vote of a majority of the remaining directors then in office, even though less than a quorum of the Board of Directors, or by a sole remaining director, and not by the stockholders. A person so elected by the Board of Directors to fill a vacancy or newly created directorship shall hold office until the next election of the class for which such director shall have been chosen until his or her successor shall have been duly elected and qualified, or until such director’s earlier death, resignation or removal. No decrease in the number of directors constituting the Board of Directors shall shorten the term of any incumbent director.</w:t>
      </w:r>
    </w:p>
    <w:p>
      <w:pPr>
        <w:spacing w:after="0" w:line="99"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ARTICLE VII</w:t>
      </w:r>
    </w:p>
    <w:p>
      <w:pPr>
        <w:spacing w:after="0" w:line="17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color w:val="auto"/>
        </w:rPr>
        <w:t>The Corporation is to have perpetual existence.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28" w:right="339" w:bottom="1440" w:gutter="0" w:footer="0" w:header="0"/>
        </w:sectPr>
      </w:pPr>
    </w:p>
    <w:bookmarkStart w:id="12" w:name="page13"/>
    <w:bookmarkEnd w:id="12"/>
    <w:p>
      <w:pPr>
        <w:jc w:val="both"/>
        <w:ind w:firstLine="648"/>
        <w:spacing w:after="0" w:line="265" w:lineRule="auto"/>
        <w:rPr>
          <w:sz w:val="20"/>
          <w:szCs w:val="20"/>
          <w:color w:val="auto"/>
        </w:rPr>
      </w:pPr>
      <w:r>
        <w:rPr>
          <w:rFonts w:ascii="Arial" w:cs="Arial" w:eastAsia="Arial" w:hAnsi="Arial"/>
          <w:sz w:val="21"/>
          <w:szCs w:val="21"/>
          <w:color w:val="auto"/>
        </w:rPr>
        <w:t>Section 2. The business and affairs of the Corporation shall be managed by or under the direction of the Board of Directors. In addition to the powers and authority expressly conferred upon them by statute or by this Amended and Restated Certificate of Incorporation or the Bylaws of the Corporation, the directors are hereby empowered to exercise all such powers and do all such acts and things as may be exercised or done by the Corporation.</w:t>
      </w:r>
    </w:p>
    <w:p>
      <w:pPr>
        <w:spacing w:after="0" w:line="12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Section 3. In furtherance and not in limitation of the powers conferred by statute, the Board of Directors is expressly authorized to adopt, alter, amend or repeal the Bylaws of the Corporation. The affirmative vote of at least a majority of the Whole Board then in office shall be required in order for the Board of Directors to adopt, amend, alter or repeal the Corporation’s Bylaws. The Corporation’s Bylaws may also be adopted, amended, altered or repealed by the stockholders of the Corporation. Notwithstanding the above or any other provision of this Amended and Restated Certificate of Incorporation, the Bylaws of the Corporation may not be amended, altered or repealed except in accordance with the provisions of the Bylaws relating to amendments to the Bylaws. No Bylaw hereafter legally adopted, amended, altered or repealed shall invalidate any prior act of the directors or officers of the Corporation that would have been valid if such Bylaw had not been adopted, amended, altered or repealed.</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Section 4. The election of directors need not be by written ballot unless the Bylaws of the Corporation shall so provide.</w:t>
      </w:r>
    </w:p>
    <w:p>
      <w:pPr>
        <w:spacing w:after="0" w:line="1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color w:val="auto"/>
        </w:rPr>
        <w:t>No stockholder will be permitted to cumulate votes at any election of directors.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VIII</w:t>
      </w:r>
    </w:p>
    <w:p>
      <w:pPr>
        <w:spacing w:after="0" w:line="17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Section 1. Subject to the terms of any series of Preferred Stock,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3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Section 2. Subject to the terms of any series of Preferred Stock, special meetings of stockholders of the Corporation may be called only by the Chairperson of the Board of Directors, the Chief Executive Officer, the President or the Board of Directors acting pursuant to a resolution adopted by a majority of the Whole Board,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w:t>
      </w:r>
    </w:p>
    <w:p>
      <w:pPr>
        <w:spacing w:after="0" w:line="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Section 3. Advance notice of stockholder nominations for the election of directors and of business to be brought by stockholders before any meeting of the stockholders of the Corporation shall be given in the manner and to the extent provided in the Bylaws of the Corporation.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IX</w:t>
      </w:r>
    </w:p>
    <w:p>
      <w:pPr>
        <w:spacing w:after="0" w:line="17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Section 1. To the fullest extent permitted by the DGCL as the same exists or as may hereafter be amended from time to time, a director of the Corporation shall not be personally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28" w:right="339" w:bottom="1440" w:gutter="0" w:footer="0" w:header="0"/>
        </w:sectPr>
      </w:pPr>
    </w:p>
    <w:bookmarkStart w:id="13" w:name="page14"/>
    <w:bookmarkEnd w:id="13"/>
    <w:p>
      <w:pPr>
        <w:jc w:val="both"/>
        <w:spacing w:after="0" w:line="271" w:lineRule="auto"/>
        <w:rPr>
          <w:sz w:val="20"/>
          <w:szCs w:val="20"/>
          <w:color w:val="auto"/>
        </w:rPr>
      </w:pPr>
      <w:r>
        <w:rPr>
          <w:rFonts w:ascii="Arial" w:cs="Arial" w:eastAsia="Arial" w:hAnsi="Arial"/>
          <w:sz w:val="21"/>
          <w:szCs w:val="21"/>
          <w:color w:val="auto"/>
        </w:rPr>
        <w:t>liable to the Corporation or its stockholders for monetary damages for breach of fiduciary duty as a director.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Section 2. The Corporation shall indemnify, to the fullest extent permitted by applicable law, any director or officer of the Corporation who was or is a party or is threatened to be made a party to any threatened, pending or completed action, suit or proceeding, whether civil, criminal, administrative or investigative (a “</w:t>
      </w:r>
      <w:r>
        <w:rPr>
          <w:rFonts w:ascii="Arial" w:cs="Arial" w:eastAsia="Arial" w:hAnsi="Arial"/>
          <w:sz w:val="21"/>
          <w:szCs w:val="21"/>
          <w:u w:val="single" w:color="auto"/>
          <w:color w:val="auto"/>
        </w:rPr>
        <w:t>Proceeding</w:t>
      </w:r>
      <w:r>
        <w:rPr>
          <w:rFonts w:ascii="Arial" w:cs="Arial" w:eastAsia="Arial" w:hAnsi="Arial"/>
          <w:sz w:val="21"/>
          <w:szCs w:val="21"/>
          <w:color w:val="auto"/>
        </w:rPr>
        <w:t>”)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Corporation shall be required to indemnify a person in connection with a Proceeding (or part thereof) initiated by such person only if the Proceeding (or part thereof) was authorized by the Board of Directors.</w:t>
      </w:r>
    </w:p>
    <w:p>
      <w:pPr>
        <w:spacing w:after="0" w:line="1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Section 3. The Corporation shall have the power to indemnify, to the extent permitted by applicable law, any employee or agent of the Corporation who was or is a party or is threatened to be made a party to any Proceeding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9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Section 4. Neither any amendment, repeal nor elimination of any Section of this Article IX, nor the adoption of any provision of this Amended and Restated Certificate of Incorporation or the Bylaws of the Corporation inconsistent with this Article IX, shall eliminate or reduce the effect of this Article IX in respect of any matter occurring, or any cause of action, suit, claim or proceeding accruing or arising or that, but for this Article IX, would accrue or arise, prior to such amendment, repeal, elimination or adoption of an inconsistent provision.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17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Meetings of stockholders may be held within or outside of the State of Delaware, as the Bylaws may provide. The books of the Corporation may be kept (subject to any provision of applicable law) outside of the State of Delaware at such place or places or in such manner or manners as may be designated from time to time by the Board of Directors or in the Bylaws of the Corporation.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17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Corporation reserves the right to amend or repeal any provision contained in this Amended and Restated Certificate of Incorporation in the manner prescribed by the laws of the State of Delaware and all rights conferred upon stockholders are granted subject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28" w:right="339" w:bottom="1440" w:gutter="0" w:footer="0" w:header="0"/>
        </w:sectPr>
      </w:pPr>
    </w:p>
    <w:bookmarkStart w:id="14" w:name="page15"/>
    <w:bookmarkEnd w:id="14"/>
    <w:p>
      <w:pPr>
        <w:jc w:val="both"/>
        <w:spacing w:after="0" w:line="261" w:lineRule="auto"/>
        <w:rPr>
          <w:sz w:val="20"/>
          <w:szCs w:val="20"/>
          <w:color w:val="auto"/>
        </w:rPr>
      </w:pPr>
      <w:r>
        <w:rPr>
          <w:rFonts w:ascii="Arial" w:cs="Arial" w:eastAsia="Arial" w:hAnsi="Arial"/>
          <w:sz w:val="21"/>
          <w:szCs w:val="21"/>
          <w:color w:val="auto"/>
        </w:rPr>
        <w:t xml:space="preserve">reservation;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notwithstanding any other provision of this Amended and Restated Certificate of Incorporation or any provision of law that might otherwise permit a lesser vote, the Board of Directors acting pursuant to a resolution adopted by a majority of the Whole Board and the affirmative vote of sixty-six and two-thirds percent (66 2/3%) of the voting power of the then outstanding voting securities of the Corporation, voting together as a single class, shall be required for the amendment, repeal or modification of the provisions of Part B of Article IV, Section 2 of Article V, Article VI, Section 5 of Article VII, Article VIII or Article XI of this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28" w:right="339" w:bottom="1440" w:gutter="0" w:footer="0" w:header="0"/>
        </w:sectPr>
      </w:pPr>
    </w:p>
    <w:bookmarkStart w:id="15" w:name="page16"/>
    <w:bookmarkEnd w:id="15"/>
    <w:p>
      <w:pPr>
        <w:ind w:firstLine="648"/>
        <w:spacing w:after="0" w:line="263" w:lineRule="auto"/>
        <w:rPr>
          <w:sz w:val="20"/>
          <w:szCs w:val="20"/>
          <w:color w:val="auto"/>
        </w:rPr>
      </w:pPr>
      <w:r>
        <w:rPr>
          <w:rFonts w:ascii="Arial" w:cs="Arial" w:eastAsia="Arial" w:hAnsi="Arial"/>
          <w:sz w:val="22"/>
          <w:szCs w:val="22"/>
          <w:color w:val="auto"/>
        </w:rPr>
        <w:t>IN WITNESS WHEREOF, Seer, Inc. has caused this Amended and Restated Certificate of Incorporation to be signed by Omid Farokhzad, a duly authorized officer of the Corporation, on December 8, 2020.</w:t>
      </w:r>
    </w:p>
    <w:p>
      <w:pPr>
        <w:spacing w:after="0" w:line="175"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/s/ 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24130</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Omid Farokhzad, M.D.</w:t>
      </w:r>
    </w:p>
    <w:p>
      <w:pPr>
        <w:spacing w:after="0" w:line="58" w:lineRule="exact"/>
        <w:rPr>
          <w:sz w:val="20"/>
          <w:szCs w:val="20"/>
          <w:color w:val="auto"/>
        </w:rPr>
      </w:pPr>
    </w:p>
    <w:p>
      <w:pPr>
        <w:ind w:left="5640"/>
        <w:spacing w:after="0"/>
        <w:rPr>
          <w:sz w:val="20"/>
          <w:szCs w:val="20"/>
          <w:color w:val="auto"/>
        </w:rPr>
      </w:pPr>
      <w:r>
        <w:rPr>
          <w:rFonts w:ascii="Arial" w:cs="Arial" w:eastAsia="Arial" w:hAnsi="Arial"/>
          <w:sz w:val="21"/>
          <w:szCs w:val="21"/>
          <w:color w:val="auto"/>
        </w:rPr>
        <w:t>Chief Executive Officer and Chair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20"/>
          </w:cols>
          <w:pgMar w:left="320" w:top="1428" w:right="35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100"/>
        <w:spacing w:after="0"/>
        <w:rPr>
          <w:sz w:val="20"/>
          <w:szCs w:val="20"/>
          <w:color w:val="auto"/>
        </w:rPr>
      </w:pPr>
      <w:r>
        <w:rPr>
          <w:rFonts w:ascii="Arial" w:cs="Arial" w:eastAsia="Arial" w:hAnsi="Arial"/>
          <w:sz w:val="26"/>
          <w:szCs w:val="26"/>
          <w:b w:val="1"/>
          <w:bCs w:val="1"/>
          <w:color w:val="auto"/>
        </w:rPr>
        <w:t>AMENDED AND RESTATED BYLAWS OF</w:t>
      </w:r>
    </w:p>
    <w:p>
      <w:pPr>
        <w:spacing w:after="0" w:line="241" w:lineRule="exact"/>
        <w:rPr>
          <w:sz w:val="20"/>
          <w:szCs w:val="20"/>
          <w:color w:val="auto"/>
        </w:rPr>
      </w:pPr>
    </w:p>
    <w:p>
      <w:pPr>
        <w:jc w:val="center"/>
        <w:ind w:right="1100"/>
        <w:spacing w:after="0"/>
        <w:rPr>
          <w:sz w:val="20"/>
          <w:szCs w:val="20"/>
          <w:color w:val="auto"/>
        </w:rPr>
      </w:pPr>
      <w:r>
        <w:rPr>
          <w:rFonts w:ascii="Arial" w:cs="Arial" w:eastAsia="Arial" w:hAnsi="Arial"/>
          <w:sz w:val="27"/>
          <w:szCs w:val="27"/>
          <w:b w:val="1"/>
          <w:bCs w:val="1"/>
          <w:color w:val="auto"/>
        </w:rPr>
        <w:t>SEER, INC.</w:t>
      </w: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(initially adopted on November 18, 2020)</w:t>
      </w:r>
    </w:p>
    <w:p>
      <w:pPr>
        <w:spacing w:after="0" w:line="220"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(as amended on December 8, 2020 and effective as of the</w:t>
      </w:r>
    </w:p>
    <w:p>
      <w:pPr>
        <w:spacing w:after="0" w:line="21" w:lineRule="exact"/>
        <w:rPr>
          <w:sz w:val="20"/>
          <w:szCs w:val="20"/>
          <w:color w:val="auto"/>
        </w:rPr>
      </w:pPr>
    </w:p>
    <w:p>
      <w:pPr>
        <w:ind w:left="2340"/>
        <w:spacing w:after="0"/>
        <w:rPr>
          <w:sz w:val="20"/>
          <w:szCs w:val="20"/>
          <w:color w:val="auto"/>
        </w:rPr>
      </w:pPr>
      <w:r>
        <w:rPr>
          <w:rFonts w:ascii="Arial" w:cs="Arial" w:eastAsia="Arial" w:hAnsi="Arial"/>
          <w:sz w:val="22"/>
          <w:szCs w:val="22"/>
          <w:color w:val="auto"/>
        </w:rPr>
        <w:t>closing of the corporation’s initial public offering)</w:t>
      </w:r>
    </w:p>
    <w:p>
      <w:pPr>
        <w:sectPr>
          <w:pgSz w:w="11900" w:h="16838" w:orient="portrait"/>
          <w:cols w:equalWidth="0" w:num="1">
            <w:col w:w="10120"/>
          </w:cols>
          <w:pgMar w:left="1440" w:top="12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56"/>
        </w:trPr>
        <w:tc>
          <w:tcPr>
            <w:tcW w:w="920" w:type="dxa"/>
            <w:vAlign w:val="bottom"/>
          </w:tcPr>
          <w:p>
            <w:pPr>
              <w:spacing w:after="0"/>
              <w:rPr>
                <w:sz w:val="22"/>
                <w:szCs w:val="22"/>
                <w:color w:val="auto"/>
              </w:rPr>
            </w:pPr>
          </w:p>
        </w:tc>
        <w:tc>
          <w:tcPr>
            <w:tcW w:w="8280" w:type="dxa"/>
            <w:vAlign w:val="bottom"/>
          </w:tcPr>
          <w:p>
            <w:pPr>
              <w:ind w:left="3600"/>
              <w:spacing w:after="0"/>
              <w:rPr>
                <w:sz w:val="20"/>
                <w:szCs w:val="20"/>
                <w:color w:val="auto"/>
              </w:rPr>
            </w:pPr>
            <w:r>
              <w:rPr>
                <w:rFonts w:ascii="Arial" w:cs="Arial" w:eastAsia="Arial" w:hAnsi="Arial"/>
                <w:sz w:val="20"/>
                <w:szCs w:val="20"/>
                <w:b w:val="1"/>
                <w:bCs w:val="1"/>
                <w:color w:val="auto"/>
              </w:rPr>
              <w:t>TABLE OF CONTENTS</w:t>
            </w:r>
          </w:p>
        </w:tc>
        <w:tc>
          <w:tcPr>
            <w:tcW w:w="1980" w:type="dxa"/>
            <w:vAlign w:val="bottom"/>
          </w:tcPr>
          <w:p>
            <w:pPr>
              <w:spacing w:after="0"/>
              <w:rPr>
                <w:sz w:val="22"/>
                <w:szCs w:val="22"/>
                <w:color w:val="auto"/>
              </w:rPr>
            </w:pPr>
          </w:p>
        </w:tc>
      </w:tr>
      <w:tr>
        <w:trPr>
          <w:trHeight w:val="482"/>
        </w:trPr>
        <w:tc>
          <w:tcPr>
            <w:tcW w:w="9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Page</w:t>
            </w:r>
          </w:p>
        </w:tc>
      </w:tr>
      <w:tr>
        <w:trPr>
          <w:trHeight w:val="558"/>
        </w:trPr>
        <w:tc>
          <w:tcPr>
            <w:tcW w:w="9200" w:type="dxa"/>
            <w:vAlign w:val="bottom"/>
            <w:gridSpan w:val="2"/>
          </w:tcPr>
          <w:p>
            <w:pPr>
              <w:spacing w:after="0"/>
              <w:rPr>
                <w:sz w:val="20"/>
                <w:szCs w:val="20"/>
                <w:color w:val="auto"/>
              </w:rPr>
            </w:pPr>
            <w:r>
              <w:rPr>
                <w:rFonts w:ascii="Arial" w:cs="Arial" w:eastAsia="Arial" w:hAnsi="Arial"/>
                <w:sz w:val="20"/>
                <w:szCs w:val="20"/>
                <w:color w:val="auto"/>
              </w:rPr>
              <w:t>ARTICLE I - CORPORATE OFFICES</w:t>
            </w:r>
          </w:p>
        </w:tc>
        <w:tc>
          <w:tcPr>
            <w:tcW w:w="19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38"/>
        </w:trPr>
        <w:tc>
          <w:tcPr>
            <w:tcW w:w="920" w:type="dxa"/>
            <w:vAlign w:val="bottom"/>
          </w:tcPr>
          <w:p>
            <w:pPr>
              <w:ind w:left="620"/>
              <w:spacing w:after="0"/>
              <w:rPr>
                <w:sz w:val="20"/>
                <w:szCs w:val="20"/>
                <w:color w:val="auto"/>
              </w:rPr>
            </w:pPr>
            <w:r>
              <w:rPr>
                <w:rFonts w:ascii="Arial" w:cs="Arial" w:eastAsia="Arial" w:hAnsi="Arial"/>
                <w:sz w:val="20"/>
                <w:szCs w:val="20"/>
                <w:color w:val="auto"/>
              </w:rPr>
              <w:t>1.1</w:t>
            </w:r>
          </w:p>
        </w:tc>
        <w:tc>
          <w:tcPr>
            <w:tcW w:w="8280" w:type="dxa"/>
            <w:vAlign w:val="bottom"/>
          </w:tcPr>
          <w:p>
            <w:pPr>
              <w:ind w:left="80"/>
              <w:spacing w:after="0"/>
              <w:rPr>
                <w:sz w:val="20"/>
                <w:szCs w:val="20"/>
                <w:color w:val="auto"/>
              </w:rPr>
            </w:pPr>
            <w:r>
              <w:rPr>
                <w:rFonts w:ascii="Arial" w:cs="Arial" w:eastAsia="Arial" w:hAnsi="Arial"/>
                <w:sz w:val="20"/>
                <w:szCs w:val="20"/>
                <w:color w:val="auto"/>
              </w:rPr>
              <w:t>REGISTERED OFFICE</w:t>
            </w:r>
          </w:p>
        </w:tc>
        <w:tc>
          <w:tcPr>
            <w:tcW w:w="19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3"/>
        </w:trPr>
        <w:tc>
          <w:tcPr>
            <w:tcW w:w="920" w:type="dxa"/>
            <w:vAlign w:val="bottom"/>
          </w:tcPr>
          <w:p>
            <w:pPr>
              <w:ind w:left="620"/>
              <w:spacing w:after="0"/>
              <w:rPr>
                <w:sz w:val="20"/>
                <w:szCs w:val="20"/>
                <w:color w:val="auto"/>
              </w:rPr>
            </w:pPr>
            <w:r>
              <w:rPr>
                <w:rFonts w:ascii="Arial" w:cs="Arial" w:eastAsia="Arial" w:hAnsi="Arial"/>
                <w:sz w:val="20"/>
                <w:szCs w:val="20"/>
                <w:color w:val="auto"/>
              </w:rPr>
              <w:t>1.2</w:t>
            </w:r>
          </w:p>
        </w:tc>
        <w:tc>
          <w:tcPr>
            <w:tcW w:w="8280" w:type="dxa"/>
            <w:vAlign w:val="bottom"/>
          </w:tcPr>
          <w:p>
            <w:pPr>
              <w:ind w:left="80"/>
              <w:spacing w:after="0"/>
              <w:rPr>
                <w:sz w:val="20"/>
                <w:szCs w:val="20"/>
                <w:color w:val="auto"/>
              </w:rPr>
            </w:pPr>
            <w:r>
              <w:rPr>
                <w:rFonts w:ascii="Arial" w:cs="Arial" w:eastAsia="Arial" w:hAnsi="Arial"/>
                <w:sz w:val="20"/>
                <w:szCs w:val="20"/>
                <w:color w:val="auto"/>
              </w:rPr>
              <w:t>OTHER OFFICES</w:t>
            </w:r>
          </w:p>
        </w:tc>
        <w:tc>
          <w:tcPr>
            <w:tcW w:w="19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38"/>
        </w:trPr>
        <w:tc>
          <w:tcPr>
            <w:tcW w:w="9200" w:type="dxa"/>
            <w:vAlign w:val="bottom"/>
            <w:gridSpan w:val="2"/>
          </w:tcPr>
          <w:p>
            <w:pPr>
              <w:spacing w:after="0"/>
              <w:rPr>
                <w:sz w:val="20"/>
                <w:szCs w:val="20"/>
                <w:color w:val="auto"/>
              </w:rPr>
            </w:pPr>
            <w:r>
              <w:rPr>
                <w:rFonts w:ascii="Arial" w:cs="Arial" w:eastAsia="Arial" w:hAnsi="Arial"/>
                <w:sz w:val="20"/>
                <w:szCs w:val="20"/>
                <w:color w:val="auto"/>
              </w:rPr>
              <w:t>ARTICLE II - MEETINGS OF STOCKHOLDERS</w:t>
            </w:r>
          </w:p>
        </w:tc>
        <w:tc>
          <w:tcPr>
            <w:tcW w:w="19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38"/>
        </w:trPr>
        <w:tc>
          <w:tcPr>
            <w:tcW w:w="920" w:type="dxa"/>
            <w:vAlign w:val="bottom"/>
          </w:tcPr>
          <w:p>
            <w:pPr>
              <w:ind w:left="620"/>
              <w:spacing w:after="0"/>
              <w:rPr>
                <w:sz w:val="20"/>
                <w:szCs w:val="20"/>
                <w:color w:val="auto"/>
              </w:rPr>
            </w:pPr>
            <w:r>
              <w:rPr>
                <w:rFonts w:ascii="Arial" w:cs="Arial" w:eastAsia="Arial" w:hAnsi="Arial"/>
                <w:sz w:val="20"/>
                <w:szCs w:val="20"/>
                <w:color w:val="auto"/>
              </w:rPr>
              <w:t>2.1</w:t>
            </w:r>
          </w:p>
        </w:tc>
        <w:tc>
          <w:tcPr>
            <w:tcW w:w="8280" w:type="dxa"/>
            <w:vAlign w:val="bottom"/>
          </w:tcPr>
          <w:p>
            <w:pPr>
              <w:ind w:left="80"/>
              <w:spacing w:after="0"/>
              <w:rPr>
                <w:sz w:val="20"/>
                <w:szCs w:val="20"/>
                <w:color w:val="auto"/>
              </w:rPr>
            </w:pPr>
            <w:r>
              <w:rPr>
                <w:rFonts w:ascii="Arial" w:cs="Arial" w:eastAsia="Arial" w:hAnsi="Arial"/>
                <w:sz w:val="20"/>
                <w:szCs w:val="20"/>
                <w:color w:val="auto"/>
              </w:rPr>
              <w:t>PLACE OF MEETINGS</w:t>
            </w:r>
          </w:p>
        </w:tc>
        <w:tc>
          <w:tcPr>
            <w:tcW w:w="19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3"/>
        </w:trPr>
        <w:tc>
          <w:tcPr>
            <w:tcW w:w="920" w:type="dxa"/>
            <w:vAlign w:val="bottom"/>
          </w:tcPr>
          <w:p>
            <w:pPr>
              <w:ind w:left="620"/>
              <w:spacing w:after="0"/>
              <w:rPr>
                <w:sz w:val="20"/>
                <w:szCs w:val="20"/>
                <w:color w:val="auto"/>
              </w:rPr>
            </w:pPr>
            <w:r>
              <w:rPr>
                <w:rFonts w:ascii="Arial" w:cs="Arial" w:eastAsia="Arial" w:hAnsi="Arial"/>
                <w:sz w:val="20"/>
                <w:szCs w:val="20"/>
                <w:color w:val="auto"/>
              </w:rPr>
              <w:t>2.2</w:t>
            </w:r>
          </w:p>
        </w:tc>
        <w:tc>
          <w:tcPr>
            <w:tcW w:w="8280" w:type="dxa"/>
            <w:vAlign w:val="bottom"/>
          </w:tcPr>
          <w:p>
            <w:pPr>
              <w:ind w:left="80"/>
              <w:spacing w:after="0"/>
              <w:rPr>
                <w:sz w:val="20"/>
                <w:szCs w:val="20"/>
                <w:color w:val="auto"/>
              </w:rPr>
            </w:pPr>
            <w:r>
              <w:rPr>
                <w:rFonts w:ascii="Arial" w:cs="Arial" w:eastAsia="Arial" w:hAnsi="Arial"/>
                <w:sz w:val="20"/>
                <w:szCs w:val="20"/>
                <w:color w:val="auto"/>
              </w:rPr>
              <w:t>ANNUAL MEETING</w:t>
            </w:r>
          </w:p>
        </w:tc>
        <w:tc>
          <w:tcPr>
            <w:tcW w:w="19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3"/>
        </w:trPr>
        <w:tc>
          <w:tcPr>
            <w:tcW w:w="920" w:type="dxa"/>
            <w:vAlign w:val="bottom"/>
          </w:tcPr>
          <w:p>
            <w:pPr>
              <w:ind w:left="620"/>
              <w:spacing w:after="0"/>
              <w:rPr>
                <w:sz w:val="20"/>
                <w:szCs w:val="20"/>
                <w:color w:val="auto"/>
              </w:rPr>
            </w:pPr>
            <w:r>
              <w:rPr>
                <w:rFonts w:ascii="Arial" w:cs="Arial" w:eastAsia="Arial" w:hAnsi="Arial"/>
                <w:sz w:val="20"/>
                <w:szCs w:val="20"/>
                <w:color w:val="auto"/>
              </w:rPr>
              <w:t>2.3</w:t>
            </w:r>
          </w:p>
        </w:tc>
        <w:tc>
          <w:tcPr>
            <w:tcW w:w="8280" w:type="dxa"/>
            <w:vAlign w:val="bottom"/>
          </w:tcPr>
          <w:p>
            <w:pPr>
              <w:ind w:left="80"/>
              <w:spacing w:after="0"/>
              <w:rPr>
                <w:sz w:val="20"/>
                <w:szCs w:val="20"/>
                <w:color w:val="auto"/>
              </w:rPr>
            </w:pPr>
            <w:r>
              <w:rPr>
                <w:rFonts w:ascii="Arial" w:cs="Arial" w:eastAsia="Arial" w:hAnsi="Arial"/>
                <w:sz w:val="20"/>
                <w:szCs w:val="20"/>
                <w:color w:val="auto"/>
              </w:rPr>
              <w:t>SPECIAL MEETING</w:t>
            </w:r>
          </w:p>
        </w:tc>
        <w:tc>
          <w:tcPr>
            <w:tcW w:w="19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3"/>
        </w:trPr>
        <w:tc>
          <w:tcPr>
            <w:tcW w:w="920" w:type="dxa"/>
            <w:vAlign w:val="bottom"/>
          </w:tcPr>
          <w:p>
            <w:pPr>
              <w:ind w:left="620"/>
              <w:spacing w:after="0"/>
              <w:rPr>
                <w:sz w:val="20"/>
                <w:szCs w:val="20"/>
                <w:color w:val="auto"/>
              </w:rPr>
            </w:pPr>
            <w:r>
              <w:rPr>
                <w:rFonts w:ascii="Arial" w:cs="Arial" w:eastAsia="Arial" w:hAnsi="Arial"/>
                <w:sz w:val="20"/>
                <w:szCs w:val="20"/>
                <w:color w:val="auto"/>
              </w:rPr>
              <w:t>2.4</w:t>
            </w:r>
          </w:p>
        </w:tc>
        <w:tc>
          <w:tcPr>
            <w:tcW w:w="8280" w:type="dxa"/>
            <w:vAlign w:val="bottom"/>
          </w:tcPr>
          <w:p>
            <w:pPr>
              <w:ind w:left="80"/>
              <w:spacing w:after="0"/>
              <w:rPr>
                <w:sz w:val="20"/>
                <w:szCs w:val="20"/>
                <w:color w:val="auto"/>
              </w:rPr>
            </w:pPr>
            <w:r>
              <w:rPr>
                <w:rFonts w:ascii="Arial" w:cs="Arial" w:eastAsia="Arial" w:hAnsi="Arial"/>
                <w:sz w:val="20"/>
                <w:szCs w:val="20"/>
                <w:color w:val="auto"/>
              </w:rPr>
              <w:t>ADVANCE NOTICE PROCEDURES</w:t>
            </w:r>
          </w:p>
        </w:tc>
        <w:tc>
          <w:tcPr>
            <w:tcW w:w="198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3"/>
        </w:trPr>
        <w:tc>
          <w:tcPr>
            <w:tcW w:w="920" w:type="dxa"/>
            <w:vAlign w:val="bottom"/>
          </w:tcPr>
          <w:p>
            <w:pPr>
              <w:ind w:left="620"/>
              <w:spacing w:after="0"/>
              <w:rPr>
                <w:sz w:val="20"/>
                <w:szCs w:val="20"/>
                <w:color w:val="auto"/>
              </w:rPr>
            </w:pPr>
            <w:r>
              <w:rPr>
                <w:rFonts w:ascii="Arial" w:cs="Arial" w:eastAsia="Arial" w:hAnsi="Arial"/>
                <w:sz w:val="20"/>
                <w:szCs w:val="20"/>
                <w:color w:val="auto"/>
              </w:rPr>
              <w:t>2.5</w:t>
            </w:r>
          </w:p>
        </w:tc>
        <w:tc>
          <w:tcPr>
            <w:tcW w:w="8280" w:type="dxa"/>
            <w:vAlign w:val="bottom"/>
          </w:tcPr>
          <w:p>
            <w:pPr>
              <w:ind w:left="80"/>
              <w:spacing w:after="0"/>
              <w:rPr>
                <w:sz w:val="20"/>
                <w:szCs w:val="20"/>
                <w:color w:val="auto"/>
              </w:rPr>
            </w:pPr>
            <w:r>
              <w:rPr>
                <w:rFonts w:ascii="Arial" w:cs="Arial" w:eastAsia="Arial" w:hAnsi="Arial"/>
                <w:sz w:val="20"/>
                <w:szCs w:val="20"/>
                <w:color w:val="auto"/>
              </w:rPr>
              <w:t>NOTICE OF STOCKHOLDERS’ MEETINGS</w:t>
            </w:r>
          </w:p>
        </w:tc>
        <w:tc>
          <w:tcPr>
            <w:tcW w:w="198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920" w:type="dxa"/>
            <w:vAlign w:val="bottom"/>
          </w:tcPr>
          <w:p>
            <w:pPr>
              <w:ind w:left="620"/>
              <w:spacing w:after="0"/>
              <w:rPr>
                <w:sz w:val="20"/>
                <w:szCs w:val="20"/>
                <w:color w:val="auto"/>
              </w:rPr>
            </w:pPr>
            <w:r>
              <w:rPr>
                <w:rFonts w:ascii="Arial" w:cs="Arial" w:eastAsia="Arial" w:hAnsi="Arial"/>
                <w:sz w:val="20"/>
                <w:szCs w:val="20"/>
                <w:color w:val="auto"/>
              </w:rPr>
              <w:t>2.6</w:t>
            </w:r>
          </w:p>
        </w:tc>
        <w:tc>
          <w:tcPr>
            <w:tcW w:w="8280" w:type="dxa"/>
            <w:vAlign w:val="bottom"/>
          </w:tcPr>
          <w:p>
            <w:pPr>
              <w:ind w:left="80"/>
              <w:spacing w:after="0"/>
              <w:rPr>
                <w:sz w:val="20"/>
                <w:szCs w:val="20"/>
                <w:color w:val="auto"/>
              </w:rPr>
            </w:pPr>
            <w:r>
              <w:rPr>
                <w:rFonts w:ascii="Arial" w:cs="Arial" w:eastAsia="Arial" w:hAnsi="Arial"/>
                <w:sz w:val="20"/>
                <w:szCs w:val="20"/>
                <w:color w:val="auto"/>
              </w:rPr>
              <w:t>QUORUM</w:t>
            </w:r>
          </w:p>
        </w:tc>
        <w:tc>
          <w:tcPr>
            <w:tcW w:w="198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3"/>
        </w:trPr>
        <w:tc>
          <w:tcPr>
            <w:tcW w:w="920" w:type="dxa"/>
            <w:vAlign w:val="bottom"/>
          </w:tcPr>
          <w:p>
            <w:pPr>
              <w:ind w:left="620"/>
              <w:spacing w:after="0"/>
              <w:rPr>
                <w:sz w:val="20"/>
                <w:szCs w:val="20"/>
                <w:color w:val="auto"/>
              </w:rPr>
            </w:pPr>
            <w:r>
              <w:rPr>
                <w:rFonts w:ascii="Arial" w:cs="Arial" w:eastAsia="Arial" w:hAnsi="Arial"/>
                <w:sz w:val="20"/>
                <w:szCs w:val="20"/>
                <w:color w:val="auto"/>
              </w:rPr>
              <w:t>2.7</w:t>
            </w:r>
          </w:p>
        </w:tc>
        <w:tc>
          <w:tcPr>
            <w:tcW w:w="8280" w:type="dxa"/>
            <w:vAlign w:val="bottom"/>
          </w:tcPr>
          <w:p>
            <w:pPr>
              <w:ind w:left="80"/>
              <w:spacing w:after="0"/>
              <w:rPr>
                <w:sz w:val="20"/>
                <w:szCs w:val="20"/>
                <w:color w:val="auto"/>
              </w:rPr>
            </w:pPr>
            <w:r>
              <w:rPr>
                <w:rFonts w:ascii="Arial" w:cs="Arial" w:eastAsia="Arial" w:hAnsi="Arial"/>
                <w:sz w:val="20"/>
                <w:szCs w:val="20"/>
                <w:color w:val="auto"/>
              </w:rPr>
              <w:t>ADJOURNED MEETING; NOTICE</w:t>
            </w:r>
          </w:p>
        </w:tc>
        <w:tc>
          <w:tcPr>
            <w:tcW w:w="198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3"/>
        </w:trPr>
        <w:tc>
          <w:tcPr>
            <w:tcW w:w="920" w:type="dxa"/>
            <w:vAlign w:val="bottom"/>
          </w:tcPr>
          <w:p>
            <w:pPr>
              <w:ind w:left="620"/>
              <w:spacing w:after="0"/>
              <w:rPr>
                <w:sz w:val="20"/>
                <w:szCs w:val="20"/>
                <w:color w:val="auto"/>
              </w:rPr>
            </w:pPr>
            <w:r>
              <w:rPr>
                <w:rFonts w:ascii="Arial" w:cs="Arial" w:eastAsia="Arial" w:hAnsi="Arial"/>
                <w:sz w:val="20"/>
                <w:szCs w:val="20"/>
                <w:color w:val="auto"/>
              </w:rPr>
              <w:t>2.8</w:t>
            </w:r>
          </w:p>
        </w:tc>
        <w:tc>
          <w:tcPr>
            <w:tcW w:w="8280" w:type="dxa"/>
            <w:vAlign w:val="bottom"/>
          </w:tcPr>
          <w:p>
            <w:pPr>
              <w:ind w:left="80"/>
              <w:spacing w:after="0"/>
              <w:rPr>
                <w:sz w:val="20"/>
                <w:szCs w:val="20"/>
                <w:color w:val="auto"/>
              </w:rPr>
            </w:pPr>
            <w:r>
              <w:rPr>
                <w:rFonts w:ascii="Arial" w:cs="Arial" w:eastAsia="Arial" w:hAnsi="Arial"/>
                <w:sz w:val="20"/>
                <w:szCs w:val="20"/>
                <w:color w:val="auto"/>
              </w:rPr>
              <w:t>CONDUCT OF BUSINESS</w:t>
            </w:r>
          </w:p>
        </w:tc>
        <w:tc>
          <w:tcPr>
            <w:tcW w:w="198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3"/>
        </w:trPr>
        <w:tc>
          <w:tcPr>
            <w:tcW w:w="920" w:type="dxa"/>
            <w:vAlign w:val="bottom"/>
          </w:tcPr>
          <w:p>
            <w:pPr>
              <w:ind w:left="620"/>
              <w:spacing w:after="0"/>
              <w:rPr>
                <w:sz w:val="20"/>
                <w:szCs w:val="20"/>
                <w:color w:val="auto"/>
              </w:rPr>
            </w:pPr>
            <w:r>
              <w:rPr>
                <w:rFonts w:ascii="Arial" w:cs="Arial" w:eastAsia="Arial" w:hAnsi="Arial"/>
                <w:sz w:val="20"/>
                <w:szCs w:val="20"/>
                <w:color w:val="auto"/>
              </w:rPr>
              <w:t>2.9</w:t>
            </w:r>
          </w:p>
        </w:tc>
        <w:tc>
          <w:tcPr>
            <w:tcW w:w="8280" w:type="dxa"/>
            <w:vAlign w:val="bottom"/>
          </w:tcPr>
          <w:p>
            <w:pPr>
              <w:ind w:left="80"/>
              <w:spacing w:after="0"/>
              <w:rPr>
                <w:sz w:val="20"/>
                <w:szCs w:val="20"/>
                <w:color w:val="auto"/>
              </w:rPr>
            </w:pPr>
            <w:r>
              <w:rPr>
                <w:rFonts w:ascii="Arial" w:cs="Arial" w:eastAsia="Arial" w:hAnsi="Arial"/>
                <w:sz w:val="20"/>
                <w:szCs w:val="20"/>
                <w:color w:val="auto"/>
              </w:rPr>
              <w:t>VOTING</w:t>
            </w:r>
          </w:p>
        </w:tc>
        <w:tc>
          <w:tcPr>
            <w:tcW w:w="198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3"/>
        </w:trPr>
        <w:tc>
          <w:tcPr>
            <w:tcW w:w="9200" w:type="dxa"/>
            <w:vAlign w:val="bottom"/>
            <w:gridSpan w:val="2"/>
          </w:tcPr>
          <w:p>
            <w:pPr>
              <w:ind w:left="620"/>
              <w:spacing w:after="0"/>
              <w:rPr>
                <w:sz w:val="20"/>
                <w:szCs w:val="20"/>
                <w:color w:val="auto"/>
              </w:rPr>
            </w:pPr>
            <w:r>
              <w:rPr>
                <w:rFonts w:ascii="Arial" w:cs="Arial" w:eastAsia="Arial" w:hAnsi="Arial"/>
                <w:sz w:val="20"/>
                <w:szCs w:val="20"/>
                <w:color w:val="auto"/>
              </w:rPr>
              <w:t>2.10 STOCKHOLDER ACTION BY WRITTEN CONSENT WITHOUT A MEETING</w:t>
            </w:r>
          </w:p>
        </w:tc>
        <w:tc>
          <w:tcPr>
            <w:tcW w:w="198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3"/>
        </w:trPr>
        <w:tc>
          <w:tcPr>
            <w:tcW w:w="9200" w:type="dxa"/>
            <w:vAlign w:val="bottom"/>
            <w:gridSpan w:val="2"/>
          </w:tcPr>
          <w:p>
            <w:pPr>
              <w:ind w:left="620"/>
              <w:spacing w:after="0"/>
              <w:rPr>
                <w:sz w:val="20"/>
                <w:szCs w:val="20"/>
                <w:color w:val="auto"/>
              </w:rPr>
            </w:pPr>
            <w:r>
              <w:rPr>
                <w:rFonts w:ascii="Arial" w:cs="Arial" w:eastAsia="Arial" w:hAnsi="Arial"/>
                <w:sz w:val="20"/>
                <w:szCs w:val="20"/>
                <w:color w:val="auto"/>
              </w:rPr>
              <w:t>2.11 RECORD DATES</w:t>
            </w:r>
          </w:p>
        </w:tc>
        <w:tc>
          <w:tcPr>
            <w:tcW w:w="198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3"/>
        </w:trPr>
        <w:tc>
          <w:tcPr>
            <w:tcW w:w="9200" w:type="dxa"/>
            <w:vAlign w:val="bottom"/>
            <w:gridSpan w:val="2"/>
          </w:tcPr>
          <w:p>
            <w:pPr>
              <w:ind w:left="620"/>
              <w:spacing w:after="0"/>
              <w:rPr>
                <w:sz w:val="20"/>
                <w:szCs w:val="20"/>
                <w:color w:val="auto"/>
              </w:rPr>
            </w:pPr>
            <w:r>
              <w:rPr>
                <w:rFonts w:ascii="Arial" w:cs="Arial" w:eastAsia="Arial" w:hAnsi="Arial"/>
                <w:sz w:val="20"/>
                <w:szCs w:val="20"/>
                <w:color w:val="auto"/>
              </w:rPr>
              <w:t>2.12 PROXIES</w:t>
            </w:r>
          </w:p>
        </w:tc>
        <w:tc>
          <w:tcPr>
            <w:tcW w:w="198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3"/>
        </w:trPr>
        <w:tc>
          <w:tcPr>
            <w:tcW w:w="9200" w:type="dxa"/>
            <w:vAlign w:val="bottom"/>
            <w:gridSpan w:val="2"/>
          </w:tcPr>
          <w:p>
            <w:pPr>
              <w:ind w:left="620"/>
              <w:spacing w:after="0"/>
              <w:rPr>
                <w:sz w:val="20"/>
                <w:szCs w:val="20"/>
                <w:color w:val="auto"/>
              </w:rPr>
            </w:pPr>
            <w:r>
              <w:rPr>
                <w:rFonts w:ascii="Arial" w:cs="Arial" w:eastAsia="Arial" w:hAnsi="Arial"/>
                <w:sz w:val="20"/>
                <w:szCs w:val="20"/>
                <w:color w:val="auto"/>
              </w:rPr>
              <w:t>2.13 LIST OF STOCKHOLDERS ENTITLED TO VOTE</w:t>
            </w:r>
          </w:p>
        </w:tc>
        <w:tc>
          <w:tcPr>
            <w:tcW w:w="198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9200" w:type="dxa"/>
            <w:vAlign w:val="bottom"/>
            <w:gridSpan w:val="2"/>
          </w:tcPr>
          <w:p>
            <w:pPr>
              <w:ind w:left="620"/>
              <w:spacing w:after="0"/>
              <w:rPr>
                <w:sz w:val="20"/>
                <w:szCs w:val="20"/>
                <w:color w:val="auto"/>
              </w:rPr>
            </w:pPr>
            <w:r>
              <w:rPr>
                <w:rFonts w:ascii="Arial" w:cs="Arial" w:eastAsia="Arial" w:hAnsi="Arial"/>
                <w:sz w:val="20"/>
                <w:szCs w:val="20"/>
                <w:color w:val="auto"/>
              </w:rPr>
              <w:t>2.14 INSPECTORS OF ELECTION</w:t>
            </w:r>
          </w:p>
        </w:tc>
        <w:tc>
          <w:tcPr>
            <w:tcW w:w="198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338"/>
        </w:trPr>
        <w:tc>
          <w:tcPr>
            <w:tcW w:w="9200" w:type="dxa"/>
            <w:vAlign w:val="bottom"/>
            <w:gridSpan w:val="2"/>
          </w:tcPr>
          <w:p>
            <w:pPr>
              <w:spacing w:after="0"/>
              <w:rPr>
                <w:sz w:val="20"/>
                <w:szCs w:val="20"/>
                <w:color w:val="auto"/>
              </w:rPr>
            </w:pPr>
            <w:r>
              <w:rPr>
                <w:rFonts w:ascii="Arial" w:cs="Arial" w:eastAsia="Arial" w:hAnsi="Arial"/>
                <w:sz w:val="20"/>
                <w:szCs w:val="20"/>
                <w:color w:val="auto"/>
              </w:rPr>
              <w:t>ARTICLE III - DIRECTORS</w:t>
            </w:r>
          </w:p>
        </w:tc>
        <w:tc>
          <w:tcPr>
            <w:tcW w:w="198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338"/>
        </w:trPr>
        <w:tc>
          <w:tcPr>
            <w:tcW w:w="920" w:type="dxa"/>
            <w:vAlign w:val="bottom"/>
          </w:tcPr>
          <w:p>
            <w:pPr>
              <w:ind w:left="620"/>
              <w:spacing w:after="0"/>
              <w:rPr>
                <w:sz w:val="20"/>
                <w:szCs w:val="20"/>
                <w:color w:val="auto"/>
              </w:rPr>
            </w:pPr>
            <w:r>
              <w:rPr>
                <w:rFonts w:ascii="Arial" w:cs="Arial" w:eastAsia="Arial" w:hAnsi="Arial"/>
                <w:sz w:val="20"/>
                <w:szCs w:val="20"/>
                <w:color w:val="auto"/>
              </w:rPr>
              <w:t>3.1</w:t>
            </w:r>
          </w:p>
        </w:tc>
        <w:tc>
          <w:tcPr>
            <w:tcW w:w="8280" w:type="dxa"/>
            <w:vAlign w:val="bottom"/>
          </w:tcPr>
          <w:p>
            <w:pPr>
              <w:ind w:left="80"/>
              <w:spacing w:after="0"/>
              <w:rPr>
                <w:sz w:val="20"/>
                <w:szCs w:val="20"/>
                <w:color w:val="auto"/>
              </w:rPr>
            </w:pPr>
            <w:r>
              <w:rPr>
                <w:rFonts w:ascii="Arial" w:cs="Arial" w:eastAsia="Arial" w:hAnsi="Arial"/>
                <w:sz w:val="20"/>
                <w:szCs w:val="20"/>
                <w:color w:val="auto"/>
              </w:rPr>
              <w:t>POWERS</w:t>
            </w:r>
          </w:p>
        </w:tc>
        <w:tc>
          <w:tcPr>
            <w:tcW w:w="198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3"/>
        </w:trPr>
        <w:tc>
          <w:tcPr>
            <w:tcW w:w="920" w:type="dxa"/>
            <w:vAlign w:val="bottom"/>
          </w:tcPr>
          <w:p>
            <w:pPr>
              <w:ind w:left="620"/>
              <w:spacing w:after="0"/>
              <w:rPr>
                <w:sz w:val="20"/>
                <w:szCs w:val="20"/>
                <w:color w:val="auto"/>
              </w:rPr>
            </w:pPr>
            <w:r>
              <w:rPr>
                <w:rFonts w:ascii="Arial" w:cs="Arial" w:eastAsia="Arial" w:hAnsi="Arial"/>
                <w:sz w:val="20"/>
                <w:szCs w:val="20"/>
                <w:color w:val="auto"/>
              </w:rPr>
              <w:t>3.2</w:t>
            </w:r>
          </w:p>
        </w:tc>
        <w:tc>
          <w:tcPr>
            <w:tcW w:w="8280" w:type="dxa"/>
            <w:vAlign w:val="bottom"/>
          </w:tcPr>
          <w:p>
            <w:pPr>
              <w:ind w:left="80"/>
              <w:spacing w:after="0"/>
              <w:rPr>
                <w:sz w:val="20"/>
                <w:szCs w:val="20"/>
                <w:color w:val="auto"/>
              </w:rPr>
            </w:pPr>
            <w:r>
              <w:rPr>
                <w:rFonts w:ascii="Arial" w:cs="Arial" w:eastAsia="Arial" w:hAnsi="Arial"/>
                <w:sz w:val="20"/>
                <w:szCs w:val="20"/>
                <w:color w:val="auto"/>
              </w:rPr>
              <w:t>NUMBER OF DIRECTORS</w:t>
            </w:r>
          </w:p>
        </w:tc>
        <w:tc>
          <w:tcPr>
            <w:tcW w:w="198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3"/>
        </w:trPr>
        <w:tc>
          <w:tcPr>
            <w:tcW w:w="920" w:type="dxa"/>
            <w:vAlign w:val="bottom"/>
          </w:tcPr>
          <w:p>
            <w:pPr>
              <w:ind w:left="620"/>
              <w:spacing w:after="0"/>
              <w:rPr>
                <w:sz w:val="20"/>
                <w:szCs w:val="20"/>
                <w:color w:val="auto"/>
              </w:rPr>
            </w:pPr>
            <w:r>
              <w:rPr>
                <w:rFonts w:ascii="Arial" w:cs="Arial" w:eastAsia="Arial" w:hAnsi="Arial"/>
                <w:sz w:val="20"/>
                <w:szCs w:val="20"/>
                <w:color w:val="auto"/>
              </w:rPr>
              <w:t>3.3</w:t>
            </w:r>
          </w:p>
        </w:tc>
        <w:tc>
          <w:tcPr>
            <w:tcW w:w="8280" w:type="dxa"/>
            <w:vAlign w:val="bottom"/>
          </w:tcPr>
          <w:p>
            <w:pPr>
              <w:ind w:left="80"/>
              <w:spacing w:after="0"/>
              <w:rPr>
                <w:sz w:val="20"/>
                <w:szCs w:val="20"/>
                <w:color w:val="auto"/>
              </w:rPr>
            </w:pPr>
            <w:r>
              <w:rPr>
                <w:rFonts w:ascii="Arial" w:cs="Arial" w:eastAsia="Arial" w:hAnsi="Arial"/>
                <w:sz w:val="20"/>
                <w:szCs w:val="20"/>
                <w:color w:val="auto"/>
              </w:rPr>
              <w:t>ELECTION, QUALIFICATION AND TERM OF OFFICE OF DIRECTORS</w:t>
            </w:r>
          </w:p>
        </w:tc>
        <w:tc>
          <w:tcPr>
            <w:tcW w:w="198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4"/>
        </w:trPr>
        <w:tc>
          <w:tcPr>
            <w:tcW w:w="920" w:type="dxa"/>
            <w:vAlign w:val="bottom"/>
          </w:tcPr>
          <w:p>
            <w:pPr>
              <w:ind w:left="620"/>
              <w:spacing w:after="0"/>
              <w:rPr>
                <w:sz w:val="20"/>
                <w:szCs w:val="20"/>
                <w:color w:val="auto"/>
              </w:rPr>
            </w:pPr>
            <w:r>
              <w:rPr>
                <w:rFonts w:ascii="Arial" w:cs="Arial" w:eastAsia="Arial" w:hAnsi="Arial"/>
                <w:sz w:val="20"/>
                <w:szCs w:val="20"/>
                <w:color w:val="auto"/>
              </w:rPr>
              <w:t>3.4</w:t>
            </w:r>
          </w:p>
        </w:tc>
        <w:tc>
          <w:tcPr>
            <w:tcW w:w="8280" w:type="dxa"/>
            <w:vAlign w:val="bottom"/>
          </w:tcPr>
          <w:p>
            <w:pPr>
              <w:ind w:left="80"/>
              <w:spacing w:after="0"/>
              <w:rPr>
                <w:sz w:val="20"/>
                <w:szCs w:val="20"/>
                <w:color w:val="auto"/>
              </w:rPr>
            </w:pPr>
            <w:r>
              <w:rPr>
                <w:rFonts w:ascii="Arial" w:cs="Arial" w:eastAsia="Arial" w:hAnsi="Arial"/>
                <w:sz w:val="20"/>
                <w:szCs w:val="20"/>
                <w:color w:val="auto"/>
              </w:rPr>
              <w:t>RESIGNATION AND VACANCIES</w:t>
            </w:r>
          </w:p>
        </w:tc>
        <w:tc>
          <w:tcPr>
            <w:tcW w:w="198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3"/>
        </w:trPr>
        <w:tc>
          <w:tcPr>
            <w:tcW w:w="920" w:type="dxa"/>
            <w:vAlign w:val="bottom"/>
          </w:tcPr>
          <w:p>
            <w:pPr>
              <w:ind w:left="620"/>
              <w:spacing w:after="0"/>
              <w:rPr>
                <w:sz w:val="20"/>
                <w:szCs w:val="20"/>
                <w:color w:val="auto"/>
              </w:rPr>
            </w:pPr>
            <w:r>
              <w:rPr>
                <w:rFonts w:ascii="Arial" w:cs="Arial" w:eastAsia="Arial" w:hAnsi="Arial"/>
                <w:sz w:val="20"/>
                <w:szCs w:val="20"/>
                <w:color w:val="auto"/>
              </w:rPr>
              <w:t>3.5</w:t>
            </w:r>
          </w:p>
        </w:tc>
        <w:tc>
          <w:tcPr>
            <w:tcW w:w="8280" w:type="dxa"/>
            <w:vAlign w:val="bottom"/>
          </w:tcPr>
          <w:p>
            <w:pPr>
              <w:ind w:left="80"/>
              <w:spacing w:after="0"/>
              <w:rPr>
                <w:sz w:val="20"/>
                <w:szCs w:val="20"/>
                <w:color w:val="auto"/>
              </w:rPr>
            </w:pPr>
            <w:r>
              <w:rPr>
                <w:rFonts w:ascii="Arial" w:cs="Arial" w:eastAsia="Arial" w:hAnsi="Arial"/>
                <w:sz w:val="20"/>
                <w:szCs w:val="20"/>
                <w:color w:val="auto"/>
              </w:rPr>
              <w:t>PLACE OF MEETINGS; MEETINGS BY TELEPHONE</w:t>
            </w:r>
          </w:p>
        </w:tc>
        <w:tc>
          <w:tcPr>
            <w:tcW w:w="198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3"/>
        </w:trPr>
        <w:tc>
          <w:tcPr>
            <w:tcW w:w="920" w:type="dxa"/>
            <w:vAlign w:val="bottom"/>
          </w:tcPr>
          <w:p>
            <w:pPr>
              <w:ind w:left="620"/>
              <w:spacing w:after="0"/>
              <w:rPr>
                <w:sz w:val="20"/>
                <w:szCs w:val="20"/>
                <w:color w:val="auto"/>
              </w:rPr>
            </w:pPr>
            <w:r>
              <w:rPr>
                <w:rFonts w:ascii="Arial" w:cs="Arial" w:eastAsia="Arial" w:hAnsi="Arial"/>
                <w:sz w:val="20"/>
                <w:szCs w:val="20"/>
                <w:color w:val="auto"/>
              </w:rPr>
              <w:t>3.6</w:t>
            </w:r>
          </w:p>
        </w:tc>
        <w:tc>
          <w:tcPr>
            <w:tcW w:w="8280" w:type="dxa"/>
            <w:vAlign w:val="bottom"/>
          </w:tcPr>
          <w:p>
            <w:pPr>
              <w:ind w:left="80"/>
              <w:spacing w:after="0"/>
              <w:rPr>
                <w:sz w:val="20"/>
                <w:szCs w:val="20"/>
                <w:color w:val="auto"/>
              </w:rPr>
            </w:pPr>
            <w:r>
              <w:rPr>
                <w:rFonts w:ascii="Arial" w:cs="Arial" w:eastAsia="Arial" w:hAnsi="Arial"/>
                <w:sz w:val="20"/>
                <w:szCs w:val="20"/>
                <w:color w:val="auto"/>
              </w:rPr>
              <w:t>REGULAR MEETINGS</w:t>
            </w:r>
          </w:p>
        </w:tc>
        <w:tc>
          <w:tcPr>
            <w:tcW w:w="198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920" w:type="dxa"/>
            <w:vAlign w:val="bottom"/>
          </w:tcPr>
          <w:p>
            <w:pPr>
              <w:ind w:left="620"/>
              <w:spacing w:after="0"/>
              <w:rPr>
                <w:sz w:val="20"/>
                <w:szCs w:val="20"/>
                <w:color w:val="auto"/>
              </w:rPr>
            </w:pPr>
            <w:r>
              <w:rPr>
                <w:rFonts w:ascii="Arial" w:cs="Arial" w:eastAsia="Arial" w:hAnsi="Arial"/>
                <w:sz w:val="20"/>
                <w:szCs w:val="20"/>
                <w:color w:val="auto"/>
              </w:rPr>
              <w:t>3.7</w:t>
            </w:r>
          </w:p>
        </w:tc>
        <w:tc>
          <w:tcPr>
            <w:tcW w:w="8280" w:type="dxa"/>
            <w:vAlign w:val="bottom"/>
          </w:tcPr>
          <w:p>
            <w:pPr>
              <w:ind w:left="80"/>
              <w:spacing w:after="0"/>
              <w:rPr>
                <w:sz w:val="20"/>
                <w:szCs w:val="20"/>
                <w:color w:val="auto"/>
              </w:rPr>
            </w:pPr>
            <w:r>
              <w:rPr>
                <w:rFonts w:ascii="Arial" w:cs="Arial" w:eastAsia="Arial" w:hAnsi="Arial"/>
                <w:sz w:val="20"/>
                <w:szCs w:val="20"/>
                <w:color w:val="auto"/>
              </w:rPr>
              <w:t>SPECIAL MEETINGS; NOTICE</w:t>
            </w:r>
          </w:p>
        </w:tc>
        <w:tc>
          <w:tcPr>
            <w:tcW w:w="198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3"/>
        </w:trPr>
        <w:tc>
          <w:tcPr>
            <w:tcW w:w="920" w:type="dxa"/>
            <w:vAlign w:val="bottom"/>
          </w:tcPr>
          <w:p>
            <w:pPr>
              <w:ind w:left="620"/>
              <w:spacing w:after="0"/>
              <w:rPr>
                <w:sz w:val="20"/>
                <w:szCs w:val="20"/>
                <w:color w:val="auto"/>
              </w:rPr>
            </w:pPr>
            <w:r>
              <w:rPr>
                <w:rFonts w:ascii="Arial" w:cs="Arial" w:eastAsia="Arial" w:hAnsi="Arial"/>
                <w:sz w:val="20"/>
                <w:szCs w:val="20"/>
                <w:color w:val="auto"/>
              </w:rPr>
              <w:t>3.8</w:t>
            </w:r>
          </w:p>
        </w:tc>
        <w:tc>
          <w:tcPr>
            <w:tcW w:w="8280" w:type="dxa"/>
            <w:vAlign w:val="bottom"/>
          </w:tcPr>
          <w:p>
            <w:pPr>
              <w:ind w:left="80"/>
              <w:spacing w:after="0"/>
              <w:rPr>
                <w:sz w:val="20"/>
                <w:szCs w:val="20"/>
                <w:color w:val="auto"/>
              </w:rPr>
            </w:pPr>
            <w:r>
              <w:rPr>
                <w:rFonts w:ascii="Arial" w:cs="Arial" w:eastAsia="Arial" w:hAnsi="Arial"/>
                <w:sz w:val="20"/>
                <w:szCs w:val="20"/>
                <w:color w:val="auto"/>
              </w:rPr>
              <w:t>QUORUM; VOTING</w:t>
            </w:r>
          </w:p>
        </w:tc>
        <w:tc>
          <w:tcPr>
            <w:tcW w:w="198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3"/>
        </w:trPr>
        <w:tc>
          <w:tcPr>
            <w:tcW w:w="920" w:type="dxa"/>
            <w:vAlign w:val="bottom"/>
          </w:tcPr>
          <w:p>
            <w:pPr>
              <w:ind w:left="620"/>
              <w:spacing w:after="0"/>
              <w:rPr>
                <w:sz w:val="20"/>
                <w:szCs w:val="20"/>
                <w:color w:val="auto"/>
              </w:rPr>
            </w:pPr>
            <w:r>
              <w:rPr>
                <w:rFonts w:ascii="Arial" w:cs="Arial" w:eastAsia="Arial" w:hAnsi="Arial"/>
                <w:sz w:val="20"/>
                <w:szCs w:val="20"/>
                <w:color w:val="auto"/>
              </w:rPr>
              <w:t>3.9</w:t>
            </w:r>
          </w:p>
        </w:tc>
        <w:tc>
          <w:tcPr>
            <w:tcW w:w="8280" w:type="dxa"/>
            <w:vAlign w:val="bottom"/>
          </w:tcPr>
          <w:p>
            <w:pPr>
              <w:ind w:left="80"/>
              <w:spacing w:after="0"/>
              <w:rPr>
                <w:sz w:val="20"/>
                <w:szCs w:val="20"/>
                <w:color w:val="auto"/>
              </w:rPr>
            </w:pPr>
            <w:r>
              <w:rPr>
                <w:rFonts w:ascii="Arial" w:cs="Arial" w:eastAsia="Arial" w:hAnsi="Arial"/>
                <w:sz w:val="20"/>
                <w:szCs w:val="20"/>
                <w:color w:val="auto"/>
              </w:rPr>
              <w:t>BOARD ACTION BY WRITTEN CONSENT WITHOUT A MEETING</w:t>
            </w:r>
          </w:p>
        </w:tc>
        <w:tc>
          <w:tcPr>
            <w:tcW w:w="198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9200" w:type="dxa"/>
            <w:vAlign w:val="bottom"/>
            <w:gridSpan w:val="2"/>
          </w:tcPr>
          <w:p>
            <w:pPr>
              <w:ind w:left="620"/>
              <w:spacing w:after="0"/>
              <w:rPr>
                <w:sz w:val="20"/>
                <w:szCs w:val="20"/>
                <w:color w:val="auto"/>
              </w:rPr>
            </w:pPr>
            <w:r>
              <w:rPr>
                <w:rFonts w:ascii="Arial" w:cs="Arial" w:eastAsia="Arial" w:hAnsi="Arial"/>
                <w:sz w:val="20"/>
                <w:szCs w:val="20"/>
                <w:color w:val="auto"/>
              </w:rPr>
              <w:t>3.10 FEES AND COMPENSATION OF DIRECTORS</w:t>
            </w:r>
          </w:p>
        </w:tc>
        <w:tc>
          <w:tcPr>
            <w:tcW w:w="198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3"/>
        </w:trPr>
        <w:tc>
          <w:tcPr>
            <w:tcW w:w="9200" w:type="dxa"/>
            <w:vAlign w:val="bottom"/>
            <w:gridSpan w:val="2"/>
          </w:tcPr>
          <w:p>
            <w:pPr>
              <w:ind w:left="620"/>
              <w:spacing w:after="0"/>
              <w:rPr>
                <w:sz w:val="20"/>
                <w:szCs w:val="20"/>
                <w:color w:val="auto"/>
              </w:rPr>
            </w:pPr>
            <w:r>
              <w:rPr>
                <w:rFonts w:ascii="Arial" w:cs="Arial" w:eastAsia="Arial" w:hAnsi="Arial"/>
                <w:sz w:val="20"/>
                <w:szCs w:val="20"/>
                <w:color w:val="auto"/>
              </w:rPr>
              <w:t>3.11 REMOVAL OF DIRECTORS</w:t>
            </w:r>
          </w:p>
        </w:tc>
        <w:tc>
          <w:tcPr>
            <w:tcW w:w="198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338"/>
        </w:trPr>
        <w:tc>
          <w:tcPr>
            <w:tcW w:w="9200" w:type="dxa"/>
            <w:vAlign w:val="bottom"/>
            <w:gridSpan w:val="2"/>
          </w:tcPr>
          <w:p>
            <w:pPr>
              <w:spacing w:after="0"/>
              <w:rPr>
                <w:sz w:val="20"/>
                <w:szCs w:val="20"/>
                <w:color w:val="auto"/>
              </w:rPr>
            </w:pPr>
            <w:r>
              <w:rPr>
                <w:rFonts w:ascii="Arial" w:cs="Arial" w:eastAsia="Arial" w:hAnsi="Arial"/>
                <w:sz w:val="20"/>
                <w:szCs w:val="20"/>
                <w:color w:val="auto"/>
              </w:rPr>
              <w:t>ARTICLE IV - COMMITTEES</w:t>
            </w:r>
          </w:p>
        </w:tc>
        <w:tc>
          <w:tcPr>
            <w:tcW w:w="198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338"/>
        </w:trPr>
        <w:tc>
          <w:tcPr>
            <w:tcW w:w="920" w:type="dxa"/>
            <w:vAlign w:val="bottom"/>
          </w:tcPr>
          <w:p>
            <w:pPr>
              <w:ind w:left="620"/>
              <w:spacing w:after="0"/>
              <w:rPr>
                <w:sz w:val="20"/>
                <w:szCs w:val="20"/>
                <w:color w:val="auto"/>
              </w:rPr>
            </w:pPr>
            <w:r>
              <w:rPr>
                <w:rFonts w:ascii="Arial" w:cs="Arial" w:eastAsia="Arial" w:hAnsi="Arial"/>
                <w:sz w:val="20"/>
                <w:szCs w:val="20"/>
                <w:color w:val="auto"/>
              </w:rPr>
              <w:t>4.1</w:t>
            </w:r>
          </w:p>
        </w:tc>
        <w:tc>
          <w:tcPr>
            <w:tcW w:w="8280" w:type="dxa"/>
            <w:vAlign w:val="bottom"/>
          </w:tcPr>
          <w:p>
            <w:pPr>
              <w:ind w:left="80"/>
              <w:spacing w:after="0"/>
              <w:rPr>
                <w:sz w:val="20"/>
                <w:szCs w:val="20"/>
                <w:color w:val="auto"/>
              </w:rPr>
            </w:pPr>
            <w:r>
              <w:rPr>
                <w:rFonts w:ascii="Arial" w:cs="Arial" w:eastAsia="Arial" w:hAnsi="Arial"/>
                <w:sz w:val="20"/>
                <w:szCs w:val="20"/>
                <w:color w:val="auto"/>
              </w:rPr>
              <w:t>COMMITTEES OF DIRECTORS</w:t>
            </w:r>
          </w:p>
        </w:tc>
        <w:tc>
          <w:tcPr>
            <w:tcW w:w="198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920" w:type="dxa"/>
            <w:vAlign w:val="bottom"/>
          </w:tcPr>
          <w:p>
            <w:pPr>
              <w:ind w:left="620"/>
              <w:spacing w:after="0"/>
              <w:rPr>
                <w:sz w:val="20"/>
                <w:szCs w:val="20"/>
                <w:color w:val="auto"/>
              </w:rPr>
            </w:pPr>
            <w:r>
              <w:rPr>
                <w:rFonts w:ascii="Arial" w:cs="Arial" w:eastAsia="Arial" w:hAnsi="Arial"/>
                <w:sz w:val="20"/>
                <w:szCs w:val="20"/>
                <w:color w:val="auto"/>
              </w:rPr>
              <w:t>4.2</w:t>
            </w:r>
          </w:p>
        </w:tc>
        <w:tc>
          <w:tcPr>
            <w:tcW w:w="8280" w:type="dxa"/>
            <w:vAlign w:val="bottom"/>
          </w:tcPr>
          <w:p>
            <w:pPr>
              <w:ind w:left="80"/>
              <w:spacing w:after="0"/>
              <w:rPr>
                <w:sz w:val="20"/>
                <w:szCs w:val="20"/>
                <w:color w:val="auto"/>
              </w:rPr>
            </w:pPr>
            <w:r>
              <w:rPr>
                <w:rFonts w:ascii="Arial" w:cs="Arial" w:eastAsia="Arial" w:hAnsi="Arial"/>
                <w:sz w:val="20"/>
                <w:szCs w:val="20"/>
                <w:color w:val="auto"/>
              </w:rPr>
              <w:t>COMMITTEE MINUTES</w:t>
            </w:r>
          </w:p>
        </w:tc>
        <w:tc>
          <w:tcPr>
            <w:tcW w:w="198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3"/>
        </w:trPr>
        <w:tc>
          <w:tcPr>
            <w:tcW w:w="920" w:type="dxa"/>
            <w:vAlign w:val="bottom"/>
          </w:tcPr>
          <w:p>
            <w:pPr>
              <w:ind w:left="620"/>
              <w:spacing w:after="0"/>
              <w:rPr>
                <w:sz w:val="20"/>
                <w:szCs w:val="20"/>
                <w:color w:val="auto"/>
              </w:rPr>
            </w:pPr>
            <w:r>
              <w:rPr>
                <w:rFonts w:ascii="Arial" w:cs="Arial" w:eastAsia="Arial" w:hAnsi="Arial"/>
                <w:sz w:val="20"/>
                <w:szCs w:val="20"/>
                <w:color w:val="auto"/>
              </w:rPr>
              <w:t>4.3</w:t>
            </w:r>
          </w:p>
        </w:tc>
        <w:tc>
          <w:tcPr>
            <w:tcW w:w="8280" w:type="dxa"/>
            <w:vAlign w:val="bottom"/>
          </w:tcPr>
          <w:p>
            <w:pPr>
              <w:ind w:left="80"/>
              <w:spacing w:after="0"/>
              <w:rPr>
                <w:sz w:val="20"/>
                <w:szCs w:val="20"/>
                <w:color w:val="auto"/>
              </w:rPr>
            </w:pPr>
            <w:r>
              <w:rPr>
                <w:rFonts w:ascii="Arial" w:cs="Arial" w:eastAsia="Arial" w:hAnsi="Arial"/>
                <w:sz w:val="20"/>
                <w:szCs w:val="20"/>
                <w:color w:val="auto"/>
              </w:rPr>
              <w:t>MEETINGS AND ACTION OF COMMITTEES</w:t>
            </w:r>
          </w:p>
        </w:tc>
        <w:tc>
          <w:tcPr>
            <w:tcW w:w="198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920" w:type="dxa"/>
            <w:vAlign w:val="bottom"/>
          </w:tcPr>
          <w:p>
            <w:pPr>
              <w:ind w:left="620"/>
              <w:spacing w:after="0"/>
              <w:rPr>
                <w:sz w:val="20"/>
                <w:szCs w:val="20"/>
                <w:color w:val="auto"/>
              </w:rPr>
            </w:pPr>
            <w:r>
              <w:rPr>
                <w:rFonts w:ascii="Arial" w:cs="Arial" w:eastAsia="Arial" w:hAnsi="Arial"/>
                <w:sz w:val="20"/>
                <w:szCs w:val="20"/>
                <w:color w:val="auto"/>
              </w:rPr>
              <w:t>4.4</w:t>
            </w:r>
          </w:p>
        </w:tc>
        <w:tc>
          <w:tcPr>
            <w:tcW w:w="8280" w:type="dxa"/>
            <w:vAlign w:val="bottom"/>
          </w:tcPr>
          <w:p>
            <w:pPr>
              <w:ind w:left="80"/>
              <w:spacing w:after="0"/>
              <w:rPr>
                <w:sz w:val="20"/>
                <w:szCs w:val="20"/>
                <w:color w:val="auto"/>
              </w:rPr>
            </w:pPr>
            <w:r>
              <w:rPr>
                <w:rFonts w:ascii="Arial" w:cs="Arial" w:eastAsia="Arial" w:hAnsi="Arial"/>
                <w:sz w:val="20"/>
                <w:szCs w:val="20"/>
                <w:color w:val="auto"/>
              </w:rPr>
              <w:t>SUBCOMMITTEES</w:t>
            </w:r>
          </w:p>
        </w:tc>
        <w:tc>
          <w:tcPr>
            <w:tcW w:w="198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338"/>
        </w:trPr>
        <w:tc>
          <w:tcPr>
            <w:tcW w:w="9200" w:type="dxa"/>
            <w:vAlign w:val="bottom"/>
            <w:gridSpan w:val="2"/>
          </w:tcPr>
          <w:p>
            <w:pPr>
              <w:spacing w:after="0"/>
              <w:rPr>
                <w:sz w:val="20"/>
                <w:szCs w:val="20"/>
                <w:color w:val="auto"/>
              </w:rPr>
            </w:pPr>
            <w:r>
              <w:rPr>
                <w:rFonts w:ascii="Arial" w:cs="Arial" w:eastAsia="Arial" w:hAnsi="Arial"/>
                <w:sz w:val="20"/>
                <w:szCs w:val="20"/>
                <w:color w:val="auto"/>
              </w:rPr>
              <w:t>ARTICLE V - OFFICERS</w:t>
            </w:r>
          </w:p>
        </w:tc>
        <w:tc>
          <w:tcPr>
            <w:tcW w:w="19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338"/>
        </w:trPr>
        <w:tc>
          <w:tcPr>
            <w:tcW w:w="920" w:type="dxa"/>
            <w:vAlign w:val="bottom"/>
          </w:tcPr>
          <w:p>
            <w:pPr>
              <w:ind w:left="620"/>
              <w:spacing w:after="0"/>
              <w:rPr>
                <w:sz w:val="20"/>
                <w:szCs w:val="20"/>
                <w:color w:val="auto"/>
              </w:rPr>
            </w:pPr>
            <w:r>
              <w:rPr>
                <w:rFonts w:ascii="Arial" w:cs="Arial" w:eastAsia="Arial" w:hAnsi="Arial"/>
                <w:sz w:val="20"/>
                <w:szCs w:val="20"/>
                <w:color w:val="auto"/>
              </w:rPr>
              <w:t>5.1</w:t>
            </w:r>
          </w:p>
        </w:tc>
        <w:tc>
          <w:tcPr>
            <w:tcW w:w="8280" w:type="dxa"/>
            <w:vAlign w:val="bottom"/>
          </w:tcPr>
          <w:p>
            <w:pPr>
              <w:ind w:left="80"/>
              <w:spacing w:after="0"/>
              <w:rPr>
                <w:sz w:val="20"/>
                <w:szCs w:val="20"/>
                <w:color w:val="auto"/>
              </w:rPr>
            </w:pPr>
            <w:r>
              <w:rPr>
                <w:rFonts w:ascii="Arial" w:cs="Arial" w:eastAsia="Arial" w:hAnsi="Arial"/>
                <w:sz w:val="20"/>
                <w:szCs w:val="20"/>
                <w:color w:val="auto"/>
              </w:rPr>
              <w:t>OFFICERS</w:t>
            </w:r>
          </w:p>
        </w:tc>
        <w:tc>
          <w:tcPr>
            <w:tcW w:w="19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4"/>
        </w:trPr>
        <w:tc>
          <w:tcPr>
            <w:tcW w:w="920" w:type="dxa"/>
            <w:vAlign w:val="bottom"/>
          </w:tcPr>
          <w:p>
            <w:pPr>
              <w:ind w:left="620"/>
              <w:spacing w:after="0"/>
              <w:rPr>
                <w:sz w:val="20"/>
                <w:szCs w:val="20"/>
                <w:color w:val="auto"/>
              </w:rPr>
            </w:pPr>
            <w:r>
              <w:rPr>
                <w:rFonts w:ascii="Arial" w:cs="Arial" w:eastAsia="Arial" w:hAnsi="Arial"/>
                <w:sz w:val="20"/>
                <w:szCs w:val="20"/>
                <w:color w:val="auto"/>
              </w:rPr>
              <w:t>5.2</w:t>
            </w:r>
          </w:p>
        </w:tc>
        <w:tc>
          <w:tcPr>
            <w:tcW w:w="8280" w:type="dxa"/>
            <w:vAlign w:val="bottom"/>
          </w:tcPr>
          <w:p>
            <w:pPr>
              <w:ind w:left="80"/>
              <w:spacing w:after="0"/>
              <w:rPr>
                <w:sz w:val="20"/>
                <w:szCs w:val="20"/>
                <w:color w:val="auto"/>
              </w:rPr>
            </w:pPr>
            <w:r>
              <w:rPr>
                <w:rFonts w:ascii="Arial" w:cs="Arial" w:eastAsia="Arial" w:hAnsi="Arial"/>
                <w:sz w:val="20"/>
                <w:szCs w:val="20"/>
                <w:color w:val="auto"/>
              </w:rPr>
              <w:t>APPOINTMENT OF OFFICERS</w:t>
            </w:r>
          </w:p>
        </w:tc>
        <w:tc>
          <w:tcPr>
            <w:tcW w:w="19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3"/>
        </w:trPr>
        <w:tc>
          <w:tcPr>
            <w:tcW w:w="920" w:type="dxa"/>
            <w:vAlign w:val="bottom"/>
          </w:tcPr>
          <w:p>
            <w:pPr>
              <w:ind w:left="620"/>
              <w:spacing w:after="0"/>
              <w:rPr>
                <w:sz w:val="20"/>
                <w:szCs w:val="20"/>
                <w:color w:val="auto"/>
              </w:rPr>
            </w:pPr>
            <w:r>
              <w:rPr>
                <w:rFonts w:ascii="Arial" w:cs="Arial" w:eastAsia="Arial" w:hAnsi="Arial"/>
                <w:sz w:val="20"/>
                <w:szCs w:val="20"/>
                <w:color w:val="auto"/>
              </w:rPr>
              <w:t>5.3</w:t>
            </w:r>
          </w:p>
        </w:tc>
        <w:tc>
          <w:tcPr>
            <w:tcW w:w="8280" w:type="dxa"/>
            <w:vAlign w:val="bottom"/>
          </w:tcPr>
          <w:p>
            <w:pPr>
              <w:ind w:left="80"/>
              <w:spacing w:after="0"/>
              <w:rPr>
                <w:sz w:val="20"/>
                <w:szCs w:val="20"/>
                <w:color w:val="auto"/>
              </w:rPr>
            </w:pPr>
            <w:r>
              <w:rPr>
                <w:rFonts w:ascii="Arial" w:cs="Arial" w:eastAsia="Arial" w:hAnsi="Arial"/>
                <w:sz w:val="20"/>
                <w:szCs w:val="20"/>
                <w:color w:val="auto"/>
              </w:rPr>
              <w:t>SUBORDINATE OFFICERS</w:t>
            </w:r>
          </w:p>
        </w:tc>
        <w:tc>
          <w:tcPr>
            <w:tcW w:w="1980" w:type="dxa"/>
            <w:vAlign w:val="bottom"/>
          </w:tcPr>
          <w:p>
            <w:pPr>
              <w:jc w:val="right"/>
              <w:spacing w:after="0"/>
              <w:rPr>
                <w:sz w:val="20"/>
                <w:szCs w:val="20"/>
                <w:color w:val="auto"/>
              </w:rPr>
            </w:pPr>
            <w:r>
              <w:rPr>
                <w:rFonts w:ascii="Arial" w:cs="Arial" w:eastAsia="Arial" w:hAnsi="Arial"/>
                <w:sz w:val="20"/>
                <w:szCs w:val="20"/>
                <w:color w:val="auto"/>
              </w:rPr>
              <w:t>16</w:t>
            </w:r>
          </w:p>
        </w:tc>
      </w:tr>
    </w:tbl>
    <w:p>
      <w:pPr>
        <w:spacing w:after="0" w:line="200" w:lineRule="exact"/>
        <w:rPr>
          <w:sz w:val="20"/>
          <w:szCs w:val="20"/>
          <w:color w:val="auto"/>
        </w:rPr>
      </w:pPr>
    </w:p>
    <w:p>
      <w:pPr>
        <w:sectPr>
          <w:pgSz w:w="11900" w:h="16838" w:orient="portrait"/>
          <w:cols w:equalWidth="0" w:num="1">
            <w:col w:w="11180"/>
          </w:cols>
          <w:pgMar w:left="360" w:top="1413" w:right="359" w:bottom="10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180"/>
          </w:cols>
          <w:pgMar w:left="360" w:top="1413" w:right="359" w:bottom="1003" w:gutter="0" w:footer="0" w:header="0"/>
          <w:type w:val="continuous"/>
        </w:sectPr>
      </w:pPr>
    </w:p>
    <w:bookmarkStart w:id="18" w:name="page19"/>
    <w:bookmarkEnd w:id="18"/>
    <w:p>
      <w:pPr>
        <w:jc w:val="center"/>
        <w:ind w:right="40"/>
        <w:spacing w:after="0"/>
        <w:rPr>
          <w:sz w:val="20"/>
          <w:szCs w:val="20"/>
          <w:color w:val="auto"/>
        </w:rPr>
      </w:pPr>
      <w:r>
        <w:rPr>
          <w:rFonts w:ascii="Arial" w:cs="Arial" w:eastAsia="Arial" w:hAnsi="Arial"/>
          <w:sz w:val="20"/>
          <w:szCs w:val="20"/>
          <w:b w:val="1"/>
          <w:bCs w:val="1"/>
          <w:color w:val="auto"/>
        </w:rPr>
        <w:t>TABLE OF CONTENTS</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(continued)</w:t>
      </w:r>
    </w:p>
    <w:p>
      <w:pPr>
        <w:jc w:val="right"/>
        <w:spacing w:after="0"/>
        <w:rPr>
          <w:sz w:val="20"/>
          <w:szCs w:val="20"/>
          <w:color w:val="auto"/>
        </w:rPr>
      </w:pPr>
      <w:r>
        <w:rPr>
          <w:rFonts w:ascii="Arial" w:cs="Arial" w:eastAsia="Arial" w:hAnsi="Arial"/>
          <w:sz w:val="20"/>
          <w:szCs w:val="20"/>
          <w:b w:val="1"/>
          <w:bCs w:val="1"/>
          <w:i w:val="1"/>
          <w:i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80" w:type="dxa"/>
            <w:vAlign w:val="bottom"/>
          </w:tcPr>
          <w:p>
            <w:pPr>
              <w:ind w:left="620"/>
              <w:spacing w:after="0"/>
              <w:rPr>
                <w:sz w:val="20"/>
                <w:szCs w:val="20"/>
                <w:color w:val="auto"/>
              </w:rPr>
            </w:pPr>
            <w:r>
              <w:rPr>
                <w:rFonts w:ascii="Arial" w:cs="Arial" w:eastAsia="Arial" w:hAnsi="Arial"/>
                <w:sz w:val="20"/>
                <w:szCs w:val="20"/>
                <w:color w:val="auto"/>
              </w:rPr>
              <w:t>5.4</w:t>
            </w:r>
          </w:p>
        </w:tc>
        <w:tc>
          <w:tcPr>
            <w:tcW w:w="9300" w:type="dxa"/>
            <w:vAlign w:val="bottom"/>
          </w:tcPr>
          <w:p>
            <w:pPr>
              <w:ind w:left="20"/>
              <w:spacing w:after="0"/>
              <w:rPr>
                <w:sz w:val="20"/>
                <w:szCs w:val="20"/>
                <w:color w:val="auto"/>
              </w:rPr>
            </w:pPr>
            <w:r>
              <w:rPr>
                <w:rFonts w:ascii="Arial" w:cs="Arial" w:eastAsia="Arial" w:hAnsi="Arial"/>
                <w:sz w:val="20"/>
                <w:szCs w:val="20"/>
                <w:color w:val="auto"/>
              </w:rPr>
              <w:t>REMOVAL AND RESIGNATION OF OFFICERS</w:t>
            </w:r>
          </w:p>
        </w:tc>
        <w:tc>
          <w:tcPr>
            <w:tcW w:w="90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3"/>
        </w:trPr>
        <w:tc>
          <w:tcPr>
            <w:tcW w:w="980" w:type="dxa"/>
            <w:vAlign w:val="bottom"/>
          </w:tcPr>
          <w:p>
            <w:pPr>
              <w:ind w:left="620"/>
              <w:spacing w:after="0"/>
              <w:rPr>
                <w:sz w:val="20"/>
                <w:szCs w:val="20"/>
                <w:color w:val="auto"/>
              </w:rPr>
            </w:pPr>
            <w:r>
              <w:rPr>
                <w:rFonts w:ascii="Arial" w:cs="Arial" w:eastAsia="Arial" w:hAnsi="Arial"/>
                <w:sz w:val="20"/>
                <w:szCs w:val="20"/>
                <w:color w:val="auto"/>
              </w:rPr>
              <w:t>5.5</w:t>
            </w:r>
          </w:p>
        </w:tc>
        <w:tc>
          <w:tcPr>
            <w:tcW w:w="9300" w:type="dxa"/>
            <w:vAlign w:val="bottom"/>
          </w:tcPr>
          <w:p>
            <w:pPr>
              <w:ind w:left="20"/>
              <w:spacing w:after="0"/>
              <w:rPr>
                <w:sz w:val="20"/>
                <w:szCs w:val="20"/>
                <w:color w:val="auto"/>
              </w:rPr>
            </w:pPr>
            <w:r>
              <w:rPr>
                <w:rFonts w:ascii="Arial" w:cs="Arial" w:eastAsia="Arial" w:hAnsi="Arial"/>
                <w:sz w:val="20"/>
                <w:szCs w:val="20"/>
                <w:color w:val="auto"/>
              </w:rPr>
              <w:t>VACANCIES IN OFFICES</w:t>
            </w:r>
          </w:p>
        </w:tc>
        <w:tc>
          <w:tcPr>
            <w:tcW w:w="90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4"/>
        </w:trPr>
        <w:tc>
          <w:tcPr>
            <w:tcW w:w="980" w:type="dxa"/>
            <w:vAlign w:val="bottom"/>
          </w:tcPr>
          <w:p>
            <w:pPr>
              <w:ind w:left="620"/>
              <w:spacing w:after="0"/>
              <w:rPr>
                <w:sz w:val="20"/>
                <w:szCs w:val="20"/>
                <w:color w:val="auto"/>
              </w:rPr>
            </w:pPr>
            <w:r>
              <w:rPr>
                <w:rFonts w:ascii="Arial" w:cs="Arial" w:eastAsia="Arial" w:hAnsi="Arial"/>
                <w:sz w:val="20"/>
                <w:szCs w:val="20"/>
                <w:color w:val="auto"/>
              </w:rPr>
              <w:t>5.6</w:t>
            </w:r>
          </w:p>
        </w:tc>
        <w:tc>
          <w:tcPr>
            <w:tcW w:w="9300" w:type="dxa"/>
            <w:vAlign w:val="bottom"/>
          </w:tcPr>
          <w:p>
            <w:pPr>
              <w:ind w:left="20"/>
              <w:spacing w:after="0"/>
              <w:rPr>
                <w:sz w:val="20"/>
                <w:szCs w:val="20"/>
                <w:color w:val="auto"/>
              </w:rPr>
            </w:pPr>
            <w:r>
              <w:rPr>
                <w:rFonts w:ascii="Arial" w:cs="Arial" w:eastAsia="Arial" w:hAnsi="Arial"/>
                <w:sz w:val="20"/>
                <w:szCs w:val="20"/>
                <w:color w:val="auto"/>
              </w:rPr>
              <w:t>REPRESENTATION OF SHARES OF OTHER CORPORATIONS</w:t>
            </w:r>
          </w:p>
        </w:tc>
        <w:tc>
          <w:tcPr>
            <w:tcW w:w="90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3"/>
        </w:trPr>
        <w:tc>
          <w:tcPr>
            <w:tcW w:w="980" w:type="dxa"/>
            <w:vAlign w:val="bottom"/>
          </w:tcPr>
          <w:p>
            <w:pPr>
              <w:ind w:left="620"/>
              <w:spacing w:after="0"/>
              <w:rPr>
                <w:sz w:val="20"/>
                <w:szCs w:val="20"/>
                <w:color w:val="auto"/>
              </w:rPr>
            </w:pPr>
            <w:r>
              <w:rPr>
                <w:rFonts w:ascii="Arial" w:cs="Arial" w:eastAsia="Arial" w:hAnsi="Arial"/>
                <w:sz w:val="20"/>
                <w:szCs w:val="20"/>
                <w:color w:val="auto"/>
              </w:rPr>
              <w:t>5.7</w:t>
            </w:r>
          </w:p>
        </w:tc>
        <w:tc>
          <w:tcPr>
            <w:tcW w:w="9300" w:type="dxa"/>
            <w:vAlign w:val="bottom"/>
          </w:tcPr>
          <w:p>
            <w:pPr>
              <w:ind w:left="20"/>
              <w:spacing w:after="0"/>
              <w:rPr>
                <w:sz w:val="20"/>
                <w:szCs w:val="20"/>
                <w:color w:val="auto"/>
              </w:rPr>
            </w:pPr>
            <w:r>
              <w:rPr>
                <w:rFonts w:ascii="Arial" w:cs="Arial" w:eastAsia="Arial" w:hAnsi="Arial"/>
                <w:sz w:val="20"/>
                <w:szCs w:val="20"/>
                <w:color w:val="auto"/>
              </w:rPr>
              <w:t>AUTHORITY AND DUTIES OF OFFICERS</w:t>
            </w:r>
          </w:p>
        </w:tc>
        <w:tc>
          <w:tcPr>
            <w:tcW w:w="90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338"/>
        </w:trPr>
        <w:tc>
          <w:tcPr>
            <w:tcW w:w="10280" w:type="dxa"/>
            <w:vAlign w:val="bottom"/>
            <w:gridSpan w:val="2"/>
          </w:tcPr>
          <w:p>
            <w:pPr>
              <w:spacing w:after="0"/>
              <w:rPr>
                <w:sz w:val="20"/>
                <w:szCs w:val="20"/>
                <w:color w:val="auto"/>
              </w:rPr>
            </w:pPr>
            <w:r>
              <w:rPr>
                <w:rFonts w:ascii="Arial" w:cs="Arial" w:eastAsia="Arial" w:hAnsi="Arial"/>
                <w:sz w:val="20"/>
                <w:szCs w:val="20"/>
                <w:color w:val="auto"/>
              </w:rPr>
              <w:t>ARTICLE VI - STOCK</w:t>
            </w:r>
          </w:p>
        </w:tc>
        <w:tc>
          <w:tcPr>
            <w:tcW w:w="90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338"/>
        </w:trPr>
        <w:tc>
          <w:tcPr>
            <w:tcW w:w="980" w:type="dxa"/>
            <w:vAlign w:val="bottom"/>
          </w:tcPr>
          <w:p>
            <w:pPr>
              <w:ind w:left="620"/>
              <w:spacing w:after="0"/>
              <w:rPr>
                <w:sz w:val="20"/>
                <w:szCs w:val="20"/>
                <w:color w:val="auto"/>
              </w:rPr>
            </w:pPr>
            <w:r>
              <w:rPr>
                <w:rFonts w:ascii="Arial" w:cs="Arial" w:eastAsia="Arial" w:hAnsi="Arial"/>
                <w:sz w:val="20"/>
                <w:szCs w:val="20"/>
                <w:color w:val="auto"/>
              </w:rPr>
              <w:t>6.1</w:t>
            </w:r>
          </w:p>
        </w:tc>
        <w:tc>
          <w:tcPr>
            <w:tcW w:w="9300" w:type="dxa"/>
            <w:vAlign w:val="bottom"/>
          </w:tcPr>
          <w:p>
            <w:pPr>
              <w:ind w:left="20"/>
              <w:spacing w:after="0"/>
              <w:rPr>
                <w:sz w:val="20"/>
                <w:szCs w:val="20"/>
                <w:color w:val="auto"/>
              </w:rPr>
            </w:pPr>
            <w:r>
              <w:rPr>
                <w:rFonts w:ascii="Arial" w:cs="Arial" w:eastAsia="Arial" w:hAnsi="Arial"/>
                <w:sz w:val="20"/>
                <w:szCs w:val="20"/>
                <w:color w:val="auto"/>
              </w:rPr>
              <w:t>STOCK CERTIFICATES; PARTLY PAID SHARES</w:t>
            </w:r>
          </w:p>
        </w:tc>
        <w:tc>
          <w:tcPr>
            <w:tcW w:w="90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3"/>
        </w:trPr>
        <w:tc>
          <w:tcPr>
            <w:tcW w:w="980" w:type="dxa"/>
            <w:vAlign w:val="bottom"/>
          </w:tcPr>
          <w:p>
            <w:pPr>
              <w:ind w:left="620"/>
              <w:spacing w:after="0"/>
              <w:rPr>
                <w:sz w:val="20"/>
                <w:szCs w:val="20"/>
                <w:color w:val="auto"/>
              </w:rPr>
            </w:pPr>
            <w:r>
              <w:rPr>
                <w:rFonts w:ascii="Arial" w:cs="Arial" w:eastAsia="Arial" w:hAnsi="Arial"/>
                <w:sz w:val="20"/>
                <w:szCs w:val="20"/>
                <w:color w:val="auto"/>
              </w:rPr>
              <w:t>6.2</w:t>
            </w:r>
          </w:p>
        </w:tc>
        <w:tc>
          <w:tcPr>
            <w:tcW w:w="9300" w:type="dxa"/>
            <w:vAlign w:val="bottom"/>
          </w:tcPr>
          <w:p>
            <w:pPr>
              <w:ind w:left="20"/>
              <w:spacing w:after="0"/>
              <w:rPr>
                <w:sz w:val="20"/>
                <w:szCs w:val="20"/>
                <w:color w:val="auto"/>
              </w:rPr>
            </w:pPr>
            <w:r>
              <w:rPr>
                <w:rFonts w:ascii="Arial" w:cs="Arial" w:eastAsia="Arial" w:hAnsi="Arial"/>
                <w:sz w:val="20"/>
                <w:szCs w:val="20"/>
                <w:color w:val="auto"/>
              </w:rPr>
              <w:t>SPECIAL DESIGNATION ON CERTIFICATES</w:t>
            </w:r>
          </w:p>
        </w:tc>
        <w:tc>
          <w:tcPr>
            <w:tcW w:w="90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3"/>
        </w:trPr>
        <w:tc>
          <w:tcPr>
            <w:tcW w:w="980" w:type="dxa"/>
            <w:vAlign w:val="bottom"/>
          </w:tcPr>
          <w:p>
            <w:pPr>
              <w:ind w:left="620"/>
              <w:spacing w:after="0"/>
              <w:rPr>
                <w:sz w:val="20"/>
                <w:szCs w:val="20"/>
                <w:color w:val="auto"/>
              </w:rPr>
            </w:pPr>
            <w:r>
              <w:rPr>
                <w:rFonts w:ascii="Arial" w:cs="Arial" w:eastAsia="Arial" w:hAnsi="Arial"/>
                <w:sz w:val="20"/>
                <w:szCs w:val="20"/>
                <w:color w:val="auto"/>
              </w:rPr>
              <w:t>6.3</w:t>
            </w:r>
          </w:p>
        </w:tc>
        <w:tc>
          <w:tcPr>
            <w:tcW w:w="9300" w:type="dxa"/>
            <w:vAlign w:val="bottom"/>
          </w:tcPr>
          <w:p>
            <w:pPr>
              <w:ind w:left="20"/>
              <w:spacing w:after="0"/>
              <w:rPr>
                <w:sz w:val="20"/>
                <w:szCs w:val="20"/>
                <w:color w:val="auto"/>
              </w:rPr>
            </w:pPr>
            <w:r>
              <w:rPr>
                <w:rFonts w:ascii="Arial" w:cs="Arial" w:eastAsia="Arial" w:hAnsi="Arial"/>
                <w:sz w:val="20"/>
                <w:szCs w:val="20"/>
                <w:color w:val="auto"/>
              </w:rPr>
              <w:t>LOST CERTIFICATES</w:t>
            </w:r>
          </w:p>
        </w:tc>
        <w:tc>
          <w:tcPr>
            <w:tcW w:w="90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3"/>
        </w:trPr>
        <w:tc>
          <w:tcPr>
            <w:tcW w:w="980" w:type="dxa"/>
            <w:vAlign w:val="bottom"/>
          </w:tcPr>
          <w:p>
            <w:pPr>
              <w:ind w:left="620"/>
              <w:spacing w:after="0"/>
              <w:rPr>
                <w:sz w:val="20"/>
                <w:szCs w:val="20"/>
                <w:color w:val="auto"/>
              </w:rPr>
            </w:pPr>
            <w:r>
              <w:rPr>
                <w:rFonts w:ascii="Arial" w:cs="Arial" w:eastAsia="Arial" w:hAnsi="Arial"/>
                <w:sz w:val="20"/>
                <w:szCs w:val="20"/>
                <w:color w:val="auto"/>
              </w:rPr>
              <w:t>6.4</w:t>
            </w:r>
          </w:p>
        </w:tc>
        <w:tc>
          <w:tcPr>
            <w:tcW w:w="9300" w:type="dxa"/>
            <w:vAlign w:val="bottom"/>
          </w:tcPr>
          <w:p>
            <w:pPr>
              <w:ind w:left="20"/>
              <w:spacing w:after="0"/>
              <w:rPr>
                <w:sz w:val="20"/>
                <w:szCs w:val="20"/>
                <w:color w:val="auto"/>
              </w:rPr>
            </w:pPr>
            <w:r>
              <w:rPr>
                <w:rFonts w:ascii="Arial" w:cs="Arial" w:eastAsia="Arial" w:hAnsi="Arial"/>
                <w:sz w:val="20"/>
                <w:szCs w:val="20"/>
                <w:color w:val="auto"/>
              </w:rPr>
              <w:t>DIVIDENDS</w:t>
            </w:r>
          </w:p>
        </w:tc>
        <w:tc>
          <w:tcPr>
            <w:tcW w:w="90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3"/>
        </w:trPr>
        <w:tc>
          <w:tcPr>
            <w:tcW w:w="980" w:type="dxa"/>
            <w:vAlign w:val="bottom"/>
          </w:tcPr>
          <w:p>
            <w:pPr>
              <w:ind w:left="620"/>
              <w:spacing w:after="0"/>
              <w:rPr>
                <w:sz w:val="20"/>
                <w:szCs w:val="20"/>
                <w:color w:val="auto"/>
              </w:rPr>
            </w:pPr>
            <w:r>
              <w:rPr>
                <w:rFonts w:ascii="Arial" w:cs="Arial" w:eastAsia="Arial" w:hAnsi="Arial"/>
                <w:sz w:val="20"/>
                <w:szCs w:val="20"/>
                <w:color w:val="auto"/>
              </w:rPr>
              <w:t>6.5</w:t>
            </w:r>
          </w:p>
        </w:tc>
        <w:tc>
          <w:tcPr>
            <w:tcW w:w="9300" w:type="dxa"/>
            <w:vAlign w:val="bottom"/>
          </w:tcPr>
          <w:p>
            <w:pPr>
              <w:ind w:left="20"/>
              <w:spacing w:after="0"/>
              <w:rPr>
                <w:sz w:val="20"/>
                <w:szCs w:val="20"/>
                <w:color w:val="auto"/>
              </w:rPr>
            </w:pPr>
            <w:r>
              <w:rPr>
                <w:rFonts w:ascii="Arial" w:cs="Arial" w:eastAsia="Arial" w:hAnsi="Arial"/>
                <w:sz w:val="20"/>
                <w:szCs w:val="20"/>
                <w:color w:val="auto"/>
              </w:rPr>
              <w:t>TRANSFER OF STOCK</w:t>
            </w:r>
          </w:p>
        </w:tc>
        <w:tc>
          <w:tcPr>
            <w:tcW w:w="90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4"/>
        </w:trPr>
        <w:tc>
          <w:tcPr>
            <w:tcW w:w="980" w:type="dxa"/>
            <w:vAlign w:val="bottom"/>
          </w:tcPr>
          <w:p>
            <w:pPr>
              <w:ind w:left="620"/>
              <w:spacing w:after="0"/>
              <w:rPr>
                <w:sz w:val="20"/>
                <w:szCs w:val="20"/>
                <w:color w:val="auto"/>
              </w:rPr>
            </w:pPr>
            <w:r>
              <w:rPr>
                <w:rFonts w:ascii="Arial" w:cs="Arial" w:eastAsia="Arial" w:hAnsi="Arial"/>
                <w:sz w:val="20"/>
                <w:szCs w:val="20"/>
                <w:color w:val="auto"/>
              </w:rPr>
              <w:t>6.6</w:t>
            </w:r>
          </w:p>
        </w:tc>
        <w:tc>
          <w:tcPr>
            <w:tcW w:w="9300" w:type="dxa"/>
            <w:vAlign w:val="bottom"/>
          </w:tcPr>
          <w:p>
            <w:pPr>
              <w:ind w:left="20"/>
              <w:spacing w:after="0"/>
              <w:rPr>
                <w:sz w:val="20"/>
                <w:szCs w:val="20"/>
                <w:color w:val="auto"/>
              </w:rPr>
            </w:pPr>
            <w:r>
              <w:rPr>
                <w:rFonts w:ascii="Arial" w:cs="Arial" w:eastAsia="Arial" w:hAnsi="Arial"/>
                <w:sz w:val="20"/>
                <w:szCs w:val="20"/>
                <w:color w:val="auto"/>
              </w:rPr>
              <w:t>STOCK TRANSFER AGREEMENTS</w:t>
            </w:r>
          </w:p>
        </w:tc>
        <w:tc>
          <w:tcPr>
            <w:tcW w:w="90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3"/>
        </w:trPr>
        <w:tc>
          <w:tcPr>
            <w:tcW w:w="980" w:type="dxa"/>
            <w:vAlign w:val="bottom"/>
          </w:tcPr>
          <w:p>
            <w:pPr>
              <w:ind w:left="620"/>
              <w:spacing w:after="0"/>
              <w:rPr>
                <w:sz w:val="20"/>
                <w:szCs w:val="20"/>
                <w:color w:val="auto"/>
              </w:rPr>
            </w:pPr>
            <w:r>
              <w:rPr>
                <w:rFonts w:ascii="Arial" w:cs="Arial" w:eastAsia="Arial" w:hAnsi="Arial"/>
                <w:sz w:val="20"/>
                <w:szCs w:val="20"/>
                <w:color w:val="auto"/>
              </w:rPr>
              <w:t>6.7</w:t>
            </w:r>
          </w:p>
        </w:tc>
        <w:tc>
          <w:tcPr>
            <w:tcW w:w="9300" w:type="dxa"/>
            <w:vAlign w:val="bottom"/>
          </w:tcPr>
          <w:p>
            <w:pPr>
              <w:ind w:left="20"/>
              <w:spacing w:after="0"/>
              <w:rPr>
                <w:sz w:val="20"/>
                <w:szCs w:val="20"/>
                <w:color w:val="auto"/>
              </w:rPr>
            </w:pPr>
            <w:r>
              <w:rPr>
                <w:rFonts w:ascii="Arial" w:cs="Arial" w:eastAsia="Arial" w:hAnsi="Arial"/>
                <w:sz w:val="20"/>
                <w:szCs w:val="20"/>
                <w:color w:val="auto"/>
              </w:rPr>
              <w:t>REGISTERED STOCKHOLDERS</w:t>
            </w:r>
          </w:p>
        </w:tc>
        <w:tc>
          <w:tcPr>
            <w:tcW w:w="90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338"/>
        </w:trPr>
        <w:tc>
          <w:tcPr>
            <w:tcW w:w="10280" w:type="dxa"/>
            <w:vAlign w:val="bottom"/>
            <w:gridSpan w:val="2"/>
          </w:tcPr>
          <w:p>
            <w:pPr>
              <w:spacing w:after="0"/>
              <w:rPr>
                <w:sz w:val="20"/>
                <w:szCs w:val="20"/>
                <w:color w:val="auto"/>
              </w:rPr>
            </w:pPr>
            <w:r>
              <w:rPr>
                <w:rFonts w:ascii="Arial" w:cs="Arial" w:eastAsia="Arial" w:hAnsi="Arial"/>
                <w:sz w:val="20"/>
                <w:szCs w:val="20"/>
                <w:color w:val="auto"/>
              </w:rPr>
              <w:t>ARTICLE VII - MANNER OF GIVING NOTICE AND WAIVER</w:t>
            </w:r>
          </w:p>
        </w:tc>
        <w:tc>
          <w:tcPr>
            <w:tcW w:w="90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338"/>
        </w:trPr>
        <w:tc>
          <w:tcPr>
            <w:tcW w:w="980" w:type="dxa"/>
            <w:vAlign w:val="bottom"/>
          </w:tcPr>
          <w:p>
            <w:pPr>
              <w:ind w:left="620"/>
              <w:spacing w:after="0"/>
              <w:rPr>
                <w:sz w:val="20"/>
                <w:szCs w:val="20"/>
                <w:color w:val="auto"/>
              </w:rPr>
            </w:pPr>
            <w:r>
              <w:rPr>
                <w:rFonts w:ascii="Arial" w:cs="Arial" w:eastAsia="Arial" w:hAnsi="Arial"/>
                <w:sz w:val="20"/>
                <w:szCs w:val="20"/>
                <w:color w:val="auto"/>
              </w:rPr>
              <w:t>7.1</w:t>
            </w:r>
          </w:p>
        </w:tc>
        <w:tc>
          <w:tcPr>
            <w:tcW w:w="9300" w:type="dxa"/>
            <w:vAlign w:val="bottom"/>
          </w:tcPr>
          <w:p>
            <w:pPr>
              <w:ind w:left="20"/>
              <w:spacing w:after="0"/>
              <w:rPr>
                <w:sz w:val="20"/>
                <w:szCs w:val="20"/>
                <w:color w:val="auto"/>
              </w:rPr>
            </w:pPr>
            <w:r>
              <w:rPr>
                <w:rFonts w:ascii="Arial" w:cs="Arial" w:eastAsia="Arial" w:hAnsi="Arial"/>
                <w:sz w:val="20"/>
                <w:szCs w:val="20"/>
                <w:color w:val="auto"/>
              </w:rPr>
              <w:t>NOTICE OF STOCKHOLDERS’ MEETINGS</w:t>
            </w:r>
          </w:p>
        </w:tc>
        <w:tc>
          <w:tcPr>
            <w:tcW w:w="90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3"/>
        </w:trPr>
        <w:tc>
          <w:tcPr>
            <w:tcW w:w="980" w:type="dxa"/>
            <w:vAlign w:val="bottom"/>
          </w:tcPr>
          <w:p>
            <w:pPr>
              <w:ind w:left="620"/>
              <w:spacing w:after="0"/>
              <w:rPr>
                <w:sz w:val="20"/>
                <w:szCs w:val="20"/>
                <w:color w:val="auto"/>
              </w:rPr>
            </w:pPr>
            <w:r>
              <w:rPr>
                <w:rFonts w:ascii="Arial" w:cs="Arial" w:eastAsia="Arial" w:hAnsi="Arial"/>
                <w:sz w:val="20"/>
                <w:szCs w:val="20"/>
                <w:color w:val="auto"/>
              </w:rPr>
              <w:t>7.2</w:t>
            </w:r>
          </w:p>
        </w:tc>
        <w:tc>
          <w:tcPr>
            <w:tcW w:w="9300" w:type="dxa"/>
            <w:vAlign w:val="bottom"/>
          </w:tcPr>
          <w:p>
            <w:pPr>
              <w:ind w:left="20"/>
              <w:spacing w:after="0"/>
              <w:rPr>
                <w:sz w:val="20"/>
                <w:szCs w:val="20"/>
                <w:color w:val="auto"/>
              </w:rPr>
            </w:pPr>
            <w:r>
              <w:rPr>
                <w:rFonts w:ascii="Arial" w:cs="Arial" w:eastAsia="Arial" w:hAnsi="Arial"/>
                <w:sz w:val="20"/>
                <w:szCs w:val="20"/>
                <w:color w:val="auto"/>
              </w:rPr>
              <w:t>NOTICE BY ELECTRONIC TRANSMISSION</w:t>
            </w:r>
          </w:p>
        </w:tc>
        <w:tc>
          <w:tcPr>
            <w:tcW w:w="90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3"/>
        </w:trPr>
        <w:tc>
          <w:tcPr>
            <w:tcW w:w="980" w:type="dxa"/>
            <w:vAlign w:val="bottom"/>
          </w:tcPr>
          <w:p>
            <w:pPr>
              <w:ind w:left="620"/>
              <w:spacing w:after="0"/>
              <w:rPr>
                <w:sz w:val="20"/>
                <w:szCs w:val="20"/>
                <w:color w:val="auto"/>
              </w:rPr>
            </w:pPr>
            <w:r>
              <w:rPr>
                <w:rFonts w:ascii="Arial" w:cs="Arial" w:eastAsia="Arial" w:hAnsi="Arial"/>
                <w:sz w:val="20"/>
                <w:szCs w:val="20"/>
                <w:color w:val="auto"/>
              </w:rPr>
              <w:t>7.3</w:t>
            </w:r>
          </w:p>
        </w:tc>
        <w:tc>
          <w:tcPr>
            <w:tcW w:w="9300" w:type="dxa"/>
            <w:vAlign w:val="bottom"/>
          </w:tcPr>
          <w:p>
            <w:pPr>
              <w:ind w:left="20"/>
              <w:spacing w:after="0"/>
              <w:rPr>
                <w:sz w:val="20"/>
                <w:szCs w:val="20"/>
                <w:color w:val="auto"/>
              </w:rPr>
            </w:pPr>
            <w:r>
              <w:rPr>
                <w:rFonts w:ascii="Arial" w:cs="Arial" w:eastAsia="Arial" w:hAnsi="Arial"/>
                <w:sz w:val="20"/>
                <w:szCs w:val="20"/>
                <w:color w:val="auto"/>
              </w:rPr>
              <w:t>NOTICE TO STOCKHOLDERS SHARING AN ADDRESS</w:t>
            </w:r>
          </w:p>
        </w:tc>
        <w:tc>
          <w:tcPr>
            <w:tcW w:w="90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3"/>
        </w:trPr>
        <w:tc>
          <w:tcPr>
            <w:tcW w:w="980" w:type="dxa"/>
            <w:vAlign w:val="bottom"/>
          </w:tcPr>
          <w:p>
            <w:pPr>
              <w:ind w:left="620"/>
              <w:spacing w:after="0"/>
              <w:rPr>
                <w:sz w:val="20"/>
                <w:szCs w:val="20"/>
                <w:color w:val="auto"/>
              </w:rPr>
            </w:pPr>
            <w:r>
              <w:rPr>
                <w:rFonts w:ascii="Arial" w:cs="Arial" w:eastAsia="Arial" w:hAnsi="Arial"/>
                <w:sz w:val="20"/>
                <w:szCs w:val="20"/>
                <w:color w:val="auto"/>
              </w:rPr>
              <w:t>7.4</w:t>
            </w:r>
          </w:p>
        </w:tc>
        <w:tc>
          <w:tcPr>
            <w:tcW w:w="9300" w:type="dxa"/>
            <w:vAlign w:val="bottom"/>
          </w:tcPr>
          <w:p>
            <w:pPr>
              <w:ind w:left="20"/>
              <w:spacing w:after="0"/>
              <w:rPr>
                <w:sz w:val="20"/>
                <w:szCs w:val="20"/>
                <w:color w:val="auto"/>
              </w:rPr>
            </w:pPr>
            <w:r>
              <w:rPr>
                <w:rFonts w:ascii="Arial" w:cs="Arial" w:eastAsia="Arial" w:hAnsi="Arial"/>
                <w:sz w:val="20"/>
                <w:szCs w:val="20"/>
                <w:color w:val="auto"/>
              </w:rPr>
              <w:t>NOTICE TO PERSON WITH WHOM COMMUNICATION IS UNLAWFUL</w:t>
            </w:r>
          </w:p>
        </w:tc>
        <w:tc>
          <w:tcPr>
            <w:tcW w:w="9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980" w:type="dxa"/>
            <w:vAlign w:val="bottom"/>
          </w:tcPr>
          <w:p>
            <w:pPr>
              <w:ind w:left="620"/>
              <w:spacing w:after="0"/>
              <w:rPr>
                <w:sz w:val="20"/>
                <w:szCs w:val="20"/>
                <w:color w:val="auto"/>
              </w:rPr>
            </w:pPr>
            <w:r>
              <w:rPr>
                <w:rFonts w:ascii="Arial" w:cs="Arial" w:eastAsia="Arial" w:hAnsi="Arial"/>
                <w:sz w:val="20"/>
                <w:szCs w:val="20"/>
                <w:color w:val="auto"/>
              </w:rPr>
              <w:t>7.5</w:t>
            </w:r>
          </w:p>
        </w:tc>
        <w:tc>
          <w:tcPr>
            <w:tcW w:w="9300" w:type="dxa"/>
            <w:vAlign w:val="bottom"/>
          </w:tcPr>
          <w:p>
            <w:pPr>
              <w:ind w:left="20"/>
              <w:spacing w:after="0"/>
              <w:rPr>
                <w:sz w:val="20"/>
                <w:szCs w:val="20"/>
                <w:color w:val="auto"/>
              </w:rPr>
            </w:pPr>
            <w:r>
              <w:rPr>
                <w:rFonts w:ascii="Arial" w:cs="Arial" w:eastAsia="Arial" w:hAnsi="Arial"/>
                <w:sz w:val="20"/>
                <w:szCs w:val="20"/>
                <w:color w:val="auto"/>
              </w:rPr>
              <w:t>WAIVER OF NOTICE</w:t>
            </w:r>
          </w:p>
        </w:tc>
        <w:tc>
          <w:tcPr>
            <w:tcW w:w="9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338"/>
        </w:trPr>
        <w:tc>
          <w:tcPr>
            <w:tcW w:w="10280" w:type="dxa"/>
            <w:vAlign w:val="bottom"/>
            <w:gridSpan w:val="2"/>
          </w:tcPr>
          <w:p>
            <w:pPr>
              <w:spacing w:after="0"/>
              <w:rPr>
                <w:sz w:val="20"/>
                <w:szCs w:val="20"/>
                <w:color w:val="auto"/>
              </w:rPr>
            </w:pPr>
            <w:r>
              <w:rPr>
                <w:rFonts w:ascii="Arial" w:cs="Arial" w:eastAsia="Arial" w:hAnsi="Arial"/>
                <w:sz w:val="20"/>
                <w:szCs w:val="20"/>
                <w:color w:val="auto"/>
              </w:rPr>
              <w:t>ARTICLE VIII - INDEMNIFICATION</w:t>
            </w:r>
          </w:p>
        </w:tc>
        <w:tc>
          <w:tcPr>
            <w:tcW w:w="9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338"/>
        </w:trPr>
        <w:tc>
          <w:tcPr>
            <w:tcW w:w="980" w:type="dxa"/>
            <w:vAlign w:val="bottom"/>
          </w:tcPr>
          <w:p>
            <w:pPr>
              <w:ind w:left="620"/>
              <w:spacing w:after="0"/>
              <w:rPr>
                <w:sz w:val="20"/>
                <w:szCs w:val="20"/>
                <w:color w:val="auto"/>
              </w:rPr>
            </w:pPr>
            <w:r>
              <w:rPr>
                <w:rFonts w:ascii="Arial" w:cs="Arial" w:eastAsia="Arial" w:hAnsi="Arial"/>
                <w:sz w:val="20"/>
                <w:szCs w:val="20"/>
                <w:color w:val="auto"/>
              </w:rPr>
              <w:t>8.1</w:t>
            </w:r>
          </w:p>
        </w:tc>
        <w:tc>
          <w:tcPr>
            <w:tcW w:w="9300" w:type="dxa"/>
            <w:vAlign w:val="bottom"/>
          </w:tcPr>
          <w:p>
            <w:pPr>
              <w:ind w:left="20"/>
              <w:spacing w:after="0"/>
              <w:rPr>
                <w:sz w:val="20"/>
                <w:szCs w:val="20"/>
                <w:color w:val="auto"/>
              </w:rPr>
            </w:pPr>
            <w:r>
              <w:rPr>
                <w:rFonts w:ascii="Arial" w:cs="Arial" w:eastAsia="Arial" w:hAnsi="Arial"/>
                <w:sz w:val="20"/>
                <w:szCs w:val="20"/>
                <w:color w:val="auto"/>
              </w:rPr>
              <w:t>INDEMNIFICATION OF DIRECTORS AND OFFICERS IN THIRD PARTY PROCEEDINGS</w:t>
            </w:r>
          </w:p>
        </w:tc>
        <w:tc>
          <w:tcPr>
            <w:tcW w:w="9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63"/>
        </w:trPr>
        <w:tc>
          <w:tcPr>
            <w:tcW w:w="980" w:type="dxa"/>
            <w:vAlign w:val="bottom"/>
          </w:tcPr>
          <w:p>
            <w:pPr>
              <w:ind w:left="620"/>
              <w:spacing w:after="0"/>
              <w:rPr>
                <w:sz w:val="20"/>
                <w:szCs w:val="20"/>
                <w:color w:val="auto"/>
              </w:rPr>
            </w:pPr>
            <w:r>
              <w:rPr>
                <w:rFonts w:ascii="Arial" w:cs="Arial" w:eastAsia="Arial" w:hAnsi="Arial"/>
                <w:sz w:val="20"/>
                <w:szCs w:val="20"/>
                <w:color w:val="auto"/>
              </w:rPr>
              <w:t>8.2</w:t>
            </w:r>
          </w:p>
        </w:tc>
        <w:tc>
          <w:tcPr>
            <w:tcW w:w="9300" w:type="dxa"/>
            <w:vAlign w:val="bottom"/>
          </w:tcPr>
          <w:p>
            <w:pPr>
              <w:ind w:left="20"/>
              <w:spacing w:after="0"/>
              <w:rPr>
                <w:sz w:val="20"/>
                <w:szCs w:val="20"/>
                <w:color w:val="auto"/>
              </w:rPr>
            </w:pPr>
            <w:r>
              <w:rPr>
                <w:rFonts w:ascii="Arial" w:cs="Arial" w:eastAsia="Arial" w:hAnsi="Arial"/>
                <w:sz w:val="20"/>
                <w:szCs w:val="20"/>
                <w:color w:val="auto"/>
              </w:rPr>
              <w:t>INDEMNIFICATION OF DIRECTORS AND OFFICERS IN ACTIONS BY OR IN THE RIGHT OF THE</w:t>
            </w:r>
          </w:p>
        </w:tc>
        <w:tc>
          <w:tcPr>
            <w:tcW w:w="9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50"/>
        </w:trPr>
        <w:tc>
          <w:tcPr>
            <w:tcW w:w="10280" w:type="dxa"/>
            <w:vAlign w:val="bottom"/>
            <w:gridSpan w:val="2"/>
          </w:tcPr>
          <w:p>
            <w:pPr>
              <w:ind w:left="600"/>
              <w:spacing w:after="0"/>
              <w:rPr>
                <w:sz w:val="20"/>
                <w:szCs w:val="20"/>
                <w:color w:val="auto"/>
              </w:rPr>
            </w:pPr>
            <w:r>
              <w:rPr>
                <w:rFonts w:ascii="Arial" w:cs="Arial" w:eastAsia="Arial" w:hAnsi="Arial"/>
                <w:sz w:val="20"/>
                <w:szCs w:val="20"/>
                <w:color w:val="auto"/>
              </w:rPr>
              <w:t>CORPORATION</w:t>
            </w:r>
          </w:p>
        </w:tc>
        <w:tc>
          <w:tcPr>
            <w:tcW w:w="900" w:type="dxa"/>
            <w:vAlign w:val="bottom"/>
          </w:tcPr>
          <w:p>
            <w:pPr>
              <w:spacing w:after="0"/>
              <w:rPr>
                <w:sz w:val="21"/>
                <w:szCs w:val="21"/>
                <w:color w:val="auto"/>
              </w:rPr>
            </w:pPr>
          </w:p>
        </w:tc>
      </w:tr>
      <w:tr>
        <w:trPr>
          <w:trHeight w:val="283"/>
        </w:trPr>
        <w:tc>
          <w:tcPr>
            <w:tcW w:w="980" w:type="dxa"/>
            <w:vAlign w:val="bottom"/>
          </w:tcPr>
          <w:p>
            <w:pPr>
              <w:ind w:left="620"/>
              <w:spacing w:after="0"/>
              <w:rPr>
                <w:sz w:val="20"/>
                <w:szCs w:val="20"/>
                <w:color w:val="auto"/>
              </w:rPr>
            </w:pPr>
            <w:r>
              <w:rPr>
                <w:rFonts w:ascii="Arial" w:cs="Arial" w:eastAsia="Arial" w:hAnsi="Arial"/>
                <w:sz w:val="20"/>
                <w:szCs w:val="20"/>
                <w:color w:val="auto"/>
              </w:rPr>
              <w:t>8.3</w:t>
            </w:r>
          </w:p>
        </w:tc>
        <w:tc>
          <w:tcPr>
            <w:tcW w:w="9300" w:type="dxa"/>
            <w:vAlign w:val="bottom"/>
          </w:tcPr>
          <w:p>
            <w:pPr>
              <w:ind w:left="20"/>
              <w:spacing w:after="0"/>
              <w:rPr>
                <w:sz w:val="20"/>
                <w:szCs w:val="20"/>
                <w:color w:val="auto"/>
              </w:rPr>
            </w:pPr>
            <w:r>
              <w:rPr>
                <w:rFonts w:ascii="Arial" w:cs="Arial" w:eastAsia="Arial" w:hAnsi="Arial"/>
                <w:sz w:val="20"/>
                <w:szCs w:val="20"/>
                <w:color w:val="auto"/>
              </w:rPr>
              <w:t>SUCCESSFUL DEFENSE</w:t>
            </w:r>
          </w:p>
        </w:tc>
        <w:tc>
          <w:tcPr>
            <w:tcW w:w="9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3"/>
        </w:trPr>
        <w:tc>
          <w:tcPr>
            <w:tcW w:w="980" w:type="dxa"/>
            <w:vAlign w:val="bottom"/>
          </w:tcPr>
          <w:p>
            <w:pPr>
              <w:ind w:left="620"/>
              <w:spacing w:after="0"/>
              <w:rPr>
                <w:sz w:val="20"/>
                <w:szCs w:val="20"/>
                <w:color w:val="auto"/>
              </w:rPr>
            </w:pPr>
            <w:r>
              <w:rPr>
                <w:rFonts w:ascii="Arial" w:cs="Arial" w:eastAsia="Arial" w:hAnsi="Arial"/>
                <w:sz w:val="20"/>
                <w:szCs w:val="20"/>
                <w:color w:val="auto"/>
              </w:rPr>
              <w:t>8.4</w:t>
            </w:r>
          </w:p>
        </w:tc>
        <w:tc>
          <w:tcPr>
            <w:tcW w:w="9300" w:type="dxa"/>
            <w:vAlign w:val="bottom"/>
          </w:tcPr>
          <w:p>
            <w:pPr>
              <w:ind w:left="20"/>
              <w:spacing w:after="0"/>
              <w:rPr>
                <w:sz w:val="20"/>
                <w:szCs w:val="20"/>
                <w:color w:val="auto"/>
              </w:rPr>
            </w:pPr>
            <w:r>
              <w:rPr>
                <w:rFonts w:ascii="Arial" w:cs="Arial" w:eastAsia="Arial" w:hAnsi="Arial"/>
                <w:sz w:val="20"/>
                <w:szCs w:val="20"/>
                <w:color w:val="auto"/>
              </w:rPr>
              <w:t>INDEMNIFICATION OF OTHERS</w:t>
            </w:r>
          </w:p>
        </w:tc>
        <w:tc>
          <w:tcPr>
            <w:tcW w:w="9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4"/>
        </w:trPr>
        <w:tc>
          <w:tcPr>
            <w:tcW w:w="980" w:type="dxa"/>
            <w:vAlign w:val="bottom"/>
          </w:tcPr>
          <w:p>
            <w:pPr>
              <w:ind w:left="620"/>
              <w:spacing w:after="0"/>
              <w:rPr>
                <w:sz w:val="20"/>
                <w:szCs w:val="20"/>
                <w:color w:val="auto"/>
              </w:rPr>
            </w:pPr>
            <w:r>
              <w:rPr>
                <w:rFonts w:ascii="Arial" w:cs="Arial" w:eastAsia="Arial" w:hAnsi="Arial"/>
                <w:sz w:val="20"/>
                <w:szCs w:val="20"/>
                <w:color w:val="auto"/>
              </w:rPr>
              <w:t>8.5</w:t>
            </w:r>
          </w:p>
        </w:tc>
        <w:tc>
          <w:tcPr>
            <w:tcW w:w="9300" w:type="dxa"/>
            <w:vAlign w:val="bottom"/>
          </w:tcPr>
          <w:p>
            <w:pPr>
              <w:ind w:left="20"/>
              <w:spacing w:after="0"/>
              <w:rPr>
                <w:sz w:val="20"/>
                <w:szCs w:val="20"/>
                <w:color w:val="auto"/>
              </w:rPr>
            </w:pPr>
            <w:r>
              <w:rPr>
                <w:rFonts w:ascii="Arial" w:cs="Arial" w:eastAsia="Arial" w:hAnsi="Arial"/>
                <w:sz w:val="20"/>
                <w:szCs w:val="20"/>
                <w:color w:val="auto"/>
              </w:rPr>
              <w:t>ADVANCED PAYMENT OF EXPENSES</w:t>
            </w:r>
          </w:p>
        </w:tc>
        <w:tc>
          <w:tcPr>
            <w:tcW w:w="9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3"/>
        </w:trPr>
        <w:tc>
          <w:tcPr>
            <w:tcW w:w="980" w:type="dxa"/>
            <w:vAlign w:val="bottom"/>
          </w:tcPr>
          <w:p>
            <w:pPr>
              <w:ind w:left="620"/>
              <w:spacing w:after="0"/>
              <w:rPr>
                <w:sz w:val="20"/>
                <w:szCs w:val="20"/>
                <w:color w:val="auto"/>
              </w:rPr>
            </w:pPr>
            <w:r>
              <w:rPr>
                <w:rFonts w:ascii="Arial" w:cs="Arial" w:eastAsia="Arial" w:hAnsi="Arial"/>
                <w:sz w:val="20"/>
                <w:szCs w:val="20"/>
                <w:color w:val="auto"/>
              </w:rPr>
              <w:t>8.6</w:t>
            </w:r>
          </w:p>
        </w:tc>
        <w:tc>
          <w:tcPr>
            <w:tcW w:w="9300" w:type="dxa"/>
            <w:vAlign w:val="bottom"/>
          </w:tcPr>
          <w:p>
            <w:pPr>
              <w:ind w:left="20"/>
              <w:spacing w:after="0"/>
              <w:rPr>
                <w:sz w:val="20"/>
                <w:szCs w:val="20"/>
                <w:color w:val="auto"/>
              </w:rPr>
            </w:pPr>
            <w:r>
              <w:rPr>
                <w:rFonts w:ascii="Arial" w:cs="Arial" w:eastAsia="Arial" w:hAnsi="Arial"/>
                <w:sz w:val="20"/>
                <w:szCs w:val="20"/>
                <w:color w:val="auto"/>
              </w:rPr>
              <w:t>LIMITATION ON INDEMNIFICATION</w:t>
            </w:r>
          </w:p>
        </w:tc>
        <w:tc>
          <w:tcPr>
            <w:tcW w:w="9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4"/>
        </w:trPr>
        <w:tc>
          <w:tcPr>
            <w:tcW w:w="980" w:type="dxa"/>
            <w:vAlign w:val="bottom"/>
          </w:tcPr>
          <w:p>
            <w:pPr>
              <w:ind w:left="620"/>
              <w:spacing w:after="0"/>
              <w:rPr>
                <w:sz w:val="20"/>
                <w:szCs w:val="20"/>
                <w:color w:val="auto"/>
              </w:rPr>
            </w:pPr>
            <w:r>
              <w:rPr>
                <w:rFonts w:ascii="Arial" w:cs="Arial" w:eastAsia="Arial" w:hAnsi="Arial"/>
                <w:sz w:val="20"/>
                <w:szCs w:val="20"/>
                <w:color w:val="auto"/>
              </w:rPr>
              <w:t>8.7</w:t>
            </w:r>
          </w:p>
        </w:tc>
        <w:tc>
          <w:tcPr>
            <w:tcW w:w="9300" w:type="dxa"/>
            <w:vAlign w:val="bottom"/>
          </w:tcPr>
          <w:p>
            <w:pPr>
              <w:ind w:left="20"/>
              <w:spacing w:after="0"/>
              <w:rPr>
                <w:sz w:val="20"/>
                <w:szCs w:val="20"/>
                <w:color w:val="auto"/>
              </w:rPr>
            </w:pPr>
            <w:r>
              <w:rPr>
                <w:rFonts w:ascii="Arial" w:cs="Arial" w:eastAsia="Arial" w:hAnsi="Arial"/>
                <w:sz w:val="20"/>
                <w:szCs w:val="20"/>
                <w:color w:val="auto"/>
              </w:rPr>
              <w:t>DETERMINATION; CLAIM</w:t>
            </w:r>
          </w:p>
        </w:tc>
        <w:tc>
          <w:tcPr>
            <w:tcW w:w="9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3"/>
        </w:trPr>
        <w:tc>
          <w:tcPr>
            <w:tcW w:w="980" w:type="dxa"/>
            <w:vAlign w:val="bottom"/>
          </w:tcPr>
          <w:p>
            <w:pPr>
              <w:ind w:left="620"/>
              <w:spacing w:after="0"/>
              <w:rPr>
                <w:sz w:val="20"/>
                <w:szCs w:val="20"/>
                <w:color w:val="auto"/>
              </w:rPr>
            </w:pPr>
            <w:r>
              <w:rPr>
                <w:rFonts w:ascii="Arial" w:cs="Arial" w:eastAsia="Arial" w:hAnsi="Arial"/>
                <w:sz w:val="20"/>
                <w:szCs w:val="20"/>
                <w:color w:val="auto"/>
              </w:rPr>
              <w:t>8.8</w:t>
            </w:r>
          </w:p>
        </w:tc>
        <w:tc>
          <w:tcPr>
            <w:tcW w:w="9300" w:type="dxa"/>
            <w:vAlign w:val="bottom"/>
          </w:tcPr>
          <w:p>
            <w:pPr>
              <w:ind w:left="20"/>
              <w:spacing w:after="0"/>
              <w:rPr>
                <w:sz w:val="20"/>
                <w:szCs w:val="20"/>
                <w:color w:val="auto"/>
              </w:rPr>
            </w:pPr>
            <w:r>
              <w:rPr>
                <w:rFonts w:ascii="Arial" w:cs="Arial" w:eastAsia="Arial" w:hAnsi="Arial"/>
                <w:sz w:val="20"/>
                <w:szCs w:val="20"/>
                <w:color w:val="auto"/>
              </w:rPr>
              <w:t>NON-EXCLUSIVITY OF RIGHTS</w:t>
            </w:r>
          </w:p>
        </w:tc>
        <w:tc>
          <w:tcPr>
            <w:tcW w:w="9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3"/>
        </w:trPr>
        <w:tc>
          <w:tcPr>
            <w:tcW w:w="980" w:type="dxa"/>
            <w:vAlign w:val="bottom"/>
          </w:tcPr>
          <w:p>
            <w:pPr>
              <w:ind w:left="620"/>
              <w:spacing w:after="0"/>
              <w:rPr>
                <w:sz w:val="20"/>
                <w:szCs w:val="20"/>
                <w:color w:val="auto"/>
              </w:rPr>
            </w:pPr>
            <w:r>
              <w:rPr>
                <w:rFonts w:ascii="Arial" w:cs="Arial" w:eastAsia="Arial" w:hAnsi="Arial"/>
                <w:sz w:val="20"/>
                <w:szCs w:val="20"/>
                <w:color w:val="auto"/>
              </w:rPr>
              <w:t>8.9</w:t>
            </w:r>
          </w:p>
        </w:tc>
        <w:tc>
          <w:tcPr>
            <w:tcW w:w="9300" w:type="dxa"/>
            <w:vAlign w:val="bottom"/>
          </w:tcPr>
          <w:p>
            <w:pPr>
              <w:ind w:left="20"/>
              <w:spacing w:after="0"/>
              <w:rPr>
                <w:sz w:val="20"/>
                <w:szCs w:val="20"/>
                <w:color w:val="auto"/>
              </w:rPr>
            </w:pPr>
            <w:r>
              <w:rPr>
                <w:rFonts w:ascii="Arial" w:cs="Arial" w:eastAsia="Arial" w:hAnsi="Arial"/>
                <w:sz w:val="20"/>
                <w:szCs w:val="20"/>
                <w:color w:val="auto"/>
              </w:rPr>
              <w:t>INSURANCE</w:t>
            </w:r>
          </w:p>
        </w:tc>
        <w:tc>
          <w:tcPr>
            <w:tcW w:w="9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4"/>
        </w:trPr>
        <w:tc>
          <w:tcPr>
            <w:tcW w:w="980" w:type="dxa"/>
            <w:vAlign w:val="bottom"/>
          </w:tcPr>
          <w:p>
            <w:pPr>
              <w:ind w:left="620"/>
              <w:spacing w:after="0"/>
              <w:rPr>
                <w:sz w:val="20"/>
                <w:szCs w:val="20"/>
                <w:color w:val="auto"/>
              </w:rPr>
            </w:pPr>
            <w:r>
              <w:rPr>
                <w:rFonts w:ascii="Arial" w:cs="Arial" w:eastAsia="Arial" w:hAnsi="Arial"/>
                <w:sz w:val="20"/>
                <w:szCs w:val="20"/>
                <w:color w:val="auto"/>
                <w:w w:val="87"/>
              </w:rPr>
              <w:t>8.10</w:t>
            </w:r>
          </w:p>
        </w:tc>
        <w:tc>
          <w:tcPr>
            <w:tcW w:w="9300" w:type="dxa"/>
            <w:vAlign w:val="bottom"/>
          </w:tcPr>
          <w:p>
            <w:pPr>
              <w:ind w:left="120"/>
              <w:spacing w:after="0"/>
              <w:rPr>
                <w:sz w:val="20"/>
                <w:szCs w:val="20"/>
                <w:color w:val="auto"/>
              </w:rPr>
            </w:pPr>
            <w:r>
              <w:rPr>
                <w:rFonts w:ascii="Arial" w:cs="Arial" w:eastAsia="Arial" w:hAnsi="Arial"/>
                <w:sz w:val="20"/>
                <w:szCs w:val="20"/>
                <w:color w:val="auto"/>
              </w:rPr>
              <w:t>SURVIVAL</w:t>
            </w:r>
          </w:p>
        </w:tc>
        <w:tc>
          <w:tcPr>
            <w:tcW w:w="9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3"/>
        </w:trPr>
        <w:tc>
          <w:tcPr>
            <w:tcW w:w="10280" w:type="dxa"/>
            <w:vAlign w:val="bottom"/>
            <w:gridSpan w:val="2"/>
          </w:tcPr>
          <w:p>
            <w:pPr>
              <w:ind w:left="620"/>
              <w:spacing w:after="0"/>
              <w:rPr>
                <w:sz w:val="20"/>
                <w:szCs w:val="20"/>
                <w:color w:val="auto"/>
              </w:rPr>
            </w:pPr>
            <w:r>
              <w:rPr>
                <w:rFonts w:ascii="Arial" w:cs="Arial" w:eastAsia="Arial" w:hAnsi="Arial"/>
                <w:sz w:val="20"/>
                <w:szCs w:val="20"/>
                <w:color w:val="auto"/>
              </w:rPr>
              <w:t>8.11  EFFECT OF REPEAL OR MODIFICATION</w:t>
            </w:r>
          </w:p>
        </w:tc>
        <w:tc>
          <w:tcPr>
            <w:tcW w:w="9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83"/>
        </w:trPr>
        <w:tc>
          <w:tcPr>
            <w:tcW w:w="980" w:type="dxa"/>
            <w:vAlign w:val="bottom"/>
          </w:tcPr>
          <w:p>
            <w:pPr>
              <w:ind w:left="620"/>
              <w:spacing w:after="0"/>
              <w:rPr>
                <w:sz w:val="20"/>
                <w:szCs w:val="20"/>
                <w:color w:val="auto"/>
              </w:rPr>
            </w:pPr>
            <w:r>
              <w:rPr>
                <w:rFonts w:ascii="Arial" w:cs="Arial" w:eastAsia="Arial" w:hAnsi="Arial"/>
                <w:sz w:val="20"/>
                <w:szCs w:val="20"/>
                <w:color w:val="auto"/>
                <w:w w:val="87"/>
              </w:rPr>
              <w:t>8.12</w:t>
            </w:r>
          </w:p>
        </w:tc>
        <w:tc>
          <w:tcPr>
            <w:tcW w:w="9300" w:type="dxa"/>
            <w:vAlign w:val="bottom"/>
          </w:tcPr>
          <w:p>
            <w:pPr>
              <w:ind w:left="120"/>
              <w:spacing w:after="0"/>
              <w:rPr>
                <w:sz w:val="20"/>
                <w:szCs w:val="20"/>
                <w:color w:val="auto"/>
              </w:rPr>
            </w:pPr>
            <w:r>
              <w:rPr>
                <w:rFonts w:ascii="Arial" w:cs="Arial" w:eastAsia="Arial" w:hAnsi="Arial"/>
                <w:sz w:val="20"/>
                <w:szCs w:val="20"/>
                <w:color w:val="auto"/>
              </w:rPr>
              <w:t>CERTAIN DEFINITIONS</w:t>
            </w:r>
          </w:p>
        </w:tc>
        <w:tc>
          <w:tcPr>
            <w:tcW w:w="9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338"/>
        </w:trPr>
        <w:tc>
          <w:tcPr>
            <w:tcW w:w="10280" w:type="dxa"/>
            <w:vAlign w:val="bottom"/>
            <w:gridSpan w:val="2"/>
          </w:tcPr>
          <w:p>
            <w:pPr>
              <w:spacing w:after="0"/>
              <w:rPr>
                <w:sz w:val="20"/>
                <w:szCs w:val="20"/>
                <w:color w:val="auto"/>
              </w:rPr>
            </w:pPr>
            <w:r>
              <w:rPr>
                <w:rFonts w:ascii="Arial" w:cs="Arial" w:eastAsia="Arial" w:hAnsi="Arial"/>
                <w:sz w:val="20"/>
                <w:szCs w:val="20"/>
                <w:color w:val="auto"/>
              </w:rPr>
              <w:t>ARTICLE IX - GENERAL MATTERS</w:t>
            </w:r>
          </w:p>
        </w:tc>
        <w:tc>
          <w:tcPr>
            <w:tcW w:w="9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338"/>
        </w:trPr>
        <w:tc>
          <w:tcPr>
            <w:tcW w:w="980" w:type="dxa"/>
            <w:vAlign w:val="bottom"/>
          </w:tcPr>
          <w:p>
            <w:pPr>
              <w:ind w:left="620"/>
              <w:spacing w:after="0"/>
              <w:rPr>
                <w:sz w:val="20"/>
                <w:szCs w:val="20"/>
                <w:color w:val="auto"/>
              </w:rPr>
            </w:pPr>
            <w:r>
              <w:rPr>
                <w:rFonts w:ascii="Arial" w:cs="Arial" w:eastAsia="Arial" w:hAnsi="Arial"/>
                <w:sz w:val="20"/>
                <w:szCs w:val="20"/>
                <w:color w:val="auto"/>
              </w:rPr>
              <w:t>9.1</w:t>
            </w:r>
          </w:p>
        </w:tc>
        <w:tc>
          <w:tcPr>
            <w:tcW w:w="9300" w:type="dxa"/>
            <w:vAlign w:val="bottom"/>
          </w:tcPr>
          <w:p>
            <w:pPr>
              <w:ind w:left="20"/>
              <w:spacing w:after="0"/>
              <w:rPr>
                <w:sz w:val="20"/>
                <w:szCs w:val="20"/>
                <w:color w:val="auto"/>
              </w:rPr>
            </w:pPr>
            <w:r>
              <w:rPr>
                <w:rFonts w:ascii="Arial" w:cs="Arial" w:eastAsia="Arial" w:hAnsi="Arial"/>
                <w:sz w:val="20"/>
                <w:szCs w:val="20"/>
                <w:color w:val="auto"/>
              </w:rPr>
              <w:t>EXECUTION OF CORPORATE CONTRACTS AND INSTRUMENTS</w:t>
            </w:r>
          </w:p>
        </w:tc>
        <w:tc>
          <w:tcPr>
            <w:tcW w:w="9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84"/>
        </w:trPr>
        <w:tc>
          <w:tcPr>
            <w:tcW w:w="980" w:type="dxa"/>
            <w:vAlign w:val="bottom"/>
          </w:tcPr>
          <w:p>
            <w:pPr>
              <w:ind w:left="620"/>
              <w:spacing w:after="0"/>
              <w:rPr>
                <w:sz w:val="20"/>
                <w:szCs w:val="20"/>
                <w:color w:val="auto"/>
              </w:rPr>
            </w:pPr>
            <w:r>
              <w:rPr>
                <w:rFonts w:ascii="Arial" w:cs="Arial" w:eastAsia="Arial" w:hAnsi="Arial"/>
                <w:sz w:val="20"/>
                <w:szCs w:val="20"/>
                <w:color w:val="auto"/>
              </w:rPr>
              <w:t>9.2</w:t>
            </w:r>
          </w:p>
        </w:tc>
        <w:tc>
          <w:tcPr>
            <w:tcW w:w="9300" w:type="dxa"/>
            <w:vAlign w:val="bottom"/>
          </w:tcPr>
          <w:p>
            <w:pPr>
              <w:ind w:left="20"/>
              <w:spacing w:after="0"/>
              <w:rPr>
                <w:sz w:val="20"/>
                <w:szCs w:val="20"/>
                <w:color w:val="auto"/>
              </w:rPr>
            </w:pPr>
            <w:r>
              <w:rPr>
                <w:rFonts w:ascii="Arial" w:cs="Arial" w:eastAsia="Arial" w:hAnsi="Arial"/>
                <w:sz w:val="20"/>
                <w:szCs w:val="20"/>
                <w:color w:val="auto"/>
              </w:rPr>
              <w:t>FISCAL YEAR</w:t>
            </w:r>
          </w:p>
        </w:tc>
        <w:tc>
          <w:tcPr>
            <w:tcW w:w="9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4"/>
        </w:trPr>
        <w:tc>
          <w:tcPr>
            <w:tcW w:w="980" w:type="dxa"/>
            <w:vAlign w:val="bottom"/>
          </w:tcPr>
          <w:p>
            <w:pPr>
              <w:ind w:left="620"/>
              <w:spacing w:after="0"/>
              <w:rPr>
                <w:sz w:val="20"/>
                <w:szCs w:val="20"/>
                <w:color w:val="auto"/>
              </w:rPr>
            </w:pPr>
            <w:r>
              <w:rPr>
                <w:rFonts w:ascii="Arial" w:cs="Arial" w:eastAsia="Arial" w:hAnsi="Arial"/>
                <w:sz w:val="20"/>
                <w:szCs w:val="20"/>
                <w:color w:val="auto"/>
              </w:rPr>
              <w:t>9.3</w:t>
            </w:r>
          </w:p>
        </w:tc>
        <w:tc>
          <w:tcPr>
            <w:tcW w:w="9300" w:type="dxa"/>
            <w:vAlign w:val="bottom"/>
          </w:tcPr>
          <w:p>
            <w:pPr>
              <w:ind w:left="20"/>
              <w:spacing w:after="0"/>
              <w:rPr>
                <w:sz w:val="20"/>
                <w:szCs w:val="20"/>
                <w:color w:val="auto"/>
              </w:rPr>
            </w:pPr>
            <w:r>
              <w:rPr>
                <w:rFonts w:ascii="Arial" w:cs="Arial" w:eastAsia="Arial" w:hAnsi="Arial"/>
                <w:sz w:val="20"/>
                <w:szCs w:val="20"/>
                <w:color w:val="auto"/>
              </w:rPr>
              <w:t>SEAL</w:t>
            </w:r>
          </w:p>
        </w:tc>
        <w:tc>
          <w:tcPr>
            <w:tcW w:w="9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83"/>
        </w:trPr>
        <w:tc>
          <w:tcPr>
            <w:tcW w:w="980" w:type="dxa"/>
            <w:vAlign w:val="bottom"/>
          </w:tcPr>
          <w:p>
            <w:pPr>
              <w:ind w:left="620"/>
              <w:spacing w:after="0"/>
              <w:rPr>
                <w:sz w:val="20"/>
                <w:szCs w:val="20"/>
                <w:color w:val="auto"/>
              </w:rPr>
            </w:pPr>
            <w:r>
              <w:rPr>
                <w:rFonts w:ascii="Arial" w:cs="Arial" w:eastAsia="Arial" w:hAnsi="Arial"/>
                <w:sz w:val="20"/>
                <w:szCs w:val="20"/>
                <w:color w:val="auto"/>
              </w:rPr>
              <w:t>9.4</w:t>
            </w:r>
          </w:p>
        </w:tc>
        <w:tc>
          <w:tcPr>
            <w:tcW w:w="9300" w:type="dxa"/>
            <w:vAlign w:val="bottom"/>
          </w:tcPr>
          <w:p>
            <w:pPr>
              <w:ind w:left="80"/>
              <w:spacing w:after="0"/>
              <w:rPr>
                <w:sz w:val="20"/>
                <w:szCs w:val="20"/>
                <w:color w:val="auto"/>
              </w:rPr>
            </w:pPr>
            <w:r>
              <w:rPr>
                <w:rFonts w:ascii="Arial" w:cs="Arial" w:eastAsia="Arial" w:hAnsi="Arial"/>
                <w:sz w:val="20"/>
                <w:szCs w:val="20"/>
                <w:color w:val="auto"/>
              </w:rPr>
              <w:t>CONSTRUCTION; DEFINITIONS</w:t>
            </w:r>
          </w:p>
        </w:tc>
        <w:tc>
          <w:tcPr>
            <w:tcW w:w="9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338"/>
        </w:trPr>
        <w:tc>
          <w:tcPr>
            <w:tcW w:w="10280" w:type="dxa"/>
            <w:vAlign w:val="bottom"/>
            <w:gridSpan w:val="2"/>
          </w:tcPr>
          <w:p>
            <w:pPr>
              <w:spacing w:after="0"/>
              <w:rPr>
                <w:sz w:val="20"/>
                <w:szCs w:val="20"/>
                <w:color w:val="auto"/>
              </w:rPr>
            </w:pPr>
            <w:r>
              <w:rPr>
                <w:rFonts w:ascii="Arial" w:cs="Arial" w:eastAsia="Arial" w:hAnsi="Arial"/>
                <w:sz w:val="20"/>
                <w:szCs w:val="20"/>
                <w:color w:val="auto"/>
              </w:rPr>
              <w:t>ARTICLE X - AMENDMENTS</w:t>
            </w:r>
          </w:p>
        </w:tc>
        <w:tc>
          <w:tcPr>
            <w:tcW w:w="9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338"/>
        </w:trPr>
        <w:tc>
          <w:tcPr>
            <w:tcW w:w="10280" w:type="dxa"/>
            <w:vAlign w:val="bottom"/>
            <w:gridSpan w:val="2"/>
          </w:tcPr>
          <w:p>
            <w:pPr>
              <w:spacing w:after="0"/>
              <w:rPr>
                <w:sz w:val="20"/>
                <w:szCs w:val="20"/>
                <w:color w:val="auto"/>
              </w:rPr>
            </w:pPr>
            <w:r>
              <w:rPr>
                <w:rFonts w:ascii="Arial" w:cs="Arial" w:eastAsia="Arial" w:hAnsi="Arial"/>
                <w:sz w:val="20"/>
                <w:szCs w:val="20"/>
                <w:color w:val="auto"/>
              </w:rPr>
              <w:t>ARTICLE XI - EXCLUSIVE FORUM</w:t>
            </w:r>
          </w:p>
        </w:tc>
        <w:tc>
          <w:tcPr>
            <w:tcW w:w="900" w:type="dxa"/>
            <w:vAlign w:val="bottom"/>
          </w:tcPr>
          <w:p>
            <w:pPr>
              <w:jc w:val="right"/>
              <w:spacing w:after="0"/>
              <w:rPr>
                <w:sz w:val="20"/>
                <w:szCs w:val="20"/>
                <w:color w:val="auto"/>
              </w:rPr>
            </w:pPr>
            <w:r>
              <w:rPr>
                <w:rFonts w:ascii="Arial" w:cs="Arial" w:eastAsia="Arial" w:hAnsi="Arial"/>
                <w:sz w:val="20"/>
                <w:szCs w:val="20"/>
                <w:color w:val="auto"/>
              </w:rPr>
              <w:t>26</w:t>
            </w:r>
          </w:p>
        </w:tc>
      </w:tr>
    </w:tbl>
    <w:p>
      <w:pPr>
        <w:spacing w:after="0" w:line="200" w:lineRule="exact"/>
        <w:rPr>
          <w:sz w:val="20"/>
          <w:szCs w:val="20"/>
          <w:color w:val="auto"/>
        </w:rPr>
      </w:pPr>
    </w:p>
    <w:p>
      <w:pPr>
        <w:sectPr>
          <w:pgSz w:w="11900" w:h="16838" w:orient="portrait"/>
          <w:cols w:equalWidth="0" w:num="1">
            <w:col w:w="11200"/>
          </w:cols>
          <w:pgMar w:left="36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1200"/>
          </w:cols>
          <w:pgMar w:left="360" w:top="118" w:right="339" w:bottom="1440" w:gutter="0" w:footer="0" w:header="0"/>
          <w:type w:val="continuous"/>
        </w:sectPr>
      </w:pPr>
    </w:p>
    <w:bookmarkStart w:id="19" w:name="page20"/>
    <w:bookmarkEnd w:id="19"/>
    <w:p>
      <w:pPr>
        <w:spacing w:after="0" w:line="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BYLAWS OF SEER,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182245</wp:posOffset>
            </wp:positionV>
            <wp:extent cx="21774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77415"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208280</wp:posOffset>
            </wp:positionV>
            <wp:extent cx="2177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ARTICLE I - CORPORATE OFFICES</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REGISTERED OFFICE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registered office of Seer, Inc. shall be fixed in the corporation’s certificate of incorporation, as the same may be amended from time to time.</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OTHER OFFICES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corporation’s board of directors may at any time establish other offices at any place or places where the corporation is qualified to do business.</w:t>
      </w:r>
    </w:p>
    <w:p>
      <w:pPr>
        <w:spacing w:after="0" w:line="169" w:lineRule="exact"/>
        <w:rPr>
          <w:sz w:val="20"/>
          <w:szCs w:val="20"/>
          <w:color w:val="auto"/>
        </w:rPr>
      </w:pPr>
    </w:p>
    <w:p>
      <w:pPr>
        <w:ind w:left="660" w:right="3080" w:firstLine="2750"/>
        <w:spacing w:after="0" w:line="451" w:lineRule="auto"/>
        <w:rPr>
          <w:sz w:val="20"/>
          <w:szCs w:val="20"/>
          <w:color w:val="auto"/>
        </w:rPr>
      </w:pPr>
      <w:r>
        <w:rPr>
          <w:rFonts w:ascii="Arial" w:cs="Arial" w:eastAsia="Arial" w:hAnsi="Arial"/>
          <w:sz w:val="22"/>
          <w:szCs w:val="22"/>
          <w:b w:val="1"/>
          <w:bCs w:val="1"/>
          <w:color w:val="auto"/>
        </w:rPr>
        <w:t xml:space="preserve">ARTICLE II - MEETINGS OF STOCKHOLDERS </w:t>
      </w:r>
      <w:r>
        <w:rPr>
          <w:rFonts w:ascii="Arial" w:cs="Arial" w:eastAsia="Arial" w:hAnsi="Arial"/>
          <w:sz w:val="22"/>
          <w:szCs w:val="22"/>
          <w:color w:val="auto"/>
        </w:rPr>
        <w:t>2.1 PLACE OF MEETINGS</w:t>
      </w:r>
    </w:p>
    <w:p>
      <w:pPr>
        <w:jc w:val="both"/>
        <w:ind w:firstLine="648"/>
        <w:spacing w:after="0" w:line="248" w:lineRule="auto"/>
        <w:rPr>
          <w:sz w:val="20"/>
          <w:szCs w:val="20"/>
          <w:color w:val="auto"/>
        </w:rPr>
      </w:pPr>
      <w:r>
        <w:rPr>
          <w:rFonts w:ascii="Arial" w:cs="Arial" w:eastAsia="Arial" w:hAnsi="Arial"/>
          <w:sz w:val="22"/>
          <w:szCs w:val="22"/>
          <w:color w:val="auto"/>
        </w:rPr>
        <w:t>Meetings of stockholders shall be held at any place, within or outside the State of Delaware, determined by the board of directors. The board of directors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22"/>
          <w:szCs w:val="22"/>
          <w:b w:val="1"/>
          <w:bCs w:val="1"/>
          <w:color w:val="auto"/>
        </w:rPr>
        <w:t>DGCL</w:t>
      </w:r>
      <w:r>
        <w:rPr>
          <w:rFonts w:ascii="Arial" w:cs="Arial" w:eastAsia="Arial" w:hAnsi="Arial"/>
          <w:sz w:val="22"/>
          <w:szCs w:val="22"/>
          <w:color w:val="auto"/>
        </w:rPr>
        <w:t>”). In the absence of any such designation or determination, stockholders’ meetings shall be held at the corporation’s principal executive office.</w:t>
      </w:r>
    </w:p>
    <w:p>
      <w:pPr>
        <w:spacing w:after="0" w:line="19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1"/>
          <w:szCs w:val="21"/>
          <w:color w:val="auto"/>
        </w:rPr>
        <w:t>ANNUAL MEETING</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annual meeting of stockholders shall be held at such place, on such day and at such time as may be fixed by the board of directors each year. At the annual meeting, directors shall be elected and any other proper business may be transacted.</w:t>
      </w:r>
    </w:p>
    <w:p>
      <w:pPr>
        <w:spacing w:after="0" w:line="10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SPECIAL MEETING</w:t>
      </w:r>
    </w:p>
    <w:p>
      <w:pPr>
        <w:spacing w:after="0" w:line="220" w:lineRule="exact"/>
        <w:rPr>
          <w:sz w:val="20"/>
          <w:szCs w:val="20"/>
          <w:color w:val="auto"/>
        </w:rPr>
      </w:pPr>
    </w:p>
    <w:p>
      <w:pPr>
        <w:ind w:left="1940" w:hanging="636"/>
        <w:spacing w:after="0"/>
        <w:tabs>
          <w:tab w:leader="none" w:pos="1940" w:val="left"/>
        </w:tabs>
        <w:numPr>
          <w:ilvl w:val="1"/>
          <w:numId w:val="11"/>
        </w:numPr>
        <w:rPr>
          <w:rFonts w:ascii="Arial" w:cs="Arial" w:eastAsia="Arial" w:hAnsi="Arial"/>
          <w:sz w:val="19"/>
          <w:szCs w:val="19"/>
          <w:color w:val="auto"/>
        </w:rPr>
      </w:pPr>
      <w:r>
        <w:rPr>
          <w:rFonts w:ascii="Arial" w:cs="Arial" w:eastAsia="Arial" w:hAnsi="Arial"/>
          <w:sz w:val="19"/>
          <w:szCs w:val="19"/>
          <w:color w:val="auto"/>
        </w:rPr>
        <w:t>A special meeting of the stockholders, other than those required by statute, may be called at any time by</w:t>
      </w:r>
    </w:p>
    <w:p>
      <w:pPr>
        <w:spacing w:after="0" w:line="55" w:lineRule="exact"/>
        <w:rPr>
          <w:rFonts w:ascii="Arial" w:cs="Arial" w:eastAsia="Arial" w:hAnsi="Arial"/>
          <w:sz w:val="19"/>
          <w:szCs w:val="19"/>
          <w:color w:val="auto"/>
        </w:rPr>
      </w:pPr>
    </w:p>
    <w:p>
      <w:pPr>
        <w:jc w:val="both"/>
        <w:ind w:firstLine="8"/>
        <w:spacing w:after="0" w:line="244" w:lineRule="auto"/>
        <w:tabs>
          <w:tab w:leader="none" w:pos="355"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board of directors, (B) the chairperson of the board of directors, (C) the chief executive officer or (D) the president (in the absence of a chief executive officer), but a special meeting may not be called by any other person or persons. The board of directors may cancel, postpone or reschedule any previously scheduled special meeting at any time, before or after the notice for such meeting has been sent to the stockholders.</w:t>
      </w:r>
    </w:p>
    <w:p>
      <w:pPr>
        <w:spacing w:after="0" w:line="195" w:lineRule="exact"/>
        <w:rPr>
          <w:rFonts w:ascii="Arial" w:cs="Arial" w:eastAsia="Arial" w:hAnsi="Arial"/>
          <w:sz w:val="22"/>
          <w:szCs w:val="22"/>
          <w:color w:val="auto"/>
        </w:rPr>
      </w:pPr>
    </w:p>
    <w:p>
      <w:pPr>
        <w:jc w:val="both"/>
        <w:ind w:firstLine="1304"/>
        <w:spacing w:after="0" w:line="265" w:lineRule="auto"/>
        <w:tabs>
          <w:tab w:leader="none" w:pos="1938" w:val="left"/>
        </w:tabs>
        <w:numPr>
          <w:ilvl w:val="1"/>
          <w:numId w:val="12"/>
        </w:numPr>
        <w:rPr>
          <w:rFonts w:ascii="Arial" w:cs="Arial" w:eastAsia="Arial" w:hAnsi="Arial"/>
          <w:sz w:val="21"/>
          <w:szCs w:val="21"/>
          <w:color w:val="auto"/>
        </w:rPr>
      </w:pPr>
      <w:r>
        <w:rPr>
          <w:rFonts w:ascii="Arial" w:cs="Arial" w:eastAsia="Arial" w:hAnsi="Arial"/>
          <w:sz w:val="21"/>
          <w:szCs w:val="21"/>
          <w:color w:val="auto"/>
        </w:rPr>
        <w:t>The notice of a special meeting shall include the purpose for which the meeting is called. Only such business shall be conducted at a special meeting of stockholders as shall have been brought before the meeting by or at the direction of the board of directors, chairperson of the board of directors, chief executive officer or president (in the absence of a chief executive officer). Nothing contained in this Section 2.3(ii) shall be construed as limiting,</w:t>
      </w:r>
    </w:p>
    <w:p>
      <w:pPr>
        <w:sectPr>
          <w:pgSz w:w="11900" w:h="16838" w:orient="portrait"/>
          <w:cols w:equalWidth="0" w:num="1">
            <w:col w:w="11240"/>
          </w:cols>
          <w:pgMar w:left="320" w:top="1440" w:right="339" w:bottom="1440" w:gutter="0" w:footer="0" w:header="0"/>
        </w:sectPr>
      </w:pPr>
    </w:p>
    <w:bookmarkStart w:id="20" w:name="page21"/>
    <w:bookmarkEnd w:id="20"/>
    <w:p>
      <w:pPr>
        <w:spacing w:after="0"/>
        <w:rPr>
          <w:sz w:val="20"/>
          <w:szCs w:val="20"/>
          <w:color w:val="auto"/>
        </w:rPr>
      </w:pPr>
      <w:r>
        <w:rPr>
          <w:rFonts w:ascii="Arial" w:cs="Arial" w:eastAsia="Arial" w:hAnsi="Arial"/>
          <w:sz w:val="22"/>
          <w:szCs w:val="22"/>
          <w:color w:val="auto"/>
        </w:rPr>
        <w:t>fixing or affecting the time when a meeting of stockholders called by action of the board of directors may be held.</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color w:val="auto"/>
        </w:rPr>
        <w:t>ADVANCE NOTICE PROCEDURES</w:t>
      </w:r>
    </w:p>
    <w:p>
      <w:pPr>
        <w:spacing w:after="0" w:line="220" w:lineRule="exact"/>
        <w:rPr>
          <w:sz w:val="20"/>
          <w:szCs w:val="20"/>
          <w:color w:val="auto"/>
        </w:rPr>
      </w:pPr>
    </w:p>
    <w:p>
      <w:pPr>
        <w:jc w:val="both"/>
        <w:ind w:firstLine="1304"/>
        <w:spacing w:after="0" w:line="287" w:lineRule="auto"/>
        <w:tabs>
          <w:tab w:leader="none" w:pos="1932" w:val="left"/>
        </w:tabs>
        <w:numPr>
          <w:ilvl w:val="0"/>
          <w:numId w:val="13"/>
        </w:numPr>
        <w:rPr>
          <w:rFonts w:ascii="Arial" w:cs="Arial" w:eastAsia="Arial" w:hAnsi="Arial"/>
          <w:sz w:val="19"/>
          <w:szCs w:val="19"/>
          <w:color w:val="auto"/>
        </w:rPr>
      </w:pPr>
      <w:r>
        <w:rPr>
          <w:rFonts w:ascii="Arial" w:cs="Arial" w:eastAsia="Arial" w:hAnsi="Arial"/>
          <w:sz w:val="19"/>
          <w:szCs w:val="19"/>
          <w:i w:val="1"/>
          <w:iCs w:val="1"/>
          <w:color w:val="auto"/>
        </w:rPr>
        <w:t xml:space="preserve">Advance Notice of Stockholder Business. </w:t>
      </w:r>
      <w:r>
        <w:rPr>
          <w:rFonts w:ascii="Arial" w:cs="Arial" w:eastAsia="Arial" w:hAnsi="Arial"/>
          <w:sz w:val="19"/>
          <w:szCs w:val="19"/>
          <w:color w:val="auto"/>
        </w:rPr>
        <w:t>At an annual meeting of the stockholders, only such business</w:t>
      </w:r>
      <w:r>
        <w:rPr>
          <w:rFonts w:ascii="Arial" w:cs="Arial" w:eastAsia="Arial" w:hAnsi="Arial"/>
          <w:sz w:val="19"/>
          <w:szCs w:val="19"/>
          <w:i w:val="1"/>
          <w:iCs w:val="1"/>
          <w:color w:val="auto"/>
        </w:rPr>
        <w:t xml:space="preserve"> </w:t>
      </w:r>
      <w:r>
        <w:rPr>
          <w:rFonts w:ascii="Arial" w:cs="Arial" w:eastAsia="Arial" w:hAnsi="Arial"/>
          <w:sz w:val="19"/>
          <w:szCs w:val="19"/>
          <w:color w:val="auto"/>
        </w:rPr>
        <w:t>shall be conducted as shall have been properly brought before the meeting. To be properly brought before an annual meeting, business must be brought (A) pursuant to the corporation’s proxy materials with respect to such meeting, (B) by or at the direction of the board of directors, or (C) by a stockholder of the corporation who (1) is a stockholder of record at the time of the giving of the notice required by this Section 2.4(i) and on the record date for the determination of stockholders entitled to vote at the annual meeting and (2) has timely complied in proper written form with the notice procedures set forth in this Section 2.4(i). In addition, for business to be properly brought before an annual meeting by a stockholder, such business must be a proper matter for stockholder action pursuant to these bylaws and applicable law. Except for proposals properly made in accordance with Rule 14a-8 under the Securities Exchange Act of 1934, as amended (the “</w:t>
      </w:r>
      <w:r>
        <w:rPr>
          <w:rFonts w:ascii="Arial" w:cs="Arial" w:eastAsia="Arial" w:hAnsi="Arial"/>
          <w:sz w:val="19"/>
          <w:szCs w:val="19"/>
          <w:b w:val="1"/>
          <w:bCs w:val="1"/>
          <w:color w:val="auto"/>
        </w:rPr>
        <w:t>1934 Act</w:t>
      </w:r>
      <w:r>
        <w:rPr>
          <w:rFonts w:ascii="Arial" w:cs="Arial" w:eastAsia="Arial" w:hAnsi="Arial"/>
          <w:sz w:val="19"/>
          <w:szCs w:val="19"/>
          <w:color w:val="auto"/>
        </w:rPr>
        <w:t>”) and the rules and regulations thereunder (as so amended and inclusive of such rules and regulations), and included in the notice of meeting given by or at the direction of the board of directors, for the avoidance of doubt, clause (C) above shall be the exclusive means for a stockholder to bring business before an annual meeting of stockholders.</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1952"/>
        <w:spacing w:after="0" w:line="286" w:lineRule="auto"/>
        <w:tabs>
          <w:tab w:leader="none" w:pos="2589" w:val="left"/>
        </w:tabs>
        <w:numPr>
          <w:ilvl w:val="1"/>
          <w:numId w:val="13"/>
        </w:numPr>
        <w:rPr>
          <w:rFonts w:ascii="Arial" w:cs="Arial" w:eastAsia="Arial" w:hAnsi="Arial"/>
          <w:sz w:val="19"/>
          <w:szCs w:val="19"/>
          <w:color w:val="auto"/>
        </w:rPr>
      </w:pPr>
      <w:r>
        <w:rPr>
          <w:rFonts w:ascii="Arial" w:cs="Arial" w:eastAsia="Arial" w:hAnsi="Arial"/>
          <w:sz w:val="19"/>
          <w:szCs w:val="19"/>
          <w:color w:val="auto"/>
        </w:rPr>
        <w:t xml:space="preserve">To comply with clause (C) of Section 2.4(i) above, a stockholder’s notice must set forth all information required under this Section 2.4(i) and must be timely received by the secretary of the corporation. To be timely, a stockholder’s notice must be received by the secretary at the principal executive offices of the corporation not later than the 45th day nor earlier than the 75th day before the one-year anniversary of the date on which the corporation first mailed its proxy materials or a notice of availability of proxy materials (whichever is earlier) for the preceding year’s annual meeting;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the event that no annual meeting was held in the previous year or if the date of the annual meeting is advanced</w:t>
      </w:r>
      <w:r>
        <w:rPr>
          <w:rFonts w:ascii="Arial" w:cs="Arial" w:eastAsia="Arial" w:hAnsi="Arial"/>
          <w:sz w:val="19"/>
          <w:szCs w:val="19"/>
          <w:i w:val="1"/>
          <w:iCs w:val="1"/>
          <w:color w:val="auto"/>
        </w:rPr>
        <w:t xml:space="preserve"> </w:t>
      </w:r>
      <w:r>
        <w:rPr>
          <w:rFonts w:ascii="Arial" w:cs="Arial" w:eastAsia="Arial" w:hAnsi="Arial"/>
          <w:sz w:val="19"/>
          <w:szCs w:val="19"/>
          <w:color w:val="auto"/>
        </w:rPr>
        <w:t>by more than 30 days prior to or delayed by more than 60 days after the one-year anniversary of the date of the previous year’s annual meeting, then, for notice by the stockholder to be timely, it must be so received by the secretary not earlier than the close of business on the 120th day prior to such annual meeting and not later than the close of business on the later of (i) the 90th day prior to such annual meeting, or (ii) the tenth day following the day on which Public Announcement (as defined below) of the date of such annual meeting is first made. In no event shall any adjournment or postponement of an annual meeting or the announcement thereof commence a new time period for the giving of a stockholder’s notice as described in this Section 2.4(i)(a). “</w:t>
      </w:r>
      <w:r>
        <w:rPr>
          <w:rFonts w:ascii="Arial" w:cs="Arial" w:eastAsia="Arial" w:hAnsi="Arial"/>
          <w:sz w:val="19"/>
          <w:szCs w:val="19"/>
          <w:b w:val="1"/>
          <w:bCs w:val="1"/>
          <w:color w:val="auto"/>
        </w:rPr>
        <w:t>Public Announcement</w:t>
      </w:r>
      <w:r>
        <w:rPr>
          <w:rFonts w:ascii="Arial" w:cs="Arial" w:eastAsia="Arial" w:hAnsi="Arial"/>
          <w:sz w:val="19"/>
          <w:szCs w:val="19"/>
          <w:color w:val="auto"/>
        </w:rPr>
        <w:t>” shall mean disclosure in a press release reported by a national news service or in a document publicly filed by the corporation with the Securities and Exchange Commission pursuant to Section 13, 14 or 15(d) of the 1934 Act.</w:t>
      </w:r>
    </w:p>
    <w:p>
      <w:pPr>
        <w:spacing w:after="0" w:line="161" w:lineRule="exact"/>
        <w:rPr>
          <w:rFonts w:ascii="Arial" w:cs="Arial" w:eastAsia="Arial" w:hAnsi="Arial"/>
          <w:sz w:val="19"/>
          <w:szCs w:val="19"/>
          <w:color w:val="auto"/>
        </w:rPr>
      </w:pPr>
    </w:p>
    <w:p>
      <w:pPr>
        <w:jc w:val="both"/>
        <w:ind w:firstLine="1952"/>
        <w:spacing w:after="0" w:line="253" w:lineRule="auto"/>
        <w:tabs>
          <w:tab w:leader="none" w:pos="2587" w:val="left"/>
        </w:tabs>
        <w:numPr>
          <w:ilvl w:val="1"/>
          <w:numId w:val="13"/>
        </w:numPr>
        <w:rPr>
          <w:rFonts w:ascii="Arial" w:cs="Arial" w:eastAsia="Arial" w:hAnsi="Arial"/>
          <w:sz w:val="22"/>
          <w:szCs w:val="22"/>
          <w:color w:val="auto"/>
        </w:rPr>
      </w:pPr>
      <w:r>
        <w:rPr>
          <w:rFonts w:ascii="Arial" w:cs="Arial" w:eastAsia="Arial" w:hAnsi="Arial"/>
          <w:sz w:val="22"/>
          <w:szCs w:val="22"/>
          <w:color w:val="auto"/>
        </w:rPr>
        <w:t>To be in proper written form, a stockholder’s notice to the secretary must set forth as to each matter of business the stockholder intends to bring before the annual meeting: (1) a brief description of the business intended to be brought before the 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28" w:right="339" w:bottom="1440" w:gutter="0" w:footer="0" w:header="0"/>
        </w:sectPr>
      </w:pPr>
    </w:p>
    <w:bookmarkStart w:id="21" w:name="page22"/>
    <w:bookmarkEnd w:id="21"/>
    <w:p>
      <w:pPr>
        <w:jc w:val="both"/>
        <w:spacing w:after="0" w:line="291" w:lineRule="auto"/>
        <w:rPr>
          <w:sz w:val="20"/>
          <w:szCs w:val="20"/>
          <w:color w:val="auto"/>
        </w:rPr>
      </w:pPr>
      <w:r>
        <w:rPr>
          <w:rFonts w:ascii="Arial" w:cs="Arial" w:eastAsia="Arial" w:hAnsi="Arial"/>
          <w:sz w:val="19"/>
          <w:szCs w:val="19"/>
          <w:color w:val="auto"/>
        </w:rPr>
        <w:t>meeting and the reasons for conducting such business at the annual meeting, (2) the name and address, as they appear on the corporation’s books, of the stockholder proposing such business and any Stockholder Associated Person (as defined below),</w:t>
      </w:r>
    </w:p>
    <w:p>
      <w:pPr>
        <w:spacing w:after="0" w:line="1" w:lineRule="exact"/>
        <w:rPr>
          <w:sz w:val="20"/>
          <w:szCs w:val="20"/>
          <w:color w:val="auto"/>
        </w:rPr>
      </w:pPr>
    </w:p>
    <w:p>
      <w:pPr>
        <w:jc w:val="both"/>
        <w:ind w:firstLine="8"/>
        <w:spacing w:after="0" w:line="281" w:lineRule="auto"/>
        <w:tabs>
          <w:tab w:leader="none" w:pos="315"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class and number of shares of the corporation that are held of record or are beneficially owned by the stockholder or any Stockholder Associated Person and any derivative positions held or beneficially held by the stockholder or any Stockholder Associated Person, (4) whether and the extent to which any hedging or other transaction or series of transactions has been entered into by or on behalf of such stockholder or any Stockholder Associated Person with respect to any securities of the corporation, and a description of any other agreement, arrangement or understanding (including any short position or any borrowing or lending of shares), the effect or intent of which is to mitigate loss to, or to manage the risk or benefit from share price changes for, or to increase or decrease the voting power of, such stockholder or any Stockholder Associated Person with respect to any securities of the corporation, (5) any material interest of the stockholder or a Stockholder Associated Person in such business, and</w:t>
      </w:r>
    </w:p>
    <w:p>
      <w:pPr>
        <w:spacing w:after="0" w:line="5" w:lineRule="exact"/>
        <w:rPr>
          <w:rFonts w:ascii="Arial" w:cs="Arial" w:eastAsia="Arial" w:hAnsi="Arial"/>
          <w:sz w:val="19"/>
          <w:szCs w:val="19"/>
          <w:color w:val="auto"/>
        </w:rPr>
      </w:pPr>
    </w:p>
    <w:p>
      <w:pPr>
        <w:jc w:val="both"/>
        <w:ind w:firstLine="8"/>
        <w:spacing w:after="0" w:line="286" w:lineRule="auto"/>
        <w:tabs>
          <w:tab w:leader="none" w:pos="310" w:val="left"/>
        </w:tabs>
        <w:numPr>
          <w:ilvl w:val="0"/>
          <w:numId w:val="15"/>
        </w:numPr>
        <w:rPr>
          <w:rFonts w:ascii="Arial" w:cs="Arial" w:eastAsia="Arial" w:hAnsi="Arial"/>
          <w:sz w:val="19"/>
          <w:szCs w:val="19"/>
          <w:color w:val="auto"/>
        </w:rPr>
      </w:pPr>
      <w:r>
        <w:rPr>
          <w:rFonts w:ascii="Arial" w:cs="Arial" w:eastAsia="Arial" w:hAnsi="Arial"/>
          <w:sz w:val="19"/>
          <w:szCs w:val="19"/>
          <w:color w:val="auto"/>
        </w:rPr>
        <w:t>a statement whether either such stockholder or any Stockholder Associated Person will deliver a proxy statement and form of proxy to holders of at least the percentage of the corporation’s voting shares required under applicable law to carry the proposal (such information provided and statements made as required by clauses (1) through (6), a “</w:t>
      </w:r>
      <w:r>
        <w:rPr>
          <w:rFonts w:ascii="Arial" w:cs="Arial" w:eastAsia="Arial" w:hAnsi="Arial"/>
          <w:sz w:val="19"/>
          <w:szCs w:val="19"/>
          <w:b w:val="1"/>
          <w:bCs w:val="1"/>
          <w:color w:val="auto"/>
        </w:rPr>
        <w:t>Business Solicitation Statement</w:t>
      </w:r>
      <w:r>
        <w:rPr>
          <w:rFonts w:ascii="Arial" w:cs="Arial" w:eastAsia="Arial" w:hAnsi="Arial"/>
          <w:sz w:val="19"/>
          <w:szCs w:val="19"/>
          <w:color w:val="auto"/>
        </w:rPr>
        <w:t>”). In addition, to be in proper written form, a stockholder’s notice to the secretary must be supplemented not later than ten days following the record date for notice of the meeting to disclose the information contained in clauses (3) and (4) above as of the record date for notice of the meeting. For purposes of this Section 2.4, a “</w:t>
      </w:r>
      <w:r>
        <w:rPr>
          <w:rFonts w:ascii="Arial" w:cs="Arial" w:eastAsia="Arial" w:hAnsi="Arial"/>
          <w:sz w:val="19"/>
          <w:szCs w:val="19"/>
          <w:b w:val="1"/>
          <w:bCs w:val="1"/>
          <w:color w:val="auto"/>
        </w:rPr>
        <w:t>Stockholder Associated Person</w:t>
      </w:r>
      <w:r>
        <w:rPr>
          <w:rFonts w:ascii="Arial" w:cs="Arial" w:eastAsia="Arial" w:hAnsi="Arial"/>
          <w:sz w:val="19"/>
          <w:szCs w:val="19"/>
          <w:color w:val="auto"/>
        </w:rPr>
        <w:t>” of any stockholder shall mean (i) any person controlling, directly or indirectly, or acting in concert with, such stockholder, (ii) any beneficial owner of shares of stock of the corporation owned of record or beneficially by such stockholder and on whose behalf the proposal or nomination, as the case may be, is being made, or (iii) any person controlling, controlled by or under common control with such person referred to in the preceding clauses (i) and (ii).</w:t>
      </w:r>
    </w:p>
    <w:p>
      <w:pPr>
        <w:spacing w:after="0" w:line="159" w:lineRule="exact"/>
        <w:rPr>
          <w:rFonts w:ascii="Arial" w:cs="Arial" w:eastAsia="Arial" w:hAnsi="Arial"/>
          <w:sz w:val="19"/>
          <w:szCs w:val="19"/>
          <w:color w:val="auto"/>
        </w:rPr>
      </w:pPr>
    </w:p>
    <w:p>
      <w:pPr>
        <w:jc w:val="both"/>
        <w:ind w:firstLine="1952"/>
        <w:spacing w:after="0" w:line="289" w:lineRule="auto"/>
        <w:tabs>
          <w:tab w:leader="none" w:pos="2589" w:val="left"/>
        </w:tabs>
        <w:numPr>
          <w:ilvl w:val="2"/>
          <w:numId w:val="15"/>
        </w:numPr>
        <w:rPr>
          <w:rFonts w:ascii="Arial" w:cs="Arial" w:eastAsia="Arial" w:hAnsi="Arial"/>
          <w:sz w:val="19"/>
          <w:szCs w:val="19"/>
          <w:color w:val="auto"/>
        </w:rPr>
      </w:pPr>
      <w:r>
        <w:rPr>
          <w:rFonts w:ascii="Arial" w:cs="Arial" w:eastAsia="Arial" w:hAnsi="Arial"/>
          <w:sz w:val="19"/>
          <w:szCs w:val="19"/>
          <w:color w:val="auto"/>
        </w:rPr>
        <w:t>Without exception, no business shall be conducted at any annual meeting except in accordance with the provisions set forth in this Section 2.4(i) and, if applicable, Section 2.4(ii). In addition, business proposed to be brought by a stockholder may not be brought before the annual meeting if such stockholder or a Stockholder Associated Person, as applicable, takes action contrary to the representations made in the Business Solicitation Statement applicable to such business or if the Business Solicitation Statement applicable to such business contains an untrue statement of a material fact or omits to state a material fact necessary to make the statements therein not misleading. The chairperson of the annual meeting shall, if the facts warrant, determine and declare at the annual meeting that business was not properly brought before the annual meeting and in accordance with the provisions of this Section 2.4(i), and, if the chairperson should so determine, he or she shall so declare at the annual meeting that any such business not properly brought before the annual meeting shall not be conducted.</w:t>
      </w:r>
    </w:p>
    <w:p>
      <w:pPr>
        <w:spacing w:after="0" w:line="156" w:lineRule="exact"/>
        <w:rPr>
          <w:rFonts w:ascii="Arial" w:cs="Arial" w:eastAsia="Arial" w:hAnsi="Arial"/>
          <w:sz w:val="19"/>
          <w:szCs w:val="19"/>
          <w:color w:val="auto"/>
        </w:rPr>
      </w:pPr>
    </w:p>
    <w:p>
      <w:pPr>
        <w:jc w:val="both"/>
        <w:ind w:firstLine="1304"/>
        <w:spacing w:after="0" w:line="312" w:lineRule="auto"/>
        <w:tabs>
          <w:tab w:leader="none" w:pos="1938" w:val="left"/>
        </w:tabs>
        <w:numPr>
          <w:ilvl w:val="1"/>
          <w:numId w:val="15"/>
        </w:numPr>
        <w:rPr>
          <w:rFonts w:ascii="Arial" w:cs="Arial" w:eastAsia="Arial" w:hAnsi="Arial"/>
          <w:sz w:val="19"/>
          <w:szCs w:val="19"/>
          <w:color w:val="auto"/>
        </w:rPr>
      </w:pPr>
      <w:r>
        <w:rPr>
          <w:rFonts w:ascii="Arial" w:cs="Arial" w:eastAsia="Arial" w:hAnsi="Arial"/>
          <w:sz w:val="19"/>
          <w:szCs w:val="19"/>
          <w:i w:val="1"/>
          <w:iCs w:val="1"/>
          <w:color w:val="auto"/>
        </w:rPr>
        <w:t xml:space="preserve">Advance Notice of Director Nominations at Annual Meetings. </w:t>
      </w:r>
      <w:r>
        <w:rPr>
          <w:rFonts w:ascii="Arial" w:cs="Arial" w:eastAsia="Arial" w:hAnsi="Arial"/>
          <w:sz w:val="19"/>
          <w:szCs w:val="19"/>
          <w:color w:val="auto"/>
        </w:rPr>
        <w:t>Notwithstanding anything in these bylaws to</w:t>
      </w:r>
      <w:r>
        <w:rPr>
          <w:rFonts w:ascii="Arial" w:cs="Arial" w:eastAsia="Arial" w:hAnsi="Arial"/>
          <w:sz w:val="19"/>
          <w:szCs w:val="19"/>
          <w:i w:val="1"/>
          <w:iCs w:val="1"/>
          <w:color w:val="auto"/>
        </w:rPr>
        <w:t xml:space="preserve"> </w:t>
      </w:r>
      <w:r>
        <w:rPr>
          <w:rFonts w:ascii="Arial" w:cs="Arial" w:eastAsia="Arial" w:hAnsi="Arial"/>
          <w:sz w:val="19"/>
          <w:szCs w:val="19"/>
          <w:color w:val="auto"/>
        </w:rPr>
        <w:t>the contrary, only persons who are nominated in accordance with the procedures set forth in this Section 2.4(ii) shall be eligible for election or re-election as directors at an annual meeting of stockholders. Nominations of persons for election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28" w:right="339" w:bottom="1440" w:gutter="0" w:footer="0" w:header="0"/>
        </w:sectPr>
      </w:pPr>
    </w:p>
    <w:bookmarkStart w:id="22" w:name="page23"/>
    <w:bookmarkEnd w:id="22"/>
    <w:p>
      <w:pPr>
        <w:jc w:val="both"/>
        <w:spacing w:after="0" w:line="246" w:lineRule="auto"/>
        <w:rPr>
          <w:sz w:val="20"/>
          <w:szCs w:val="20"/>
          <w:color w:val="auto"/>
        </w:rPr>
      </w:pPr>
      <w:r>
        <w:rPr>
          <w:rFonts w:ascii="Arial" w:cs="Arial" w:eastAsia="Arial" w:hAnsi="Arial"/>
          <w:sz w:val="22"/>
          <w:szCs w:val="22"/>
          <w:color w:val="auto"/>
        </w:rPr>
        <w:t>the board of directors of the corporation shall be made at an annual meeting of stockholders only (A) by or at the direction of the board of directors or (B) by a stockholder of the corporation who (1) was a stockholder of record at the time of the giving of the notice required by this Section 2.4(ii), on the record date for the determination of stockholders entitled to notice of the annual meeting and on the record date for the determination of stockholders entitled to vote at the annual meeting and (2) has complied with the notice procedures set forth in this Section 2.4(ii). In addition to any other applicable requirements, for a nomination to be made by a stockholder, the stockholder must have given timely notice thereof in proper written form to the secretary of the corporation.</w:t>
      </w:r>
    </w:p>
    <w:p>
      <w:pPr>
        <w:spacing w:after="0" w:line="196" w:lineRule="exact"/>
        <w:rPr>
          <w:sz w:val="20"/>
          <w:szCs w:val="20"/>
          <w:color w:val="auto"/>
        </w:rPr>
      </w:pPr>
    </w:p>
    <w:p>
      <w:pPr>
        <w:jc w:val="both"/>
        <w:ind w:firstLine="1952"/>
        <w:spacing w:after="0" w:line="250" w:lineRule="auto"/>
        <w:tabs>
          <w:tab w:leader="none" w:pos="2589" w:val="left"/>
        </w:tabs>
        <w:numPr>
          <w:ilvl w:val="0"/>
          <w:numId w:val="16"/>
        </w:numPr>
        <w:rPr>
          <w:rFonts w:ascii="Arial" w:cs="Arial" w:eastAsia="Arial" w:hAnsi="Arial"/>
          <w:sz w:val="22"/>
          <w:szCs w:val="22"/>
          <w:color w:val="auto"/>
        </w:rPr>
      </w:pPr>
      <w:r>
        <w:rPr>
          <w:rFonts w:ascii="Arial" w:cs="Arial" w:eastAsia="Arial" w:hAnsi="Arial"/>
          <w:sz w:val="22"/>
          <w:szCs w:val="22"/>
          <w:color w:val="auto"/>
        </w:rPr>
        <w:t>To comply with clause (B) of Section 2.4(ii) above, a nomination to be made by a stockholder must set forth all information required under this Section 2.4(ii) and must be received by the secretary of the corporation at the principal executive offices of the corporation at the time set forth in, and in accordance with, the final three sentences of Section 2.4(i)(a) above.</w:t>
      </w:r>
    </w:p>
    <w:p>
      <w:pPr>
        <w:spacing w:after="0" w:line="187" w:lineRule="exact"/>
        <w:rPr>
          <w:rFonts w:ascii="Arial" w:cs="Arial" w:eastAsia="Arial" w:hAnsi="Arial"/>
          <w:sz w:val="22"/>
          <w:szCs w:val="22"/>
          <w:color w:val="auto"/>
        </w:rPr>
      </w:pPr>
    </w:p>
    <w:p>
      <w:pPr>
        <w:ind w:left="2600" w:hanging="648"/>
        <w:spacing w:after="0"/>
        <w:tabs>
          <w:tab w:leader="none" w:pos="26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To be in proper written form, such stockholder’s notice to the secretary must set forth:</w:t>
      </w:r>
    </w:p>
    <w:p>
      <w:pPr>
        <w:spacing w:after="0" w:line="213" w:lineRule="exact"/>
        <w:rPr>
          <w:rFonts w:ascii="Arial" w:cs="Arial" w:eastAsia="Arial" w:hAnsi="Arial"/>
          <w:sz w:val="22"/>
          <w:szCs w:val="22"/>
          <w:color w:val="auto"/>
        </w:rPr>
      </w:pPr>
    </w:p>
    <w:p>
      <w:pPr>
        <w:ind w:left="3240" w:hanging="640"/>
        <w:spacing w:after="0"/>
        <w:tabs>
          <w:tab w:leader="none" w:pos="3240" w:val="left"/>
        </w:tabs>
        <w:numPr>
          <w:ilvl w:val="1"/>
          <w:numId w:val="16"/>
        </w:numPr>
        <w:rPr>
          <w:rFonts w:ascii="Arial" w:cs="Arial" w:eastAsia="Arial" w:hAnsi="Arial"/>
          <w:sz w:val="19"/>
          <w:szCs w:val="19"/>
          <w:color w:val="auto"/>
        </w:rPr>
      </w:pPr>
      <w:r>
        <w:rPr>
          <w:rFonts w:ascii="Arial" w:cs="Arial" w:eastAsia="Arial" w:hAnsi="Arial"/>
          <w:sz w:val="19"/>
          <w:szCs w:val="19"/>
          <w:color w:val="auto"/>
        </w:rPr>
        <w:t>as to each person (a “</w:t>
      </w:r>
      <w:r>
        <w:rPr>
          <w:rFonts w:ascii="Arial" w:cs="Arial" w:eastAsia="Arial" w:hAnsi="Arial"/>
          <w:sz w:val="19"/>
          <w:szCs w:val="19"/>
          <w:b w:val="1"/>
          <w:bCs w:val="1"/>
          <w:color w:val="auto"/>
        </w:rPr>
        <w:t>nominee</w:t>
      </w:r>
      <w:r>
        <w:rPr>
          <w:rFonts w:ascii="Arial" w:cs="Arial" w:eastAsia="Arial" w:hAnsi="Arial"/>
          <w:sz w:val="19"/>
          <w:szCs w:val="19"/>
          <w:color w:val="auto"/>
        </w:rPr>
        <w:t>”) whom the stockholder proposes to nominate for election or</w:t>
      </w:r>
    </w:p>
    <w:p>
      <w:pPr>
        <w:spacing w:after="0" w:line="61" w:lineRule="exact"/>
        <w:rPr>
          <w:rFonts w:ascii="Arial" w:cs="Arial" w:eastAsia="Arial" w:hAnsi="Arial"/>
          <w:sz w:val="19"/>
          <w:szCs w:val="19"/>
          <w:color w:val="auto"/>
        </w:rPr>
      </w:pPr>
    </w:p>
    <w:p>
      <w:pPr>
        <w:jc w:val="both"/>
        <w:spacing w:after="0" w:line="284" w:lineRule="auto"/>
        <w:rPr>
          <w:rFonts w:ascii="Arial" w:cs="Arial" w:eastAsia="Arial" w:hAnsi="Arial"/>
          <w:sz w:val="19"/>
          <w:szCs w:val="19"/>
          <w:color w:val="auto"/>
        </w:rPr>
      </w:pPr>
      <w:r>
        <w:rPr>
          <w:rFonts w:ascii="Arial" w:cs="Arial" w:eastAsia="Arial" w:hAnsi="Arial"/>
          <w:sz w:val="19"/>
          <w:szCs w:val="19"/>
          <w:color w:val="auto"/>
        </w:rPr>
        <w:t>re-election as a director: (A) the name, age, business address and residence address of the nominee, (B) the principal occupation or employment of the nominee, (C) the class and number of shares of the corporation that are held of record or are beneficially owned by the nominee and any derivative positions held or beneficially held by the nominee, (D)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(E) a description of all arrangements or understandings between the stockholder and each nominee and any other person or persons (naming such person or persons) pursuant to which the nominations are to be made by the stockholder, (F) a written statement executed by the nominee acknowledging that as a director of the corporation, the nominee will owe a fiduciary duty under Delaware law with respect to the corporation and its stockholders, and (G) any other information relating to the nominee that would be required to be disclosed about such nominee if proxies were being solicited for the election of the nominee as a director, or that is otherwise required, in each case pursuant to Regulation 14A under the 1934 Act (including without limitation the nominee’s written consent to being named in the proxy statement, if any, as a nominee and to serving as a director if elected); and</w:t>
      </w:r>
    </w:p>
    <w:p>
      <w:pPr>
        <w:spacing w:after="0" w:line="169" w:lineRule="exact"/>
        <w:rPr>
          <w:rFonts w:ascii="Arial" w:cs="Arial" w:eastAsia="Arial" w:hAnsi="Arial"/>
          <w:sz w:val="19"/>
          <w:szCs w:val="19"/>
          <w:color w:val="auto"/>
        </w:rPr>
      </w:pPr>
    </w:p>
    <w:p>
      <w:pPr>
        <w:jc w:val="both"/>
        <w:ind w:firstLine="2600"/>
        <w:spacing w:after="0" w:line="312" w:lineRule="auto"/>
        <w:tabs>
          <w:tab w:leader="none" w:pos="3235" w:val="left"/>
        </w:tabs>
        <w:numPr>
          <w:ilvl w:val="1"/>
          <w:numId w:val="16"/>
        </w:numPr>
        <w:rPr>
          <w:rFonts w:ascii="Arial" w:cs="Arial" w:eastAsia="Arial" w:hAnsi="Arial"/>
          <w:sz w:val="19"/>
          <w:szCs w:val="19"/>
          <w:color w:val="auto"/>
        </w:rPr>
      </w:pPr>
      <w:r>
        <w:rPr>
          <w:rFonts w:ascii="Arial" w:cs="Arial" w:eastAsia="Arial" w:hAnsi="Arial"/>
          <w:sz w:val="19"/>
          <w:szCs w:val="19"/>
          <w:color w:val="auto"/>
        </w:rPr>
        <w:t>as to such stockholder giving notice, (A) the information required to be provided pursuant to clauses (2) through (5) of Section 2.4(i)(b) above, and the supplement referenced in the second sentence of Section 2.4(i)(b) above (except that the references to “business” in such clauses shall instead refer to nominations of directors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28" w:right="339" w:bottom="1440" w:gutter="0" w:footer="0" w:header="0"/>
        </w:sectPr>
      </w:pPr>
    </w:p>
    <w:bookmarkStart w:id="23" w:name="page24"/>
    <w:bookmarkEnd w:id="23"/>
    <w:p>
      <w:pPr>
        <w:jc w:val="both"/>
        <w:spacing w:after="0" w:line="302" w:lineRule="auto"/>
        <w:rPr>
          <w:sz w:val="20"/>
          <w:szCs w:val="20"/>
          <w:color w:val="auto"/>
        </w:rPr>
      </w:pPr>
      <w:r>
        <w:rPr>
          <w:rFonts w:ascii="Arial" w:cs="Arial" w:eastAsia="Arial" w:hAnsi="Arial"/>
          <w:sz w:val="19"/>
          <w:szCs w:val="19"/>
          <w:color w:val="auto"/>
        </w:rPr>
        <w:t>purposes of this paragraph), and (B) a statement whether either such stockholder or Stockholder Associated Person will deliver a proxy statement and form of proxy to holders of a number of the corporation’s voting shares reasonably believed by such stockholder or Stockholder Associated Person to be necessary to elect such nominee(s) (such information provided and statements made as required by clauses (A) and (B) above, a “</w:t>
      </w:r>
      <w:r>
        <w:rPr>
          <w:rFonts w:ascii="Arial" w:cs="Arial" w:eastAsia="Arial" w:hAnsi="Arial"/>
          <w:sz w:val="19"/>
          <w:szCs w:val="19"/>
          <w:b w:val="1"/>
          <w:bCs w:val="1"/>
          <w:color w:val="auto"/>
        </w:rPr>
        <w:t>Nominee Solicitation Statement</w:t>
      </w:r>
      <w:r>
        <w:rPr>
          <w:rFonts w:ascii="Arial" w:cs="Arial" w:eastAsia="Arial" w:hAnsi="Arial"/>
          <w:sz w:val="19"/>
          <w:szCs w:val="19"/>
          <w:color w:val="auto"/>
        </w:rPr>
        <w:t>”).</w:t>
      </w:r>
    </w:p>
    <w:p>
      <w:pPr>
        <w:spacing w:after="0" w:line="142" w:lineRule="exact"/>
        <w:rPr>
          <w:sz w:val="20"/>
          <w:szCs w:val="20"/>
          <w:color w:val="auto"/>
        </w:rPr>
      </w:pPr>
    </w:p>
    <w:p>
      <w:pPr>
        <w:jc w:val="both"/>
        <w:ind w:firstLine="1952"/>
        <w:spacing w:after="0" w:line="292" w:lineRule="auto"/>
        <w:tabs>
          <w:tab w:leader="none" w:pos="2589" w:val="left"/>
        </w:tabs>
        <w:numPr>
          <w:ilvl w:val="1"/>
          <w:numId w:val="17"/>
        </w:numPr>
        <w:rPr>
          <w:rFonts w:ascii="Arial" w:cs="Arial" w:eastAsia="Arial" w:hAnsi="Arial"/>
          <w:sz w:val="19"/>
          <w:szCs w:val="19"/>
          <w:color w:val="auto"/>
        </w:rPr>
      </w:pPr>
      <w:r>
        <w:rPr>
          <w:rFonts w:ascii="Arial" w:cs="Arial" w:eastAsia="Arial" w:hAnsi="Arial"/>
          <w:sz w:val="19"/>
          <w:szCs w:val="19"/>
          <w:color w:val="auto"/>
        </w:rPr>
        <w:t>At the request of the board of directors, any person nominated by a stockholder for election as a director must furnish to the secretary of the corporation (1) that information required to be set forth in the stockholder’s notice of nomination of such person as a director as of a date subsequent to the date on which the notice of such person’s nomination was given and (2)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 in the absence of the furnishing of such information if requested, such stockholder’s nomination shall not be considered in proper form pursuant to this Section 2.4(ii).</w:t>
      </w:r>
    </w:p>
    <w:p>
      <w:pPr>
        <w:spacing w:after="0" w:line="150" w:lineRule="exact"/>
        <w:rPr>
          <w:rFonts w:ascii="Arial" w:cs="Arial" w:eastAsia="Arial" w:hAnsi="Arial"/>
          <w:sz w:val="19"/>
          <w:szCs w:val="19"/>
          <w:color w:val="auto"/>
        </w:rPr>
      </w:pPr>
    </w:p>
    <w:p>
      <w:pPr>
        <w:jc w:val="both"/>
        <w:ind w:firstLine="1952"/>
        <w:spacing w:after="0" w:line="289" w:lineRule="auto"/>
        <w:tabs>
          <w:tab w:leader="none" w:pos="2587" w:val="left"/>
        </w:tabs>
        <w:numPr>
          <w:ilvl w:val="1"/>
          <w:numId w:val="17"/>
        </w:numPr>
        <w:rPr>
          <w:rFonts w:ascii="Arial" w:cs="Arial" w:eastAsia="Arial" w:hAnsi="Arial"/>
          <w:sz w:val="19"/>
          <w:szCs w:val="19"/>
          <w:color w:val="auto"/>
        </w:rPr>
      </w:pPr>
      <w:r>
        <w:rPr>
          <w:rFonts w:ascii="Arial" w:cs="Arial" w:eastAsia="Arial" w:hAnsi="Arial"/>
          <w:sz w:val="19"/>
          <w:szCs w:val="19"/>
          <w:color w:val="auto"/>
        </w:rPr>
        <w:t>Without exception, no person shall be eligible for election or re-election as a director of the corporation at an annual meeting of stockholders unless nominated in accordance with the provisions set forth in this Section 2.4(ii). In addition, a nominee shall not be eligible for election or re-election if a stockholder or Stockholder Associated Person, as applicable, takes action contrary to the representations made in the Nominee Solicitation Statement applicable to such nominee or if the Nominee Solicitation Statement applicable to such nominee contains an untrue statement of a material fact or omits to state a material fact necessary to make the statements therein not misleading. The chairperson of the annual meeting shall, if the facts warrant, determine and declare at the annual meeting that a nomination was not made in accordance with the provisions prescribed by these bylaws, and if the chairperson should so determine, he or she shall so declare at the annual meeting, and the defective nomination shall be disregarded.</w:t>
      </w:r>
    </w:p>
    <w:p>
      <w:pPr>
        <w:spacing w:after="0" w:line="156" w:lineRule="exact"/>
        <w:rPr>
          <w:rFonts w:ascii="Arial" w:cs="Arial" w:eastAsia="Arial" w:hAnsi="Arial"/>
          <w:sz w:val="19"/>
          <w:szCs w:val="19"/>
          <w:color w:val="auto"/>
        </w:rPr>
      </w:pPr>
    </w:p>
    <w:p>
      <w:pPr>
        <w:ind w:left="1960" w:hanging="656"/>
        <w:spacing w:after="0"/>
        <w:tabs>
          <w:tab w:leader="none" w:pos="1960" w:val="left"/>
        </w:tabs>
        <w:numPr>
          <w:ilvl w:val="0"/>
          <w:numId w:val="18"/>
        </w:numPr>
        <w:rPr>
          <w:rFonts w:ascii="Arial" w:cs="Arial" w:eastAsia="Arial" w:hAnsi="Arial"/>
          <w:sz w:val="22"/>
          <w:szCs w:val="22"/>
          <w:color w:val="auto"/>
        </w:rPr>
      </w:pPr>
      <w:r>
        <w:rPr>
          <w:rFonts w:ascii="Arial" w:cs="Arial" w:eastAsia="Arial" w:hAnsi="Arial"/>
          <w:sz w:val="22"/>
          <w:szCs w:val="22"/>
          <w:i w:val="1"/>
          <w:iCs w:val="1"/>
          <w:color w:val="auto"/>
        </w:rPr>
        <w:t>Advance Notice of Director Nominations for Special Meetings.</w:t>
      </w:r>
    </w:p>
    <w:p>
      <w:pPr>
        <w:spacing w:after="0" w:line="219" w:lineRule="exact"/>
        <w:rPr>
          <w:rFonts w:ascii="Arial" w:cs="Arial" w:eastAsia="Arial" w:hAnsi="Arial"/>
          <w:sz w:val="22"/>
          <w:szCs w:val="22"/>
          <w:color w:val="auto"/>
        </w:rPr>
      </w:pPr>
    </w:p>
    <w:p>
      <w:pPr>
        <w:jc w:val="both"/>
        <w:ind w:firstLine="1952"/>
        <w:spacing w:after="0" w:line="288" w:lineRule="auto"/>
        <w:tabs>
          <w:tab w:leader="none" w:pos="2589" w:val="left"/>
        </w:tabs>
        <w:numPr>
          <w:ilvl w:val="1"/>
          <w:numId w:val="18"/>
        </w:numPr>
        <w:rPr>
          <w:rFonts w:ascii="Arial" w:cs="Arial" w:eastAsia="Arial" w:hAnsi="Arial"/>
          <w:sz w:val="19"/>
          <w:szCs w:val="19"/>
          <w:color w:val="auto"/>
        </w:rPr>
      </w:pPr>
      <w:r>
        <w:rPr>
          <w:rFonts w:ascii="Arial" w:cs="Arial" w:eastAsia="Arial" w:hAnsi="Arial"/>
          <w:sz w:val="19"/>
          <w:szCs w:val="19"/>
          <w:color w:val="auto"/>
        </w:rPr>
        <w:t>For a special meeting of stockholders at which directors are to be elected pursuant to Section 2.3, nominations of persons for election to the board of directors shall be made only (1) by or at the direction of the board of directors or (2) by any stockholder of the corporation who (A) is a stockholder of record at the time of the giving of the notice required by this Section 2.4(iii), on the record date for the determination of stockholders entitled to notice of the special meeting and on the record date for the determination of stockholders entitled to vote at the special meeting and (B) delivers a timely written notice of the nomination to the secretary of the corporation that includes the information set forth in Sections 2.4(ii)(b) and (ii)(c) above. To be timely, such notice must be received by the secretary at the principal executive offices of the corporation not later than the close of business on the later of the 90th day prior to such special meeting or the tenth day following the day on which Public Announcement is first made of the date of the special meeting and of the nominees proposed by the board of directors to be elected at such meeting. A person shall not be eligible for election or re-election as a director at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28" w:right="339" w:bottom="1440" w:gutter="0" w:footer="0" w:header="0"/>
        </w:sectPr>
      </w:pPr>
    </w:p>
    <w:bookmarkStart w:id="24" w:name="page25"/>
    <w:bookmarkEnd w:id="24"/>
    <w:p>
      <w:pPr>
        <w:jc w:val="both"/>
        <w:spacing w:after="0" w:line="247" w:lineRule="auto"/>
        <w:rPr>
          <w:sz w:val="20"/>
          <w:szCs w:val="20"/>
          <w:color w:val="auto"/>
        </w:rPr>
      </w:pPr>
      <w:r>
        <w:rPr>
          <w:rFonts w:ascii="Arial" w:cs="Arial" w:eastAsia="Arial" w:hAnsi="Arial"/>
          <w:sz w:val="22"/>
          <w:szCs w:val="22"/>
          <w:color w:val="auto"/>
        </w:rPr>
        <w:t>special meeting unless the person is nominated (i) by or at the direction of the board of directors or (ii) by a stockholder in accordance with the notice procedures set forth in this Section 2.4(iii). In addition, a nominee shall not be eligible for election or re-election if a stockholder or Stockholder Associated Person, as applicable, takes action contrary to the representations made in the Nominee Solicitation Statement applicable to such nominee or if the Nominee Solicitation Statement applicable to such nominee contains an untrue statement of a material fact or omits to state a material fact necessary to make the statements therein not misleading.</w:t>
      </w:r>
    </w:p>
    <w:p>
      <w:pPr>
        <w:spacing w:after="0" w:line="193" w:lineRule="exact"/>
        <w:rPr>
          <w:sz w:val="20"/>
          <w:szCs w:val="20"/>
          <w:color w:val="auto"/>
        </w:rPr>
      </w:pPr>
    </w:p>
    <w:p>
      <w:pPr>
        <w:jc w:val="both"/>
        <w:ind w:firstLine="1952"/>
        <w:spacing w:after="0" w:line="250" w:lineRule="auto"/>
        <w:tabs>
          <w:tab w:leader="none" w:pos="2587" w:val="left"/>
        </w:tabs>
        <w:numPr>
          <w:ilvl w:val="1"/>
          <w:numId w:val="19"/>
        </w:numPr>
        <w:rPr>
          <w:rFonts w:ascii="Arial" w:cs="Arial" w:eastAsia="Arial" w:hAnsi="Arial"/>
          <w:sz w:val="22"/>
          <w:szCs w:val="22"/>
          <w:color w:val="auto"/>
        </w:rPr>
      </w:pPr>
      <w:r>
        <w:rPr>
          <w:rFonts w:ascii="Arial" w:cs="Arial" w:eastAsia="Arial" w:hAnsi="Arial"/>
          <w:sz w:val="22"/>
          <w:szCs w:val="22"/>
          <w:color w:val="auto"/>
        </w:rPr>
        <w:t>The chairperson of the special meeting shall, if the facts warrant, determine and declare at the meeting that a nomination or business was not made in accordance with the procedures prescribed by these bylaws, and if the chairperson should so determine, he or she shall so declare at the meeting, and the defective nomination or business shall be disregarded.</w:t>
      </w:r>
    </w:p>
    <w:p>
      <w:pPr>
        <w:spacing w:after="0" w:line="187" w:lineRule="exact"/>
        <w:rPr>
          <w:rFonts w:ascii="Arial" w:cs="Arial" w:eastAsia="Arial" w:hAnsi="Arial"/>
          <w:sz w:val="22"/>
          <w:szCs w:val="22"/>
          <w:color w:val="auto"/>
        </w:rPr>
      </w:pPr>
    </w:p>
    <w:p>
      <w:pPr>
        <w:jc w:val="both"/>
        <w:ind w:firstLine="1304"/>
        <w:spacing w:after="0" w:line="260" w:lineRule="auto"/>
        <w:tabs>
          <w:tab w:leader="none" w:pos="1932" w:val="left"/>
        </w:tabs>
        <w:numPr>
          <w:ilvl w:val="0"/>
          <w:numId w:val="20"/>
        </w:numPr>
        <w:rPr>
          <w:rFonts w:ascii="Arial" w:cs="Arial" w:eastAsia="Arial" w:hAnsi="Arial"/>
          <w:sz w:val="21"/>
          <w:szCs w:val="21"/>
          <w:color w:val="auto"/>
        </w:rPr>
      </w:pPr>
      <w:r>
        <w:rPr>
          <w:rFonts w:ascii="Arial" w:cs="Arial" w:eastAsia="Arial" w:hAnsi="Arial"/>
          <w:sz w:val="21"/>
          <w:szCs w:val="21"/>
          <w:i w:val="1"/>
          <w:iCs w:val="1"/>
          <w:color w:val="auto"/>
        </w:rPr>
        <w:t xml:space="preserve">Other Requirements and Rights. </w:t>
      </w:r>
      <w:r>
        <w:rPr>
          <w:rFonts w:ascii="Arial" w:cs="Arial" w:eastAsia="Arial" w:hAnsi="Arial"/>
          <w:sz w:val="21"/>
          <w:szCs w:val="21"/>
          <w:color w:val="auto"/>
        </w:rPr>
        <w:t>In addition to the foregoing provisions of this Section 2.4, a stockholder</w:t>
      </w:r>
      <w:r>
        <w:rPr>
          <w:rFonts w:ascii="Arial" w:cs="Arial" w:eastAsia="Arial" w:hAnsi="Arial"/>
          <w:sz w:val="21"/>
          <w:szCs w:val="21"/>
          <w:i w:val="1"/>
          <w:iCs w:val="1"/>
          <w:color w:val="auto"/>
        </w:rPr>
        <w:t xml:space="preserve"> </w:t>
      </w:r>
      <w:r>
        <w:rPr>
          <w:rFonts w:ascii="Arial" w:cs="Arial" w:eastAsia="Arial" w:hAnsi="Arial"/>
          <w:sz w:val="21"/>
          <w:szCs w:val="21"/>
          <w:color w:val="auto"/>
        </w:rPr>
        <w:t>must also comply with all applicable requirements of state law and of the 1934 Act and the rules and regulations thereunder with respect to the matters set forth in this Section 2.4, including, with respect to business such stockholder intends to bring before the annual meeting that involves a proposal that such stockholder requests to be included in the corporation’s proxy statement, the requirements of Rule 14a-8 (or any successor provision) under the 1934 Act. Nothing in this Section 2.4 shall be deemed to affect any right of the corporation to omit a proposal from the corporation’s proxy statement pursuant to Rule 14a-8 (or any successor provision) under the 1934 Act.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NOTICE OF STOCKHOLDERS’ MEETINGS</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written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5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21"/>
          <w:szCs w:val="21"/>
          <w:color w:val="auto"/>
        </w:rPr>
        <w:t>QUORUM</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holders of a majority of the stock issued and outstanding and entitled to vote, present in person or represented by proxy, shall constitute a quorum for the transaction of business at all meetings of the stockholders. Where a separate vote by a class or series or classes or series is required, a majority of the outstanding shares of such class or series or classes or series, present in person or represented by proxy, shall constitute a quorum entitled to take action with respect to that vote on that matter, except as otherwise provided by law, the certificate of incorporation or these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28" w:right="339" w:bottom="1440" w:gutter="0" w:footer="0" w:header="0"/>
        </w:sectPr>
      </w:pPr>
    </w:p>
    <w:bookmarkStart w:id="25" w:name="page26"/>
    <w:bookmarkEnd w:id="25"/>
    <w:p>
      <w:pPr>
        <w:jc w:val="both"/>
        <w:ind w:firstLine="648"/>
        <w:spacing w:after="0" w:line="248" w:lineRule="auto"/>
        <w:rPr>
          <w:sz w:val="20"/>
          <w:szCs w:val="20"/>
          <w:color w:val="auto"/>
        </w:rPr>
      </w:pPr>
      <w:r>
        <w:rPr>
          <w:rFonts w:ascii="Arial" w:cs="Arial" w:eastAsia="Arial" w:hAnsi="Arial"/>
          <w:sz w:val="22"/>
          <w:szCs w:val="22"/>
          <w:color w:val="auto"/>
        </w:rPr>
        <w:t>If, however, such quorum is not present or represented at any meeting of the stockholders, then either (i) the chairperson of the meeting, or (ii)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meeting as originally noticed.</w:t>
      </w:r>
    </w:p>
    <w:p>
      <w:pPr>
        <w:spacing w:after="0" w:line="19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21"/>
          <w:szCs w:val="21"/>
          <w:color w:val="auto"/>
        </w:rPr>
        <w:t>ADJOURNED MEETING; NOTICE</w:t>
      </w:r>
    </w:p>
    <w:p>
      <w:pPr>
        <w:spacing w:after="0" w:line="22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color w:val="auto"/>
        </w:rPr>
        <w:t>CONDUCT OF BUSINESS</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chairperson of any meeting of stockholders shall determine the order of business and the procedure at the meeting, including such regulation of the manner of voting and the conduct of business. The chairperson of any meeting of stockholders shall be designated by the board of directors; in the absence of such designation, the chairperson of the board, if any, the chief executive officer (in the absence of the chairperson) or the president (in the absence of the chairperson of the board and the chief executive officer), or in their absence any other executive officer of the corporation, shall serve as chairperson of the stockholder meeting.</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21"/>
          <w:szCs w:val="21"/>
          <w:color w:val="auto"/>
        </w:rPr>
        <w:t>VOTING</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Except as may be otherwise provided in the certificate of incorporation or these bylaws, each stockholder shall be entitled to one vote for each share of capital stock held by such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28" w:right="339" w:bottom="1440" w:gutter="0" w:footer="0" w:header="0"/>
        </w:sectPr>
      </w:pPr>
    </w:p>
    <w:bookmarkStart w:id="26" w:name="page27"/>
    <w:bookmarkEnd w:id="26"/>
    <w:p>
      <w:pPr>
        <w:jc w:val="both"/>
        <w:ind w:firstLine="648"/>
        <w:spacing w:after="0" w:line="290" w:lineRule="auto"/>
        <w:rPr>
          <w:sz w:val="20"/>
          <w:szCs w:val="20"/>
          <w:color w:val="auto"/>
        </w:rPr>
      </w:pPr>
      <w:r>
        <w:rPr>
          <w:rFonts w:ascii="Arial" w:cs="Arial" w:eastAsia="Arial" w:hAnsi="Arial"/>
          <w:sz w:val="19"/>
          <w:szCs w:val="19"/>
          <w:color w:val="auto"/>
        </w:rPr>
        <w:t>Except as otherwise required by law, the certificate of incorporation or these bylaws,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shares of such class or series or classes or series present in person or represented by proxy at the meeting shall be the act of such class or series or classes or series, except as otherwise provided by law, the certificate of incorporation or these bylaws.</w:t>
      </w:r>
    </w:p>
    <w:p>
      <w:pPr>
        <w:spacing w:after="0" w:line="15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21"/>
          <w:szCs w:val="21"/>
          <w:color w:val="auto"/>
        </w:rPr>
        <w:t>STOCKHOLDER ACTION BY WRITTEN CONSENT WITHOUT A MEETING</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Subject to the rights of the holders of the shares of any series of preferred stock or any other class of stock or series thereof having a preference over the common stock as dividend or upon liquidation,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RECORD DATES</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4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A determination of stockholders of record entitled to notice of or to vote at a meeting of stockholders shall apply to any adjournment of the meeting;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28" w:right="339" w:bottom="1440" w:gutter="0" w:footer="0" w:header="0"/>
        </w:sectPr>
      </w:pPr>
    </w:p>
    <w:bookmarkStart w:id="27" w:name="page28"/>
    <w:bookmarkEnd w:id="27"/>
    <w:p>
      <w:pPr>
        <w:jc w:val="both"/>
        <w:ind w:firstLine="648"/>
        <w:spacing w:after="0" w:line="294" w:lineRule="auto"/>
        <w:rPr>
          <w:sz w:val="20"/>
          <w:szCs w:val="20"/>
          <w:color w:val="auto"/>
        </w:rPr>
      </w:pPr>
      <w:r>
        <w:rPr>
          <w:rFonts w:ascii="Arial" w:cs="Arial" w:eastAsia="Arial" w:hAnsi="Arial"/>
          <w:sz w:val="19"/>
          <w:szCs w:val="19"/>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4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color w:val="auto"/>
        </w:rPr>
        <w:t>PROXIES</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Each stockholder entitled to vote at a meeting of stockholders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 A written proxy may be in the form of a telegram, cablegram, or other means of electronic transmission which sets forth or is submitted with information from which it can be determined that the telegram, cablegram, or other means of electronic transmission was authorized by the person.</w:t>
      </w:r>
    </w:p>
    <w:p>
      <w:pPr>
        <w:spacing w:after="0" w:line="15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color w:val="auto"/>
        </w:rPr>
        <w:t>LIST OF STOCKHOLDERS ENTITLED TO VOTE</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The corporation shall prepare, at least 10 days before every meeting of stockholders, a complete list of the stockholders entitled to vote at the meeting;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information required to gain access to such list is provided with the notice of the meeting, or (ii) during ordinary business hours, at the corporation’s principal place of business.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28" w:right="339" w:bottom="1440" w:gutter="0" w:footer="0" w:header="0"/>
        </w:sectPr>
      </w:pPr>
    </w:p>
    <w:bookmarkStart w:id="28" w:name="page29"/>
    <w:bookmarkEnd w:id="28"/>
    <w:p>
      <w:pPr>
        <w:ind w:left="660"/>
        <w:spacing w:after="0"/>
        <w:tabs>
          <w:tab w:leader="none" w:pos="128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color w:val="auto"/>
        </w:rPr>
        <w:t>INSPECTORS OF ELECTION</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Before any meeting of stockholders, the board of directors shall appoint an inspector or inspectors of election to act at the meeting or its adjournment. The number of inspectors shall be either one (1) or three (3). If any person appointed as inspector fails to appear or fails or refuses to act, then the chairperson of the meeting may, and upon the request of any stockholder or a stockholder’s proxy shall, appoint a person to fill that vacancy.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Such inspectors shall:</w:t>
      </w:r>
    </w:p>
    <w:p>
      <w:pPr>
        <w:spacing w:after="0" w:line="220" w:lineRule="exact"/>
        <w:rPr>
          <w:sz w:val="20"/>
          <w:szCs w:val="20"/>
          <w:color w:val="auto"/>
        </w:rPr>
      </w:pPr>
    </w:p>
    <w:p>
      <w:pPr>
        <w:ind w:left="1940" w:hanging="636"/>
        <w:spacing w:after="0"/>
        <w:tabs>
          <w:tab w:leader="none" w:pos="19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ascertain the number of shares outstanding and the voting power of each;</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determine the shares represented at the meeting and the validity of proxies and ballots;</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count all votes and ballots;</w:t>
      </w:r>
    </w:p>
    <w:p>
      <w:pPr>
        <w:spacing w:after="0" w:line="219" w:lineRule="exact"/>
        <w:rPr>
          <w:rFonts w:ascii="Arial" w:cs="Arial" w:eastAsia="Arial" w:hAnsi="Arial"/>
          <w:sz w:val="22"/>
          <w:szCs w:val="22"/>
          <w:color w:val="auto"/>
        </w:rPr>
      </w:pPr>
    </w:p>
    <w:p>
      <w:pPr>
        <w:ind w:firstLine="1304"/>
        <w:spacing w:after="0" w:line="263" w:lineRule="auto"/>
        <w:tabs>
          <w:tab w:leader="none" w:pos="1932" w:val="left"/>
        </w:tabs>
        <w:numPr>
          <w:ilvl w:val="0"/>
          <w:numId w:val="21"/>
        </w:numPr>
        <w:rPr>
          <w:rFonts w:ascii="Arial" w:cs="Arial" w:eastAsia="Arial" w:hAnsi="Arial"/>
          <w:sz w:val="22"/>
          <w:szCs w:val="22"/>
          <w:color w:val="auto"/>
        </w:rPr>
      </w:pPr>
      <w:r>
        <w:rPr>
          <w:rFonts w:ascii="Arial" w:cs="Arial" w:eastAsia="Arial" w:hAnsi="Arial"/>
          <w:sz w:val="22"/>
          <w:szCs w:val="22"/>
          <w:color w:val="auto"/>
        </w:rPr>
        <w:t>determine and retain for a reasonable period a record of the disposition of any challenges made to any determination by the inspectors; and</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certify their determination of the number of shares represented at the meeting, and their count of all votes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 ballots.</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The inspectors of election shall perform their duties impartially, in good faith, to the best of their ability and as expeditiously as is practical. If there are three (3) inspectors of election, the decision, act or certificate of a majority is effective in all respects as the decision, act or certificate of all. Any report or certificate made by the inspectors of election is </w:t>
      </w:r>
      <w:r>
        <w:rPr>
          <w:rFonts w:ascii="Arial" w:cs="Arial" w:eastAsia="Arial" w:hAnsi="Arial"/>
          <w:sz w:val="22"/>
          <w:szCs w:val="22"/>
          <w:i w:val="1"/>
          <w:iCs w:val="1"/>
          <w:color w:val="auto"/>
        </w:rPr>
        <w:t>prima facie</w:t>
      </w:r>
      <w:r>
        <w:rPr>
          <w:rFonts w:ascii="Arial" w:cs="Arial" w:eastAsia="Arial" w:hAnsi="Arial"/>
          <w:sz w:val="22"/>
          <w:szCs w:val="22"/>
          <w:color w:val="auto"/>
        </w:rPr>
        <w:t xml:space="preserve"> evidence of the facts stated therein.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 - DIRECTORS</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POWERS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business and affairs of the corporation shall be managed by or under the direction of the board of directors, except as may be otherwise provided in the DGCL or the certificate of incorporation.</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NUMBER OF DIRECTORS</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board of directors shall consist of one or more members, each of whom shall be a natural person. Unless the certificate of incorporation fixes the number of directors, the number of directors shall be determined from time to time by resolution of the board of directors. No reduction of the authorized number of directors shall have the effect of removing any director before that director’s term of office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28" w:right="339" w:bottom="1440" w:gutter="0" w:footer="0" w:header="0"/>
        </w:sectPr>
      </w:pPr>
    </w:p>
    <w:bookmarkStart w:id="29" w:name="page30"/>
    <w:bookmarkEnd w:id="29"/>
    <w:p>
      <w:pPr>
        <w:ind w:left="660"/>
        <w:spacing w:after="0"/>
        <w:tabs>
          <w:tab w:leader="none" w:pos="12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ELECTION, QUALIFICATION AND TERM OF OFFICE OF DIRECTORS</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If so provided in the certificate of incorporation, the directors of the corporation shall be divided into three classes.</w:t>
      </w:r>
    </w:p>
    <w:p>
      <w:pPr>
        <w:spacing w:after="0" w:line="23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color w:val="auto"/>
        </w:rPr>
        <w:t>RESIGNATION AND VACANCIES</w:t>
      </w: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Any director may resign at any time upon notice given in writing or by electronic transmission to the corporation.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8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Unless otherwise provided in the certificate of incorporation or these bylaws,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not by stockholders. If the directors are divided into classes, a person so elected by the directors then in office to fill a vacancy or newly created directorship shall hold office until the next election of the class for which such director shall have been chosen and until his or her successor shall have been duly elected and qualified.</w:t>
      </w:r>
    </w:p>
    <w:p>
      <w:pPr>
        <w:spacing w:after="0" w:line="14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DGCL.</w:t>
      </w:r>
    </w:p>
    <w:p>
      <w:pPr>
        <w:spacing w:after="0" w:line="19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If, at the time of filling any vacancy or any newly created directorship, the directors then in office constitute less than a majority of the whole board of directors (as constituted immediately prior to any such increase), the Court of Chancery may, upon application of any stockholder or stockholders holding at least 10% of the voting stock at the time outstanding having the right to vote for such directors, summarily order an election to be held to fill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28" w:right="339" w:bottom="1440" w:gutter="0" w:footer="0" w:header="0"/>
        </w:sectPr>
      </w:pPr>
    </w:p>
    <w:bookmarkStart w:id="30" w:name="page31"/>
    <w:bookmarkEnd w:id="30"/>
    <w:p>
      <w:pPr>
        <w:jc w:val="both"/>
        <w:spacing w:after="0" w:line="263" w:lineRule="auto"/>
        <w:rPr>
          <w:sz w:val="20"/>
          <w:szCs w:val="20"/>
          <w:color w:val="auto"/>
        </w:rPr>
      </w:pPr>
      <w:r>
        <w:rPr>
          <w:rFonts w:ascii="Arial" w:cs="Arial" w:eastAsia="Arial" w:hAnsi="Arial"/>
          <w:sz w:val="22"/>
          <w:szCs w:val="22"/>
          <w:color w:val="auto"/>
        </w:rPr>
        <w:t>vacancies or newly created directorships, or to replace the directors chosen by the directors then in office as aforesaid, which election shall be governed by the provisions of Section 211 of the DGCL as far as applicable.</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color w:val="auto"/>
        </w:rPr>
        <w:t>PLACE OF MEETINGS; MEETINGS BY TELEPHONE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board of directors may hold meetings, both regular and special, either within or outside the State of Delaware.</w:t>
      </w:r>
    </w:p>
    <w:p>
      <w:pPr>
        <w:spacing w:after="0" w:line="25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Unless otherwise restricted by the certificate of incorporation or these bylaws, members of the board of directors, or any committee designated by the board of directors or any subcommittee, may participate in a meeting of the board of directors, or any such committee or subcommittee,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9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9"/>
          <w:szCs w:val="19"/>
          <w:color w:val="auto"/>
        </w:rPr>
        <w:t>REGULAR MEETINGS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Regular meetings of the board of directors may be held without notice at such time and at such place as shall from time to time be determined by the board of directors.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19"/>
          <w:szCs w:val="19"/>
          <w:color w:val="auto"/>
        </w:rPr>
        <w:t>SPECIAL MEETINGS; NOTICE</w:t>
      </w:r>
    </w:p>
    <w:p>
      <w:pPr>
        <w:spacing w:after="0" w:line="220"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Special meetings of the board of directors for any purpose or purposes may be called at any time by the chairperson of the board of directors, the chief executive officer, the president, the secretary or a majority of the authorized number of directors.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Notice of the time and place of special meetings shall be:</w:t>
      </w:r>
    </w:p>
    <w:p>
      <w:pPr>
        <w:spacing w:after="0" w:line="220" w:lineRule="exact"/>
        <w:rPr>
          <w:sz w:val="20"/>
          <w:szCs w:val="20"/>
          <w:color w:val="auto"/>
        </w:rPr>
      </w:pPr>
    </w:p>
    <w:p>
      <w:pPr>
        <w:ind w:left="1940" w:hanging="636"/>
        <w:spacing w:after="0"/>
        <w:tabs>
          <w:tab w:leader="none" w:pos="19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delivered personally by hand, by courier or by telephone;</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sent by United States first-class mail, postage prepaid;</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sent by facsimile;</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sent by electronic mail; or</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otherwise given by electronic transmission (as defined in Section 7.2),</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directed to each director at that director’s address, telephone number, facsimile number, electronic mail address or other contact for notice by electronic transmission, as the case may be, as shown on the corporation’s records.</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If the notice is (i) delivered personally by hand, by courier or by telephone,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28" w:right="339" w:bottom="1440" w:gutter="0" w:footer="0" w:header="0"/>
        </w:sectPr>
      </w:pPr>
    </w:p>
    <w:bookmarkStart w:id="31" w:name="page32"/>
    <w:bookmarkEnd w:id="31"/>
    <w:p>
      <w:pPr>
        <w:jc w:val="both"/>
        <w:spacing w:after="0" w:line="253" w:lineRule="auto"/>
        <w:rPr>
          <w:sz w:val="20"/>
          <w:szCs w:val="20"/>
          <w:color w:val="auto"/>
        </w:rPr>
      </w:pPr>
      <w:r>
        <w:rPr>
          <w:rFonts w:ascii="Arial" w:cs="Arial" w:eastAsia="Arial" w:hAnsi="Arial"/>
          <w:sz w:val="22"/>
          <w:szCs w:val="22"/>
          <w:color w:val="auto"/>
        </w:rPr>
        <w:t>deposited in the United States mail at least four days before the time of the holding of the meeting. Any oral notice may be communicated to the director. The notice need not specify the place of the meeting (if the meeting is to be held at the corporation’s principal executive office) nor the purpose of the meeting.</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3.8</w:t>
      </w:r>
      <w:r>
        <w:rPr>
          <w:sz w:val="20"/>
          <w:szCs w:val="20"/>
          <w:color w:val="auto"/>
        </w:rPr>
        <w:tab/>
      </w:r>
      <w:r>
        <w:rPr>
          <w:rFonts w:ascii="Arial" w:cs="Arial" w:eastAsia="Arial" w:hAnsi="Arial"/>
          <w:sz w:val="21"/>
          <w:szCs w:val="21"/>
          <w:color w:val="auto"/>
        </w:rPr>
        <w:t>QUORUM; VOTING</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At all meetings of the board of directors, a majority of the total authorized number of directors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 A meeting at which a quorum is initially present may continue to transact business notwithstanding the withdrawal of directors, if any action taken is approved by at least a majority of the required quorum for that meeting.</w:t>
      </w:r>
    </w:p>
    <w:p>
      <w:pPr>
        <w:spacing w:after="0" w:line="147"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1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the certificate of incorporation provides that one or more directors shall have more or less than one vote per director on any matter, every reference in these bylaws to a majority or other proportion of the directors shall refer to a majority or other proportion of the votes of the directors.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21"/>
          <w:szCs w:val="21"/>
          <w:color w:val="auto"/>
        </w:rPr>
        <w:t>BOARD ACTION BY WRITTEN CONSENT WITHOUT A MEETING</w:t>
      </w:r>
    </w:p>
    <w:p>
      <w:pPr>
        <w:spacing w:after="0" w:line="22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Unless otherwise restricted by the certificate of incorporation or these bylaws, any action required or permitted to be taken at any meeting of the board of directors, or of any committee or subcommittee thereof, may be taken without a meeting if all members of the board of directors or committee or subcommittee, as the case may be, consent thereto in writing or by electronic transmission and the writing or writings or electronic transmission or transmissions are filed with the minutes of proceedings of the board of directors or committee or subcommittee. Such filing shall be in paper form if the minutes are maintained in paper form and shall be in electronic form if the minutes are maintained in electronic form.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3.10</w:t>
      </w:r>
      <w:r>
        <w:rPr>
          <w:sz w:val="20"/>
          <w:szCs w:val="20"/>
          <w:color w:val="auto"/>
        </w:rPr>
        <w:tab/>
      </w:r>
      <w:r>
        <w:rPr>
          <w:rFonts w:ascii="Arial" w:cs="Arial" w:eastAsia="Arial" w:hAnsi="Arial"/>
          <w:sz w:val="19"/>
          <w:szCs w:val="19"/>
          <w:color w:val="auto"/>
        </w:rPr>
        <w:t>FEES AND COMPENSATION OF DIRECTORS</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Unless otherwise restricted by the certificate of incorporation or these bylaws, the board of directors shall have the authority to fix the compensation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28" w:right="339" w:bottom="1440" w:gutter="0" w:footer="0" w:header="0"/>
        </w:sectPr>
      </w:pPr>
    </w:p>
    <w:bookmarkStart w:id="32" w:name="page33"/>
    <w:bookmarkEnd w:id="32"/>
    <w:p>
      <w:pPr>
        <w:ind w:left="660"/>
        <w:spacing w:after="0"/>
        <w:tabs>
          <w:tab w:leader="none" w:pos="128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color w:val="auto"/>
        </w:rPr>
        <w:t>REMOVAL OF DIRECTORS</w:t>
      </w:r>
    </w:p>
    <w:p>
      <w:pPr>
        <w:spacing w:after="0" w:line="220"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Consistent with Section 141(k) of the DGCL, so long as the board of directors remains classified as provided in Section 141(d) of the DGCL, any director may be removed from office by the stockholders of the corporation only for cause.</w:t>
      </w:r>
    </w:p>
    <w:p>
      <w:pPr>
        <w:spacing w:after="0" w:line="1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 reduction of the authorized number of directors shall have the effect of removing any director prior to the expiration of such director’s term of office.</w:t>
      </w:r>
    </w:p>
    <w:p>
      <w:pPr>
        <w:spacing w:after="0" w:line="169" w:lineRule="exact"/>
        <w:rPr>
          <w:sz w:val="20"/>
          <w:szCs w:val="20"/>
          <w:color w:val="auto"/>
        </w:rPr>
      </w:pPr>
    </w:p>
    <w:p>
      <w:pPr>
        <w:ind w:left="4180"/>
        <w:spacing w:after="0"/>
        <w:rPr>
          <w:sz w:val="20"/>
          <w:szCs w:val="20"/>
          <w:color w:val="auto"/>
        </w:rPr>
      </w:pPr>
      <w:r>
        <w:rPr>
          <w:rFonts w:ascii="Arial" w:cs="Arial" w:eastAsia="Arial" w:hAnsi="Arial"/>
          <w:sz w:val="22"/>
          <w:szCs w:val="22"/>
          <w:b w:val="1"/>
          <w:bCs w:val="1"/>
          <w:color w:val="auto"/>
        </w:rPr>
        <w:t>ARTICLE IV- COMMITTEES</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COMMITTEES OF DIRECTORS</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w:t>
      </w:r>
    </w:p>
    <w:p>
      <w:pPr>
        <w:spacing w:after="0" w:line="1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color w:val="auto"/>
        </w:rPr>
        <w:t>COMMITTEE MINUTES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Each committee and subcommittee shall keep regular minutes of its meetings and report the same to the board of directors, or the committee, when required.</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21"/>
          <w:szCs w:val="21"/>
          <w:color w:val="auto"/>
        </w:rPr>
        <w:t>MEETINGS AND ACTION OF COMMITTEES</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A majority of the directors then serving on a committee or subcommittee shall constitute a quorum for the transaction of business by the committee or subcommittee, unless the certificate of incorporation, these bylaws, a resolution of the board of directors or a resolution of a committee that created the subcommittee requires a greater or lesser number,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case shall a quorum be less than 1/3 of the directors then serving on the committee or subcommittee. The vote of the majority of the members of a committee or subcommittee present at a meeting at which a quorum is present shall be the act of the committee or subcommittee, unless the certificate of incorporation, these bylaws, a resolution of the board of directors or a resolution of a committee that created the subcommittee requires a greater number. Meetings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28" w:right="339" w:bottom="1440" w:gutter="0" w:footer="0" w:header="0"/>
        </w:sectPr>
      </w:pPr>
    </w:p>
    <w:bookmarkStart w:id="33" w:name="page34"/>
    <w:bookmarkEnd w:id="33"/>
    <w:p>
      <w:pPr>
        <w:spacing w:after="0" w:line="263" w:lineRule="auto"/>
        <w:rPr>
          <w:sz w:val="20"/>
          <w:szCs w:val="20"/>
          <w:color w:val="auto"/>
        </w:rPr>
      </w:pPr>
      <w:r>
        <w:rPr>
          <w:rFonts w:ascii="Arial" w:cs="Arial" w:eastAsia="Arial" w:hAnsi="Arial"/>
          <w:sz w:val="22"/>
          <w:szCs w:val="22"/>
          <w:color w:val="auto"/>
        </w:rPr>
        <w:t>actions of committees and subcommittees shall otherwise be governed by, and held and taken in accordance with, the provisions of:</w:t>
      </w:r>
    </w:p>
    <w:p>
      <w:pPr>
        <w:spacing w:after="0" w:line="175" w:lineRule="exact"/>
        <w:rPr>
          <w:sz w:val="20"/>
          <w:szCs w:val="20"/>
          <w:color w:val="auto"/>
        </w:rPr>
      </w:pPr>
    </w:p>
    <w:p>
      <w:pPr>
        <w:ind w:left="1940" w:hanging="636"/>
        <w:spacing w:after="0"/>
        <w:tabs>
          <w:tab w:leader="none" w:pos="19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Section 3.5 (place of meetings and meetings by telephone);</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Section 3.6 (regular meetings);</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Section 3.7 (special meetings and notice);</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Section 3.8 (quorum; voting);</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Section 7.5 (waiver of notice); and</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Section 3.9 (action without a meeting)</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with such changes in the context of those bylaws as are necessary to substitute the committee or subcommittee and its members for the board of directors and its members. </w:t>
      </w:r>
      <w:r>
        <w:rPr>
          <w:rFonts w:ascii="Arial" w:cs="Arial" w:eastAsia="Arial" w:hAnsi="Arial"/>
          <w:sz w:val="22"/>
          <w:szCs w:val="22"/>
          <w:i w:val="1"/>
          <w:iCs w:val="1"/>
          <w:color w:val="auto"/>
        </w:rPr>
        <w:t>However</w:t>
      </w:r>
      <w:r>
        <w:rPr>
          <w:rFonts w:ascii="Arial" w:cs="Arial" w:eastAsia="Arial" w:hAnsi="Arial"/>
          <w:sz w:val="22"/>
          <w:szCs w:val="22"/>
          <w:color w:val="auto"/>
        </w:rPr>
        <w:t>:</w:t>
      </w:r>
    </w:p>
    <w:p>
      <w:pPr>
        <w:spacing w:after="0" w:line="175" w:lineRule="exact"/>
        <w:rPr>
          <w:sz w:val="20"/>
          <w:szCs w:val="20"/>
          <w:color w:val="auto"/>
        </w:rPr>
      </w:pPr>
    </w:p>
    <w:p>
      <w:pPr>
        <w:ind w:firstLine="1304"/>
        <w:spacing w:after="0" w:line="263" w:lineRule="auto"/>
        <w:tabs>
          <w:tab w:leader="none" w:pos="1932"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time and place of regular meetings of committees and subcommittees may be determined either by resolution of the board of directors or by resolution of the committee or subcommittee;</w:t>
      </w:r>
    </w:p>
    <w:p>
      <w:pPr>
        <w:spacing w:after="0" w:line="174" w:lineRule="exact"/>
        <w:rPr>
          <w:rFonts w:ascii="Arial" w:cs="Arial" w:eastAsia="Arial" w:hAnsi="Arial"/>
          <w:sz w:val="22"/>
          <w:szCs w:val="22"/>
          <w:color w:val="auto"/>
        </w:rPr>
      </w:pPr>
    </w:p>
    <w:p>
      <w:pPr>
        <w:ind w:right="20" w:firstLine="1304"/>
        <w:spacing w:after="0" w:line="263" w:lineRule="auto"/>
        <w:tabs>
          <w:tab w:leader="none" w:pos="1938" w:val="left"/>
        </w:tabs>
        <w:numPr>
          <w:ilvl w:val="0"/>
          <w:numId w:val="24"/>
        </w:numPr>
        <w:rPr>
          <w:rFonts w:ascii="Arial" w:cs="Arial" w:eastAsia="Arial" w:hAnsi="Arial"/>
          <w:sz w:val="22"/>
          <w:szCs w:val="22"/>
          <w:color w:val="auto"/>
        </w:rPr>
      </w:pPr>
      <w:r>
        <w:rPr>
          <w:rFonts w:ascii="Arial" w:cs="Arial" w:eastAsia="Arial" w:hAnsi="Arial"/>
          <w:sz w:val="22"/>
          <w:szCs w:val="22"/>
          <w:color w:val="auto"/>
        </w:rPr>
        <w:t>special meetings of committees and subcommittees may also be called by resolution of the board of directors or the committee or subcommittee; and</w:t>
      </w:r>
    </w:p>
    <w:p>
      <w:pPr>
        <w:spacing w:after="0" w:line="174" w:lineRule="exact"/>
        <w:rPr>
          <w:rFonts w:ascii="Arial" w:cs="Arial" w:eastAsia="Arial" w:hAnsi="Arial"/>
          <w:sz w:val="22"/>
          <w:szCs w:val="22"/>
          <w:color w:val="auto"/>
        </w:rPr>
      </w:pPr>
    </w:p>
    <w:p>
      <w:pPr>
        <w:jc w:val="both"/>
        <w:ind w:firstLine="1304"/>
        <w:spacing w:after="0" w:line="265" w:lineRule="auto"/>
        <w:tabs>
          <w:tab w:leader="none" w:pos="1944" w:val="left"/>
        </w:tabs>
        <w:numPr>
          <w:ilvl w:val="0"/>
          <w:numId w:val="24"/>
        </w:numPr>
        <w:rPr>
          <w:rFonts w:ascii="Arial" w:cs="Arial" w:eastAsia="Arial" w:hAnsi="Arial"/>
          <w:sz w:val="21"/>
          <w:szCs w:val="21"/>
          <w:color w:val="auto"/>
        </w:rPr>
      </w:pPr>
      <w:r>
        <w:rPr>
          <w:rFonts w:ascii="Arial" w:cs="Arial" w:eastAsia="Arial" w:hAnsi="Arial"/>
          <w:sz w:val="21"/>
          <w:szCs w:val="21"/>
          <w:color w:val="auto"/>
        </w:rPr>
        <w:t>notice of special meetings of committees and subcommittees shall also be given to all alternate members, as applicable, who shall have the right to attend all meetings of the committee or subcommittee. The board of directors, or, in the absence of any such action by the board of directors, the committee or subcommittee, may adopt rules for the government of any committee or subcommittee not inconsistent with the provisions of these bylaws.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color w:val="auto"/>
        </w:rPr>
        <w:t>SUBCOMMITTEES</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28" w:right="339" w:bottom="1440" w:gutter="0" w:footer="0" w:header="0"/>
        </w:sectPr>
      </w:pPr>
    </w:p>
    <w:bookmarkStart w:id="34" w:name="page35"/>
    <w:bookmarkEnd w:id="34"/>
    <w:p>
      <w:pPr>
        <w:jc w:val="center"/>
        <w:ind w:right="-339"/>
        <w:spacing w:after="0"/>
        <w:rPr>
          <w:sz w:val="20"/>
          <w:szCs w:val="20"/>
          <w:color w:val="auto"/>
        </w:rPr>
      </w:pPr>
      <w:r>
        <w:rPr>
          <w:rFonts w:ascii="Arial" w:cs="Arial" w:eastAsia="Arial" w:hAnsi="Arial"/>
          <w:sz w:val="22"/>
          <w:szCs w:val="22"/>
          <w:b w:val="1"/>
          <w:bCs w:val="1"/>
          <w:color w:val="auto"/>
        </w:rPr>
        <w:t>ARTICLE V - OFFICERS</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OFFICERS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officers of the corporation shall be a president and a secretary. The corporation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APPOINTMENT OF OFFICERS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board of directors shall appoint the officers of the corporation, except such officers as may be appointed in accordance with the provisions of Sections 5.3 of these bylaws, subject to the rights, if any, of an officer under any contract of employment.</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SUBORDINATE OFFICERS</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board of directors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of directors may from time to time determine.</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color w:val="auto"/>
        </w:rPr>
        <w:t>REMOVAL AND RESIGNATION OF OFFICERS</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Subject to the rights, if any, of an officer under any contract of employment, any officer may be removed, either with or without cause, by an affirmative vote of the majority of the board of directors at any regular or special meeting of the board of directors or, except in the case of an officer chosen by the board of directors, by any officer upon whom such power of removal may be conferred by the board of directors.</w:t>
      </w:r>
    </w:p>
    <w:p>
      <w:pPr>
        <w:spacing w:after="0" w:line="18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color w:val="auto"/>
        </w:rPr>
        <w:t>VACANCIES IN OFFICES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Any vacancy occurring in any office of the corporation shall be filled by the board of directors or as provided in Section 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22" w:right="339" w:bottom="1440" w:gutter="0" w:footer="0" w:header="0"/>
        </w:sectPr>
      </w:pPr>
    </w:p>
    <w:bookmarkStart w:id="35" w:name="page36"/>
    <w:bookmarkEnd w:id="35"/>
    <w:p>
      <w:pPr>
        <w:ind w:left="660"/>
        <w:spacing w:after="0"/>
        <w:tabs>
          <w:tab w:leader="none" w:pos="128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color w:val="auto"/>
        </w:rPr>
        <w:t>REPRESENTATION OF SHARES OF OTHER CORPORATIONS</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chairperson of the board of directors,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9"/>
          <w:szCs w:val="19"/>
          <w:color w:val="auto"/>
        </w:rPr>
        <w:t>AUTHORITY AND DUTIES OF OFFICERS</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1"/>
          <w:szCs w:val="21"/>
          <w:color w:val="auto"/>
        </w:rPr>
        <w:t>All officers of the corporation shall respectively have such authority and perform such duties in the management of the business of the corporation as may be designated from time to time by the board of directors and, to the extent not so provided, as generally pertain to their respective offices, subject to the control of the board of directors.</w:t>
      </w:r>
    </w:p>
    <w:p>
      <w:pPr>
        <w:spacing w:after="0" w:line="161"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ARTICLE VI - STOCK</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color w:val="auto"/>
        </w:rPr>
        <w:t>STOCK CERTIFICATES; PARTLY PAID SHARES</w:t>
      </w:r>
    </w:p>
    <w:p>
      <w:pPr>
        <w:spacing w:after="0" w:line="22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The shares of the corporation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corporation. Unless otherwise provided by resolution of the board of directors, every holder of stock represented by certificates shall be entitled to have a certificate signed by, or in the name of, the corporation by any two authorized officers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w:t>
      </w:r>
    </w:p>
    <w:p>
      <w:pPr>
        <w:spacing w:after="0" w:line="1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28" w:right="339" w:bottom="1440" w:gutter="0" w:footer="0" w:header="0"/>
        </w:sectPr>
      </w:pPr>
    </w:p>
    <w:bookmarkStart w:id="36" w:name="page37"/>
    <w:bookmarkEnd w:id="36"/>
    <w:p>
      <w:pPr>
        <w:ind w:left="660"/>
        <w:spacing w:after="0"/>
        <w:tabs>
          <w:tab w:leader="none" w:pos="12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SPECIAL DESIGNATION ON CERTIFICATES</w:t>
      </w:r>
    </w:p>
    <w:p>
      <w:pPr>
        <w:spacing w:after="0" w:line="22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Arial" w:cs="Arial" w:eastAsia="Arial" w:hAnsi="Arial"/>
          <w:sz w:val="19"/>
          <w:szCs w:val="19"/>
          <w:i w:val="1"/>
          <w:iCs w:val="1"/>
          <w:color w:val="auto"/>
        </w:rPr>
        <w:t>provided, however</w:t>
      </w:r>
      <w:r>
        <w:rPr>
          <w:rFonts w:ascii="Arial" w:cs="Arial" w:eastAsia="Arial" w:hAnsi="Arial"/>
          <w:sz w:val="19"/>
          <w:szCs w:val="19"/>
          <w:color w:val="auto"/>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156, 202(a), 218(a) or 364 of the DGCL or with respect to this Section 6.2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color w:val="auto"/>
        </w:rPr>
        <w:t>LOST CERTIFICATES</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Except as provided in this Section 6.3,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21"/>
          <w:szCs w:val="21"/>
          <w:color w:val="auto"/>
        </w:rPr>
        <w:t>DIVIDENDS</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board of directors, subject to any restrictions contained in the certificate of incorporation or applicable law, may declare and pay dividends upon the shares of the corporation’s capital stock. Dividends may be paid in cash, in property, or in shares of the corporation’s capital stock, subject to the provisions of the certificate of incorporation.</w:t>
      </w:r>
    </w:p>
    <w:p>
      <w:pPr>
        <w:spacing w:after="0" w:line="16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board of directors may set apart out of any of the funds of the corporation available for dividends a reserve or reserves for any proper purpose and may abolish any such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28" w:right="339" w:bottom="1440" w:gutter="0" w:footer="0" w:header="0"/>
        </w:sectPr>
      </w:pPr>
    </w:p>
    <w:bookmarkStart w:id="37" w:name="page38"/>
    <w:bookmarkEnd w:id="37"/>
    <w:p>
      <w:pPr>
        <w:jc w:val="both"/>
        <w:spacing w:after="0" w:line="263" w:lineRule="auto"/>
        <w:rPr>
          <w:sz w:val="20"/>
          <w:szCs w:val="20"/>
          <w:color w:val="auto"/>
        </w:rPr>
      </w:pPr>
      <w:r>
        <w:rPr>
          <w:rFonts w:ascii="Arial" w:cs="Arial" w:eastAsia="Arial" w:hAnsi="Arial"/>
          <w:sz w:val="22"/>
          <w:szCs w:val="22"/>
          <w:color w:val="auto"/>
        </w:rPr>
        <w:t>Such purposes shall include but not be limited to equalizing dividends, repairing or maintaining any property of the corporation, and meeting contingencies.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color w:val="auto"/>
        </w:rPr>
        <w:t>TRANSFER OF STOCK</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Transfers of record of shares of stock of the corporation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13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19"/>
          <w:szCs w:val="19"/>
          <w:color w:val="auto"/>
        </w:rPr>
        <w:t>STOCK TRANSFER AGREEMENTS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9"/>
          <w:szCs w:val="19"/>
          <w:color w:val="auto"/>
        </w:rPr>
        <w:t>REGISTERED STOCKHOLDERS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corporation:</w:t>
      </w:r>
    </w:p>
    <w:p>
      <w:pPr>
        <w:spacing w:after="0" w:line="220" w:lineRule="exact"/>
        <w:rPr>
          <w:sz w:val="20"/>
          <w:szCs w:val="20"/>
          <w:color w:val="auto"/>
        </w:rPr>
      </w:pPr>
    </w:p>
    <w:p>
      <w:pPr>
        <w:jc w:val="both"/>
        <w:ind w:firstLine="1304"/>
        <w:spacing w:after="0" w:line="253" w:lineRule="auto"/>
        <w:tabs>
          <w:tab w:leader="none" w:pos="1932" w:val="left"/>
        </w:tabs>
        <w:numPr>
          <w:ilvl w:val="0"/>
          <w:numId w:val="25"/>
        </w:numPr>
        <w:rPr>
          <w:rFonts w:ascii="Arial" w:cs="Arial" w:eastAsia="Arial" w:hAnsi="Arial"/>
          <w:sz w:val="22"/>
          <w:szCs w:val="22"/>
          <w:color w:val="auto"/>
        </w:rPr>
      </w:pPr>
      <w:r>
        <w:rPr>
          <w:rFonts w:ascii="Arial" w:cs="Arial" w:eastAsia="Arial" w:hAnsi="Arial"/>
          <w:sz w:val="22"/>
          <w:szCs w:val="22"/>
          <w:color w:val="auto"/>
        </w:rPr>
        <w:t>shall be entitled to treat the person registered on its books as the owner of any share or shares as the person exclusively entitled to receive dividends, vote, receive notifications and otherwise exercise all the rights and powers of an owner of such share or shares; and</w:t>
      </w:r>
    </w:p>
    <w:p>
      <w:pPr>
        <w:spacing w:after="0" w:line="185" w:lineRule="exact"/>
        <w:rPr>
          <w:rFonts w:ascii="Arial" w:cs="Arial" w:eastAsia="Arial" w:hAnsi="Arial"/>
          <w:sz w:val="22"/>
          <w:szCs w:val="22"/>
          <w:color w:val="auto"/>
        </w:rPr>
      </w:pPr>
    </w:p>
    <w:p>
      <w:pPr>
        <w:jc w:val="both"/>
        <w:ind w:firstLine="1304"/>
        <w:spacing w:after="0" w:line="253" w:lineRule="auto"/>
        <w:tabs>
          <w:tab w:leader="none" w:pos="1938" w:val="left"/>
        </w:tabs>
        <w:numPr>
          <w:ilvl w:val="0"/>
          <w:numId w:val="25"/>
        </w:numPr>
        <w:rPr>
          <w:rFonts w:ascii="Arial" w:cs="Arial" w:eastAsia="Arial" w:hAnsi="Arial"/>
          <w:sz w:val="22"/>
          <w:szCs w:val="22"/>
          <w:color w:val="auto"/>
        </w:rPr>
      </w:pPr>
      <w:r>
        <w:rPr>
          <w:rFonts w:ascii="Arial" w:cs="Arial" w:eastAsia="Arial" w:hAnsi="Arial"/>
          <w:sz w:val="22"/>
          <w:szCs w:val="22"/>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79" w:lineRule="exact"/>
        <w:rPr>
          <w:sz w:val="20"/>
          <w:szCs w:val="20"/>
          <w:color w:val="auto"/>
        </w:rPr>
      </w:pPr>
    </w:p>
    <w:p>
      <w:pPr>
        <w:ind w:left="660" w:right="2400" w:firstLine="2079"/>
        <w:spacing w:after="0" w:line="451" w:lineRule="auto"/>
        <w:rPr>
          <w:sz w:val="20"/>
          <w:szCs w:val="20"/>
          <w:color w:val="auto"/>
        </w:rPr>
      </w:pPr>
      <w:r>
        <w:rPr>
          <w:rFonts w:ascii="Arial" w:cs="Arial" w:eastAsia="Arial" w:hAnsi="Arial"/>
          <w:sz w:val="22"/>
          <w:szCs w:val="22"/>
          <w:b w:val="1"/>
          <w:bCs w:val="1"/>
          <w:color w:val="auto"/>
        </w:rPr>
        <w:t xml:space="preserve">ARTICLE VII - MANNER OF GIVING NOTICE AND WAIVER </w:t>
      </w:r>
      <w:r>
        <w:rPr>
          <w:rFonts w:ascii="Arial" w:cs="Arial" w:eastAsia="Arial" w:hAnsi="Arial"/>
          <w:sz w:val="22"/>
          <w:szCs w:val="22"/>
          <w:color w:val="auto"/>
        </w:rPr>
        <w:t>7.1 NOTICE OF STOCKHOLDERS’ MEETINGS</w:t>
      </w:r>
    </w:p>
    <w:p>
      <w:pPr>
        <w:jc w:val="both"/>
        <w:ind w:firstLine="648"/>
        <w:spacing w:after="0" w:line="265" w:lineRule="auto"/>
        <w:rPr>
          <w:sz w:val="20"/>
          <w:szCs w:val="20"/>
          <w:color w:val="auto"/>
        </w:rPr>
      </w:pPr>
      <w:r>
        <w:rPr>
          <w:rFonts w:ascii="Arial" w:cs="Arial" w:eastAsia="Arial" w:hAnsi="Arial"/>
          <w:sz w:val="21"/>
          <w:szCs w:val="21"/>
          <w:color w:val="auto"/>
        </w:rPr>
        <w:t xml:space="preserve">Notice of any meeting of stockholders, if mailed, is given when deposited in the United States mail, postage prepaid, directed to the stockholder at such stockholder’s address as it appears on the corporation’s records. An affidavit of the secretary or an assistant secretary of the corporation or of the transfer agent or other agent of the corporation that the notice has been given shall, in the absence of fraud, be </w:t>
      </w:r>
      <w:r>
        <w:rPr>
          <w:rFonts w:ascii="Arial" w:cs="Arial" w:eastAsia="Arial" w:hAnsi="Arial"/>
          <w:sz w:val="21"/>
          <w:szCs w:val="21"/>
          <w:i w:val="1"/>
          <w:iCs w:val="1"/>
          <w:color w:val="auto"/>
        </w:rPr>
        <w:t>prima facie</w:t>
      </w:r>
      <w:r>
        <w:rPr>
          <w:rFonts w:ascii="Arial" w:cs="Arial" w:eastAsia="Arial" w:hAnsi="Arial"/>
          <w:sz w:val="21"/>
          <w:szCs w:val="21"/>
          <w:color w:val="auto"/>
        </w:rPr>
        <w:t xml:space="preserve"> evidence of the facts stated therein.</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NOTICE BY ELECTRONIC TRANSMISSION</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28" w:right="339" w:bottom="1440" w:gutter="0" w:footer="0" w:header="0"/>
        </w:sectPr>
      </w:pPr>
    </w:p>
    <w:bookmarkStart w:id="38" w:name="page39"/>
    <w:bookmarkEnd w:id="38"/>
    <w:p>
      <w:pPr>
        <w:spacing w:after="0" w:line="263" w:lineRule="auto"/>
        <w:rPr>
          <w:sz w:val="20"/>
          <w:szCs w:val="20"/>
          <w:color w:val="auto"/>
        </w:rPr>
      </w:pPr>
      <w:r>
        <w:rPr>
          <w:rFonts w:ascii="Arial" w:cs="Arial" w:eastAsia="Arial" w:hAnsi="Arial"/>
          <w:sz w:val="22"/>
          <w:szCs w:val="22"/>
          <w:color w:val="auto"/>
        </w:rPr>
        <w:t>consented to by the stockholder to whom the notice is given. Any such consent shall be revocable by the stockholder by written notice to the corporation. Any such consent shall be deemed revoked if:</w:t>
      </w:r>
    </w:p>
    <w:p>
      <w:pPr>
        <w:spacing w:after="0" w:line="175" w:lineRule="exact"/>
        <w:rPr>
          <w:sz w:val="20"/>
          <w:szCs w:val="20"/>
          <w:color w:val="auto"/>
        </w:rPr>
      </w:pPr>
    </w:p>
    <w:p>
      <w:pPr>
        <w:ind w:firstLine="1304"/>
        <w:spacing w:after="0" w:line="263" w:lineRule="auto"/>
        <w:tabs>
          <w:tab w:leader="none" w:pos="1932"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corporation is unable to deliver by electronic transmission two consecutive notices given by the corporation in accordance with such consent; and</w:t>
      </w:r>
    </w:p>
    <w:p>
      <w:pPr>
        <w:spacing w:after="0" w:line="174" w:lineRule="exact"/>
        <w:rPr>
          <w:rFonts w:ascii="Arial" w:cs="Arial" w:eastAsia="Arial" w:hAnsi="Arial"/>
          <w:sz w:val="22"/>
          <w:szCs w:val="22"/>
          <w:color w:val="auto"/>
        </w:rPr>
      </w:pPr>
    </w:p>
    <w:p>
      <w:pPr>
        <w:ind w:firstLine="1304"/>
        <w:spacing w:after="0" w:line="263" w:lineRule="auto"/>
        <w:tabs>
          <w:tab w:leader="none" w:pos="1938" w:val="left"/>
        </w:tabs>
        <w:numPr>
          <w:ilvl w:val="0"/>
          <w:numId w:val="26"/>
        </w:numPr>
        <w:rPr>
          <w:rFonts w:ascii="Arial" w:cs="Arial" w:eastAsia="Arial" w:hAnsi="Arial"/>
          <w:sz w:val="22"/>
          <w:szCs w:val="22"/>
          <w:color w:val="auto"/>
        </w:rPr>
      </w:pPr>
      <w:r>
        <w:rPr>
          <w:rFonts w:ascii="Arial" w:cs="Arial" w:eastAsia="Arial" w:hAnsi="Arial"/>
          <w:sz w:val="22"/>
          <w:szCs w:val="22"/>
          <w:color w:val="auto"/>
        </w:rPr>
        <w:t>such inability becomes known to the secretary or an assistant secretary of the corporation or to the transfer agent, or other person responsible for the giving of notice.</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However, the inadvertent failure to treat such inability as a revocation shall not invalidate any meeting or other action.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notice given pursuant to the preceding paragraph shall be deemed given:</w:t>
      </w:r>
    </w:p>
    <w:p>
      <w:pPr>
        <w:spacing w:after="0" w:line="220" w:lineRule="exact"/>
        <w:rPr>
          <w:sz w:val="20"/>
          <w:szCs w:val="20"/>
          <w:color w:val="auto"/>
        </w:rPr>
      </w:pPr>
    </w:p>
    <w:p>
      <w:pPr>
        <w:ind w:left="1960" w:hanging="656"/>
        <w:spacing w:after="0" w:line="263" w:lineRule="auto"/>
        <w:tabs>
          <w:tab w:leader="none" w:pos="1948" w:val="left"/>
        </w:tabs>
        <w:numPr>
          <w:ilvl w:val="0"/>
          <w:numId w:val="27"/>
        </w:numPr>
        <w:rPr>
          <w:rFonts w:ascii="Arial" w:cs="Arial" w:eastAsia="Arial" w:hAnsi="Arial"/>
          <w:sz w:val="22"/>
          <w:szCs w:val="22"/>
          <w:color w:val="auto"/>
        </w:rPr>
      </w:pPr>
      <w:r>
        <w:rPr>
          <w:rFonts w:ascii="Arial" w:cs="Arial" w:eastAsia="Arial" w:hAnsi="Arial"/>
          <w:sz w:val="22"/>
          <w:szCs w:val="22"/>
          <w:color w:val="auto"/>
        </w:rPr>
        <w:t>if by facsimile telecommunication, when directed to a number at which the stockholder has consented to receive notice;</w:t>
      </w:r>
    </w:p>
    <w:p>
      <w:pPr>
        <w:spacing w:after="0" w:line="174" w:lineRule="exact"/>
        <w:rPr>
          <w:rFonts w:ascii="Arial" w:cs="Arial" w:eastAsia="Arial" w:hAnsi="Arial"/>
          <w:sz w:val="22"/>
          <w:szCs w:val="22"/>
          <w:color w:val="auto"/>
        </w:rPr>
      </w:pPr>
    </w:p>
    <w:p>
      <w:pPr>
        <w:ind w:left="1960" w:hanging="656"/>
        <w:spacing w:after="0" w:line="263" w:lineRule="auto"/>
        <w:tabs>
          <w:tab w:leader="none" w:pos="1954" w:val="left"/>
        </w:tabs>
        <w:numPr>
          <w:ilvl w:val="0"/>
          <w:numId w:val="27"/>
        </w:numPr>
        <w:rPr>
          <w:rFonts w:ascii="Arial" w:cs="Arial" w:eastAsia="Arial" w:hAnsi="Arial"/>
          <w:sz w:val="22"/>
          <w:szCs w:val="22"/>
          <w:color w:val="auto"/>
        </w:rPr>
      </w:pPr>
      <w:r>
        <w:rPr>
          <w:rFonts w:ascii="Arial" w:cs="Arial" w:eastAsia="Arial" w:hAnsi="Arial"/>
          <w:sz w:val="22"/>
          <w:szCs w:val="22"/>
          <w:color w:val="auto"/>
        </w:rPr>
        <w:t>if by electronic mail, when directed to an electronic mail address at which the stockholder has consented to receive notice;</w:t>
      </w:r>
    </w:p>
    <w:p>
      <w:pPr>
        <w:spacing w:after="0" w:line="174" w:lineRule="exact"/>
        <w:rPr>
          <w:rFonts w:ascii="Arial" w:cs="Arial" w:eastAsia="Arial" w:hAnsi="Arial"/>
          <w:sz w:val="22"/>
          <w:szCs w:val="22"/>
          <w:color w:val="auto"/>
        </w:rPr>
      </w:pPr>
    </w:p>
    <w:p>
      <w:pPr>
        <w:ind w:left="1960" w:hanging="656"/>
        <w:spacing w:after="0" w:line="287" w:lineRule="auto"/>
        <w:tabs>
          <w:tab w:leader="none" w:pos="1960" w:val="left"/>
        </w:tabs>
        <w:numPr>
          <w:ilvl w:val="0"/>
          <w:numId w:val="27"/>
        </w:numPr>
        <w:rPr>
          <w:rFonts w:ascii="Arial" w:cs="Arial" w:eastAsia="Arial" w:hAnsi="Arial"/>
          <w:sz w:val="21"/>
          <w:szCs w:val="21"/>
          <w:color w:val="auto"/>
        </w:rPr>
      </w:pPr>
      <w:r>
        <w:rPr>
          <w:rFonts w:ascii="Arial" w:cs="Arial" w:eastAsia="Arial" w:hAnsi="Arial"/>
          <w:sz w:val="21"/>
          <w:szCs w:val="21"/>
          <w:color w:val="auto"/>
        </w:rPr>
        <w:t>if by a posting on an electronic network together with separate notice to the stockholder of such specific posting, upon the later of (A) such posting and (B) the giving of such separate notice; and</w:t>
      </w:r>
    </w:p>
    <w:p>
      <w:pPr>
        <w:spacing w:after="0" w:line="151" w:lineRule="exact"/>
        <w:rPr>
          <w:rFonts w:ascii="Arial" w:cs="Arial" w:eastAsia="Arial" w:hAnsi="Arial"/>
          <w:sz w:val="21"/>
          <w:szCs w:val="21"/>
          <w:color w:val="auto"/>
        </w:rPr>
      </w:pPr>
    </w:p>
    <w:p>
      <w:pPr>
        <w:ind w:left="1940" w:hanging="636"/>
        <w:spacing w:after="0"/>
        <w:tabs>
          <w:tab w:leader="none" w:pos="19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if by any other form of electronic transmission, when directed to the stockholder.</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An affidavit of the secretary or an assistant secretary or of the transfer agent or other agent of the corporation that the notice has been given by a form of electronic transmission shall, in the absence of fraud, be </w:t>
      </w:r>
      <w:r>
        <w:rPr>
          <w:rFonts w:ascii="Arial" w:cs="Arial" w:eastAsia="Arial" w:hAnsi="Arial"/>
          <w:sz w:val="22"/>
          <w:szCs w:val="22"/>
          <w:i w:val="1"/>
          <w:iCs w:val="1"/>
          <w:color w:val="auto"/>
        </w:rPr>
        <w:t>prima facie</w:t>
      </w:r>
      <w:r>
        <w:rPr>
          <w:rFonts w:ascii="Arial" w:cs="Arial" w:eastAsia="Arial" w:hAnsi="Arial"/>
          <w:sz w:val="22"/>
          <w:szCs w:val="22"/>
          <w:color w:val="auto"/>
        </w:rPr>
        <w:t xml:space="preserve"> evidence of the facts stated therein.</w:t>
      </w:r>
    </w:p>
    <w:p>
      <w:pPr>
        <w:spacing w:after="0" w:line="17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An “</w:t>
      </w:r>
      <w:r>
        <w:rPr>
          <w:rFonts w:ascii="Arial" w:cs="Arial" w:eastAsia="Arial" w:hAnsi="Arial"/>
          <w:sz w:val="21"/>
          <w:szCs w:val="21"/>
          <w:b w:val="1"/>
          <w:bCs w:val="1"/>
          <w:color w:val="auto"/>
        </w:rPr>
        <w:t>electronic transmission</w:t>
      </w:r>
      <w:r>
        <w:rPr>
          <w:rFonts w:ascii="Arial" w:cs="Arial" w:eastAsia="Arial" w:hAnsi="Arial"/>
          <w:sz w:val="21"/>
          <w:szCs w:val="21"/>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Notice by a form of electronic transmission shall not apply to Sections 164, 296, 311, 312 or 324 of the DGCL.</w:t>
      </w:r>
    </w:p>
    <w:p>
      <w:pPr>
        <w:spacing w:after="0" w:line="23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color w:val="auto"/>
        </w:rPr>
        <w:t>NOTICE TO STOCKHOLDERS SHARING AN ADDRESS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Except as otherwise prohibited under the DGCL, without limiting the manner by which notice otherwise may be given effectively to stockholders, any notice to stockholders given by the corporation under the provisions of the DGCL, the certificate of incorporation or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28" w:right="339" w:bottom="1440" w:gutter="0" w:footer="0" w:header="0"/>
        </w:sectPr>
      </w:pPr>
    </w:p>
    <w:bookmarkStart w:id="39" w:name="page40"/>
    <w:bookmarkEnd w:id="39"/>
    <w:p>
      <w:pPr>
        <w:jc w:val="both"/>
        <w:spacing w:after="0" w:line="248" w:lineRule="auto"/>
        <w:rPr>
          <w:sz w:val="20"/>
          <w:szCs w:val="20"/>
          <w:color w:val="auto"/>
        </w:rPr>
      </w:pPr>
      <w:r>
        <w:rPr>
          <w:rFonts w:ascii="Arial" w:cs="Arial" w:eastAsia="Arial" w:hAnsi="Arial"/>
          <w:sz w:val="22"/>
          <w:szCs w:val="22"/>
          <w:color w:val="auto"/>
        </w:rPr>
        <w:t>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60 days of having been given written notice by the corporation of its intention to send the single notice, shall be deemed to have consented to receiving such single written notice.</w:t>
      </w:r>
    </w:p>
    <w:p>
      <w:pPr>
        <w:spacing w:after="0" w:line="19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21"/>
          <w:szCs w:val="21"/>
          <w:color w:val="auto"/>
        </w:rPr>
        <w:t>NOTICE TO PERSON WITH WHOM COMMUNICATION IS UNLAWFUL</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5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19"/>
          <w:szCs w:val="19"/>
          <w:color w:val="auto"/>
        </w:rPr>
        <w:t>WAIVER OF NOTICE</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77"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ARTICLE VIII - INDEMNIFICATION</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color w:val="auto"/>
        </w:rPr>
        <w:t>INDEMNIFICATION OF DIRECTORS AND OFFICERS IN THIRD PARTY PROCEEDINGS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22"/>
          <w:szCs w:val="22"/>
          <w:b w:val="1"/>
          <w:bCs w:val="1"/>
          <w:color w:val="auto"/>
        </w:rPr>
        <w:t>Proceeding</w:t>
      </w:r>
      <w:r>
        <w:rPr>
          <w:rFonts w:ascii="Arial" w:cs="Arial" w:eastAsia="Arial" w:hAnsi="Arial"/>
          <w:sz w:val="22"/>
          <w:szCs w:val="22"/>
          <w:color w:val="auto"/>
        </w:rPr>
        <w:t>”)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28" w:right="339" w:bottom="1440" w:gutter="0" w:footer="0" w:header="0"/>
        </w:sectPr>
      </w:pPr>
    </w:p>
    <w:bookmarkStart w:id="40" w:name="page41"/>
    <w:bookmarkEnd w:id="40"/>
    <w:p>
      <w:pPr>
        <w:jc w:val="both"/>
        <w:spacing w:after="0" w:line="292" w:lineRule="auto"/>
        <w:rPr>
          <w:sz w:val="20"/>
          <w:szCs w:val="20"/>
          <w:color w:val="auto"/>
        </w:rPr>
      </w:pPr>
      <w:r>
        <w:rPr>
          <w:rFonts w:ascii="Arial" w:cs="Arial" w:eastAsia="Arial" w:hAnsi="Arial"/>
          <w:sz w:val="19"/>
          <w:szCs w:val="19"/>
          <w:color w:val="auto"/>
        </w:rPr>
        <w:t xml:space="preserve">judgments, fines and amounts paid in settlement actually and reasonably incurred by such person in connection with such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Proceeding by judgment, order, settlement, conviction, or upon a plea of </w:t>
      </w:r>
      <w:r>
        <w:rPr>
          <w:rFonts w:ascii="Arial" w:cs="Arial" w:eastAsia="Arial" w:hAnsi="Arial"/>
          <w:sz w:val="19"/>
          <w:szCs w:val="19"/>
          <w:i w:val="1"/>
          <w:iCs w:val="1"/>
          <w:color w:val="auto"/>
        </w:rPr>
        <w:t xml:space="preserve">nolo contendere </w:t>
      </w:r>
      <w:r>
        <w:rPr>
          <w:rFonts w:ascii="Arial" w:cs="Arial" w:eastAsia="Arial" w:hAnsi="Arial"/>
          <w:sz w:val="19"/>
          <w:szCs w:val="19"/>
          <w:color w:val="auto"/>
        </w:rPr>
        <w:t>or its equivalent, shall not, of itself, create a presumption that the person did not act in good faith and in a</w:t>
      </w:r>
      <w:r>
        <w:rPr>
          <w:rFonts w:ascii="Arial" w:cs="Arial" w:eastAsia="Arial" w:hAnsi="Arial"/>
          <w:sz w:val="19"/>
          <w:szCs w:val="19"/>
          <w:i w:val="1"/>
          <w:iCs w:val="1"/>
          <w:color w:val="auto"/>
        </w:rPr>
        <w:t xml:space="preserve"> </w:t>
      </w:r>
      <w:r>
        <w:rPr>
          <w:rFonts w:ascii="Arial" w:cs="Arial" w:eastAsia="Arial" w:hAnsi="Arial"/>
          <w:sz w:val="19"/>
          <w:szCs w:val="19"/>
          <w:color w:val="auto"/>
        </w:rPr>
        <w:t>manner which such person reasonably believed to be in or not opposed to the best interests of the corporation, and, with respect to any criminal action or proceeding, had reasonable cause to believe that such person’s conduct was unlawful.</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8.2 INDEMNIFICATION OF DIRECTORS AND OFFICERS IN ACTIONS BY OR IN THE RIGHT OF THE CORPORATION</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color w:val="auto"/>
        </w:rPr>
        <w:t>SUCCESSFUL DEFENSE</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To the extent that a present or former director or officer of the corporation has been successful on the merits or otherwise in defense of any action, suit or proceeding described in Section 8.1 or Section 8.2, or in defense of any claim, issue or matter therein, such person shall be indemnified against expenses (including attorneys’ fees) actually and reasonably incurred by such person in connection therewith.</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color w:val="auto"/>
        </w:rPr>
        <w:t>INDEMNIFICATION OF OTHERS</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Subject to the other provisions of this Article VIII, the corporation shall have power to indemnify its employees and agents to the extent not prohibited by the DGCL or other applicable law. The board of directors shall have the power to delegate to such person or persons the determination of whether employees or agents shall be indemnified.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28" w:right="339" w:bottom="1440" w:gutter="0" w:footer="0" w:header="0"/>
        </w:sectPr>
      </w:pPr>
    </w:p>
    <w:bookmarkStart w:id="41" w:name="page42"/>
    <w:bookmarkEnd w:id="41"/>
    <w:p>
      <w:pPr>
        <w:ind w:left="660"/>
        <w:spacing w:after="0"/>
        <w:tabs>
          <w:tab w:leader="none" w:pos="128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19"/>
          <w:szCs w:val="19"/>
          <w:color w:val="auto"/>
        </w:rPr>
        <w:t>ADVANCED PAYMENT OF EXPENSES</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Expenses (including attorneys’ fees) actually and reasonably incurred by an officer or director of the corporation in defending any Proceeding shall be paid by the corporation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 The right to advancement of expenses shall not apply to any Proceeding (or any part of any Proceeding) for which indemnity is excluded pursuant to these bylaws, but shall apply to any Proceeding (or any part of any Proceeding) referenced in Section 8.6(ii) or 8.6(iii) prior to a determination that the person is not entitled to be indemnified by the corporation.</w:t>
      </w:r>
    </w:p>
    <w:p>
      <w:pPr>
        <w:spacing w:after="0" w:line="1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21"/>
          <w:szCs w:val="21"/>
          <w:color w:val="auto"/>
        </w:rPr>
        <w:t>LIMITATION ON INDEMNIFICATION</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Subject to the requirements in Section 8.3 and the DGCL, the corporation shall not be obligated to indemnify any person pursuant to this Article VIII in connection with any Proceeding (or any part of any Proceeding):</w:t>
      </w:r>
    </w:p>
    <w:p>
      <w:pPr>
        <w:spacing w:after="0" w:line="175" w:lineRule="exact"/>
        <w:rPr>
          <w:sz w:val="20"/>
          <w:szCs w:val="20"/>
          <w:color w:val="auto"/>
        </w:rPr>
      </w:pPr>
    </w:p>
    <w:p>
      <w:pPr>
        <w:ind w:firstLine="1304"/>
        <w:spacing w:after="0" w:line="287" w:lineRule="auto"/>
        <w:tabs>
          <w:tab w:leader="none" w:pos="1932" w:val="left"/>
        </w:tabs>
        <w:numPr>
          <w:ilvl w:val="0"/>
          <w:numId w:val="28"/>
        </w:numPr>
        <w:rPr>
          <w:rFonts w:ascii="Arial" w:cs="Arial" w:eastAsia="Arial" w:hAnsi="Arial"/>
          <w:sz w:val="21"/>
          <w:szCs w:val="21"/>
          <w:color w:val="auto"/>
        </w:rPr>
      </w:pPr>
      <w:r>
        <w:rPr>
          <w:rFonts w:ascii="Arial" w:cs="Arial" w:eastAsia="Arial" w:hAnsi="Arial"/>
          <w:sz w:val="21"/>
          <w:szCs w:val="21"/>
          <w:color w:val="auto"/>
        </w:rPr>
        <w:t>for which payment has actually been made to or on behalf of such person under any statute, insurance policy, indemnity provision, vote or otherwise, except with respect to any excess beyond the amount paid;</w:t>
      </w:r>
    </w:p>
    <w:p>
      <w:pPr>
        <w:spacing w:after="0" w:line="151" w:lineRule="exact"/>
        <w:rPr>
          <w:rFonts w:ascii="Arial" w:cs="Arial" w:eastAsia="Arial" w:hAnsi="Arial"/>
          <w:sz w:val="21"/>
          <w:szCs w:val="21"/>
          <w:color w:val="auto"/>
        </w:rPr>
      </w:pPr>
    </w:p>
    <w:p>
      <w:pPr>
        <w:jc w:val="both"/>
        <w:ind w:firstLine="1304"/>
        <w:spacing w:after="0" w:line="253" w:lineRule="auto"/>
        <w:tabs>
          <w:tab w:leader="none" w:pos="1938" w:val="left"/>
        </w:tabs>
        <w:numPr>
          <w:ilvl w:val="0"/>
          <w:numId w:val="28"/>
        </w:numPr>
        <w:rPr>
          <w:rFonts w:ascii="Arial" w:cs="Arial" w:eastAsia="Arial" w:hAnsi="Arial"/>
          <w:sz w:val="22"/>
          <w:szCs w:val="22"/>
          <w:color w:val="auto"/>
        </w:rPr>
      </w:pPr>
      <w:r>
        <w:rPr>
          <w:rFonts w:ascii="Arial" w:cs="Arial" w:eastAsia="Arial" w:hAnsi="Arial"/>
          <w:sz w:val="22"/>
          <w:szCs w:val="22"/>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185" w:lineRule="exact"/>
        <w:rPr>
          <w:rFonts w:ascii="Arial" w:cs="Arial" w:eastAsia="Arial" w:hAnsi="Arial"/>
          <w:sz w:val="22"/>
          <w:szCs w:val="22"/>
          <w:color w:val="auto"/>
        </w:rPr>
      </w:pPr>
    </w:p>
    <w:p>
      <w:pPr>
        <w:jc w:val="both"/>
        <w:ind w:firstLine="1304"/>
        <w:spacing w:after="0" w:line="294" w:lineRule="auto"/>
        <w:tabs>
          <w:tab w:leader="none" w:pos="1944" w:val="left"/>
        </w:tabs>
        <w:numPr>
          <w:ilvl w:val="0"/>
          <w:numId w:val="28"/>
        </w:numPr>
        <w:rPr>
          <w:rFonts w:ascii="Arial" w:cs="Arial" w:eastAsia="Arial" w:hAnsi="Arial"/>
          <w:sz w:val="19"/>
          <w:szCs w:val="19"/>
          <w:color w:val="auto"/>
        </w:rPr>
      </w:pPr>
      <w:r>
        <w:rPr>
          <w:rFonts w:ascii="Arial" w:cs="Arial" w:eastAsia="Arial" w:hAnsi="Arial"/>
          <w:sz w:val="19"/>
          <w:szCs w:val="19"/>
          <w:color w:val="auto"/>
        </w:rPr>
        <w:t>for any reimbursement of the corporation by such person of any bonus or other incentive-based or equity-based compensation or of any profits realized by such person from the sale of securities of the corporation, as required in each case under the 1934 Act (including any such reimbursements that arise from an accounting restatement of the corporation pursuant to Section 304 of the Sarbanes-Oxley Act of 2002 (the “</w:t>
      </w:r>
      <w:r>
        <w:rPr>
          <w:rFonts w:ascii="Arial" w:cs="Arial" w:eastAsia="Arial" w:hAnsi="Arial"/>
          <w:sz w:val="19"/>
          <w:szCs w:val="19"/>
          <w:b w:val="1"/>
          <w:bCs w:val="1"/>
          <w:color w:val="auto"/>
        </w:rPr>
        <w:t>Sarbanes-Oxley Act</w:t>
      </w:r>
      <w:r>
        <w:rPr>
          <w:rFonts w:ascii="Arial" w:cs="Arial" w:eastAsia="Arial" w:hAnsi="Arial"/>
          <w:sz w:val="19"/>
          <w:szCs w:val="19"/>
          <w:color w:val="auto"/>
        </w:rPr>
        <w:t>”), or the payment to the corporation of profits arising from the purchase and sale by such person of securities in violation of Section 306 of the Sarbanes-Oxley Act), if such person is held liable therefor (including pursuant to any settlement arrangements);</w:t>
      </w:r>
    </w:p>
    <w:p>
      <w:pPr>
        <w:spacing w:after="0" w:line="149" w:lineRule="exact"/>
        <w:rPr>
          <w:rFonts w:ascii="Arial" w:cs="Arial" w:eastAsia="Arial" w:hAnsi="Arial"/>
          <w:sz w:val="19"/>
          <w:szCs w:val="19"/>
          <w:color w:val="auto"/>
        </w:rPr>
      </w:pPr>
    </w:p>
    <w:p>
      <w:pPr>
        <w:jc w:val="both"/>
        <w:ind w:firstLine="1304"/>
        <w:spacing w:after="0" w:line="265" w:lineRule="auto"/>
        <w:tabs>
          <w:tab w:leader="none" w:pos="1932" w:val="left"/>
        </w:tabs>
        <w:numPr>
          <w:ilvl w:val="0"/>
          <w:numId w:val="28"/>
        </w:numPr>
        <w:rPr>
          <w:rFonts w:ascii="Arial" w:cs="Arial" w:eastAsia="Arial" w:hAnsi="Arial"/>
          <w:sz w:val="21"/>
          <w:szCs w:val="21"/>
          <w:color w:val="auto"/>
        </w:rPr>
      </w:pPr>
      <w:r>
        <w:rPr>
          <w:rFonts w:ascii="Arial" w:cs="Arial" w:eastAsia="Arial" w:hAnsi="Arial"/>
          <w:sz w:val="21"/>
          <w:szCs w:val="21"/>
          <w:color w:val="auto"/>
        </w:rPr>
        <w:t>initiated by such person, including any Proceeding (or any part of any Proceeding) initiated by such person against the corporation or its directors, officers, employees, agents or other indemnitees, unless (a) the board of directors authorized the Proceeding (or the relevant part of the Proceeding) prior to its initiation, (b) the corporation provides the indemnification, in its sole discretion, pursuant to the powers vested in the corporation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28" w:right="339" w:bottom="1440" w:gutter="0" w:footer="0" w:header="0"/>
        </w:sectPr>
      </w:pPr>
    </w:p>
    <w:bookmarkStart w:id="42" w:name="page43"/>
    <w:bookmarkEnd w:id="42"/>
    <w:p>
      <w:pPr>
        <w:spacing w:after="0"/>
        <w:rPr>
          <w:sz w:val="20"/>
          <w:szCs w:val="20"/>
          <w:color w:val="auto"/>
        </w:rPr>
      </w:pPr>
      <w:r>
        <w:rPr>
          <w:rFonts w:ascii="Arial" w:cs="Arial" w:eastAsia="Arial" w:hAnsi="Arial"/>
          <w:sz w:val="22"/>
          <w:szCs w:val="22"/>
          <w:color w:val="auto"/>
        </w:rPr>
        <w:t>applicable law, (c) otherwise required to be made under Section 8.7 or (d) otherwise required by applicable law; or</w:t>
      </w:r>
    </w:p>
    <w:p>
      <w:pPr>
        <w:spacing w:after="0" w:line="220" w:lineRule="exact"/>
        <w:rPr>
          <w:sz w:val="20"/>
          <w:szCs w:val="20"/>
          <w:color w:val="auto"/>
        </w:rPr>
      </w:pPr>
    </w:p>
    <w:p>
      <w:pPr>
        <w:ind w:left="1940" w:hanging="636"/>
        <w:spacing w:after="0"/>
        <w:tabs>
          <w:tab w:leader="none" w:pos="19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if prohibited by applicable law.</w:t>
      </w:r>
    </w:p>
    <w:p>
      <w:pPr>
        <w:spacing w:after="0" w:line="21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8.7    DETERMINATION; CLAIM</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If a claim for indemnification or advancement of expenses under this Article VIII is not paid in full within 90 days after receipt by the corporation of the written request therefor, the claimant shall be entitled to an adjudication by a court of competent jurisdiction of his or her entitlement to such indemnification or advancement of expenses. The corporation shall indemnify such person against any and all expenses that are actually and reasonably incurred by such person in connection with any action for indemnification or advancement of expenses from the corporation under this Article VIII, to the extent such person is successful in such action, and to the extent not prohibited by law. In any such suit, the corporation shall, to the fullest extent not prohibited by law, have the burden of proving that the claimant is not entitled to the requested indemnification or advancement of expenses.</w:t>
      </w:r>
    </w:p>
    <w:p>
      <w:pPr>
        <w:spacing w:after="0" w:line="15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8.8</w:t>
      </w:r>
      <w:r>
        <w:rPr>
          <w:sz w:val="20"/>
          <w:szCs w:val="20"/>
          <w:color w:val="auto"/>
        </w:rPr>
        <w:tab/>
      </w:r>
      <w:r>
        <w:rPr>
          <w:rFonts w:ascii="Arial" w:cs="Arial" w:eastAsia="Arial" w:hAnsi="Arial"/>
          <w:sz w:val="21"/>
          <w:szCs w:val="21"/>
          <w:color w:val="auto"/>
        </w:rPr>
        <w:t>NON-EXCLUSIVITY OF RIGHTS</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corporation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4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8.9</w:t>
      </w:r>
      <w:r>
        <w:rPr>
          <w:sz w:val="20"/>
          <w:szCs w:val="20"/>
          <w:color w:val="auto"/>
        </w:rPr>
        <w:tab/>
      </w:r>
      <w:r>
        <w:rPr>
          <w:rFonts w:ascii="Arial" w:cs="Arial" w:eastAsia="Arial" w:hAnsi="Arial"/>
          <w:sz w:val="21"/>
          <w:szCs w:val="21"/>
          <w:color w:val="auto"/>
        </w:rPr>
        <w:t>INSURANCE</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the DGCL.</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8.10</w:t>
      </w:r>
      <w:r>
        <w:rPr>
          <w:sz w:val="20"/>
          <w:szCs w:val="20"/>
          <w:color w:val="auto"/>
        </w:rPr>
        <w:tab/>
      </w:r>
      <w:r>
        <w:rPr>
          <w:rFonts w:ascii="Arial" w:cs="Arial" w:eastAsia="Arial" w:hAnsi="Arial"/>
          <w:sz w:val="21"/>
          <w:szCs w:val="21"/>
          <w:color w:val="auto"/>
        </w:rPr>
        <w:t>SURVIVAL</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28" w:right="339" w:bottom="1440" w:gutter="0" w:footer="0" w:header="0"/>
        </w:sectPr>
      </w:pPr>
    </w:p>
    <w:bookmarkStart w:id="43" w:name="page44"/>
    <w:bookmarkEnd w:id="43"/>
    <w:p>
      <w:pPr>
        <w:ind w:left="660"/>
        <w:spacing w:after="0"/>
        <w:tabs>
          <w:tab w:leader="none" w:pos="1280" w:val="left"/>
        </w:tabs>
        <w:rPr>
          <w:sz w:val="20"/>
          <w:szCs w:val="20"/>
          <w:color w:val="auto"/>
        </w:rPr>
      </w:pPr>
      <w:r>
        <w:rPr>
          <w:rFonts w:ascii="Arial" w:cs="Arial" w:eastAsia="Arial" w:hAnsi="Arial"/>
          <w:sz w:val="22"/>
          <w:szCs w:val="22"/>
          <w:color w:val="auto"/>
        </w:rPr>
        <w:t>8.11</w:t>
      </w:r>
      <w:r>
        <w:rPr>
          <w:sz w:val="20"/>
          <w:szCs w:val="20"/>
          <w:color w:val="auto"/>
        </w:rPr>
        <w:tab/>
      </w:r>
      <w:r>
        <w:rPr>
          <w:rFonts w:ascii="Arial" w:cs="Arial" w:eastAsia="Arial" w:hAnsi="Arial"/>
          <w:sz w:val="19"/>
          <w:szCs w:val="19"/>
          <w:color w:val="auto"/>
        </w:rPr>
        <w:t>EFFECT OF REPEAL OR MODIFICATION</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A right to indemnification or to advancement of expenses arising under a provision of the certificate of incorporation or a bylaw shall not be eliminated or impaired by an amendment to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8.12</w:t>
      </w:r>
      <w:r>
        <w:rPr>
          <w:sz w:val="20"/>
          <w:szCs w:val="20"/>
          <w:color w:val="auto"/>
        </w:rPr>
        <w:tab/>
      </w:r>
      <w:r>
        <w:rPr>
          <w:rFonts w:ascii="Arial" w:cs="Arial" w:eastAsia="Arial" w:hAnsi="Arial"/>
          <w:sz w:val="19"/>
          <w:szCs w:val="19"/>
          <w:color w:val="auto"/>
        </w:rPr>
        <w:t>CERTAIN DEFINITIONS</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For purposes of this Article VIII, references to the “</w:t>
      </w:r>
      <w:r>
        <w:rPr>
          <w:rFonts w:ascii="Arial" w:cs="Arial" w:eastAsia="Arial" w:hAnsi="Arial"/>
          <w:sz w:val="19"/>
          <w:szCs w:val="19"/>
          <w:b w:val="1"/>
          <w:bCs w:val="1"/>
          <w:color w:val="auto"/>
        </w:rPr>
        <w:t>corporation</w:t>
      </w:r>
      <w:r>
        <w:rPr>
          <w:rFonts w:ascii="Arial" w:cs="Arial" w:eastAsia="Arial" w:hAnsi="Arial"/>
          <w:sz w:val="19"/>
          <w:szCs w:val="19"/>
          <w:color w:val="auto"/>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VIII with respect to the resulting or surviving corporation as such person would have with respect to such constituent corporation if its separate existence had continued. For purposes of this Article VIII, references to “</w:t>
      </w:r>
      <w:r>
        <w:rPr>
          <w:rFonts w:ascii="Arial" w:cs="Arial" w:eastAsia="Arial" w:hAnsi="Arial"/>
          <w:sz w:val="19"/>
          <w:szCs w:val="19"/>
          <w:b w:val="1"/>
          <w:bCs w:val="1"/>
          <w:color w:val="auto"/>
        </w:rPr>
        <w:t>other enterprises</w:t>
      </w:r>
      <w:r>
        <w:rPr>
          <w:rFonts w:ascii="Arial" w:cs="Arial" w:eastAsia="Arial" w:hAnsi="Arial"/>
          <w:sz w:val="19"/>
          <w:szCs w:val="19"/>
          <w:color w:val="auto"/>
        </w:rPr>
        <w:t>” shall include employee benefit plans; references to “</w:t>
      </w:r>
      <w:r>
        <w:rPr>
          <w:rFonts w:ascii="Arial" w:cs="Arial" w:eastAsia="Arial" w:hAnsi="Arial"/>
          <w:sz w:val="19"/>
          <w:szCs w:val="19"/>
          <w:b w:val="1"/>
          <w:bCs w:val="1"/>
          <w:color w:val="auto"/>
        </w:rPr>
        <w:t>fines</w:t>
      </w:r>
      <w:r>
        <w:rPr>
          <w:rFonts w:ascii="Arial" w:cs="Arial" w:eastAsia="Arial" w:hAnsi="Arial"/>
          <w:sz w:val="19"/>
          <w:szCs w:val="19"/>
          <w:color w:val="auto"/>
        </w:rPr>
        <w:t>” shall include any excise taxes assessed on a person with respect to an employee benefit plan; and references to “</w:t>
      </w:r>
      <w:r>
        <w:rPr>
          <w:rFonts w:ascii="Arial" w:cs="Arial" w:eastAsia="Arial" w:hAnsi="Arial"/>
          <w:sz w:val="19"/>
          <w:szCs w:val="19"/>
          <w:b w:val="1"/>
          <w:bCs w:val="1"/>
          <w:color w:val="auto"/>
        </w:rPr>
        <w:t>serving</w:t>
      </w:r>
      <w:r>
        <w:rPr>
          <w:rFonts w:ascii="Arial" w:cs="Arial" w:eastAsia="Arial" w:hAnsi="Arial"/>
          <w:sz w:val="19"/>
          <w:szCs w:val="19"/>
          <w:color w:val="auto"/>
        </w:rPr>
        <w:t xml:space="preserve"> </w:t>
      </w:r>
      <w:r>
        <w:rPr>
          <w:rFonts w:ascii="Arial" w:cs="Arial" w:eastAsia="Arial" w:hAnsi="Arial"/>
          <w:sz w:val="19"/>
          <w:szCs w:val="19"/>
          <w:b w:val="1"/>
          <w:bCs w:val="1"/>
          <w:color w:val="auto"/>
        </w:rPr>
        <w:t>at the request of the corporation</w:t>
      </w:r>
      <w:r>
        <w:rPr>
          <w:rFonts w:ascii="Arial" w:cs="Arial" w:eastAsia="Arial" w:hAnsi="Arial"/>
          <w:sz w:val="19"/>
          <w:szCs w:val="19"/>
          <w:color w:val="auto"/>
        </w:rPr>
        <w:t>” shall include any service as a director, officer, employee or agent of the corporation which</w:t>
      </w:r>
      <w:r>
        <w:rPr>
          <w:rFonts w:ascii="Arial" w:cs="Arial" w:eastAsia="Arial" w:hAnsi="Arial"/>
          <w:sz w:val="19"/>
          <w:szCs w:val="19"/>
          <w:b w:val="1"/>
          <w:bCs w:val="1"/>
          <w:color w:val="auto"/>
        </w:rPr>
        <w:t xml:space="preserve"> </w:t>
      </w:r>
      <w:r>
        <w:rPr>
          <w:rFonts w:ascii="Arial" w:cs="Arial" w:eastAsia="Arial" w:hAnsi="Arial"/>
          <w:sz w:val="19"/>
          <w:szCs w:val="19"/>
          <w:color w:val="auto"/>
        </w:rPr>
        <w:t>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9"/>
          <w:szCs w:val="19"/>
          <w:b w:val="1"/>
          <w:bCs w:val="1"/>
          <w:color w:val="auto"/>
        </w:rPr>
        <w:t>not opposed</w:t>
      </w:r>
      <w:r>
        <w:rPr>
          <w:rFonts w:ascii="Arial" w:cs="Arial" w:eastAsia="Arial" w:hAnsi="Arial"/>
          <w:sz w:val="19"/>
          <w:szCs w:val="19"/>
          <w:color w:val="auto"/>
        </w:rPr>
        <w:t xml:space="preserve"> </w:t>
      </w:r>
      <w:r>
        <w:rPr>
          <w:rFonts w:ascii="Arial" w:cs="Arial" w:eastAsia="Arial" w:hAnsi="Arial"/>
          <w:sz w:val="19"/>
          <w:szCs w:val="19"/>
          <w:b w:val="1"/>
          <w:bCs w:val="1"/>
          <w:color w:val="auto"/>
        </w:rPr>
        <w:t>to the best interests of the corporation</w:t>
      </w:r>
      <w:r>
        <w:rPr>
          <w:rFonts w:ascii="Arial" w:cs="Arial" w:eastAsia="Arial" w:hAnsi="Arial"/>
          <w:sz w:val="19"/>
          <w:szCs w:val="19"/>
          <w:color w:val="auto"/>
        </w:rPr>
        <w:t>” as referred to in this Article VIII.</w:t>
      </w:r>
    </w:p>
    <w:p>
      <w:pPr>
        <w:spacing w:after="0" w:line="162" w:lineRule="exact"/>
        <w:rPr>
          <w:sz w:val="20"/>
          <w:szCs w:val="20"/>
          <w:color w:val="auto"/>
        </w:rPr>
      </w:pPr>
    </w:p>
    <w:p>
      <w:pPr>
        <w:jc w:val="right"/>
        <w:ind w:left="660" w:right="3620"/>
        <w:spacing w:after="0" w:line="451" w:lineRule="auto"/>
        <w:rPr>
          <w:sz w:val="20"/>
          <w:szCs w:val="20"/>
          <w:color w:val="auto"/>
        </w:rPr>
      </w:pPr>
      <w:r>
        <w:rPr>
          <w:rFonts w:ascii="Arial" w:cs="Arial" w:eastAsia="Arial" w:hAnsi="Arial"/>
          <w:sz w:val="22"/>
          <w:szCs w:val="22"/>
          <w:b w:val="1"/>
          <w:bCs w:val="1"/>
          <w:color w:val="auto"/>
        </w:rPr>
        <w:t xml:space="preserve">ARTICLE IX - GENERAL MATTERS </w:t>
      </w:r>
      <w:r>
        <w:rPr>
          <w:rFonts w:ascii="Arial" w:cs="Arial" w:eastAsia="Arial" w:hAnsi="Arial"/>
          <w:sz w:val="22"/>
          <w:szCs w:val="22"/>
          <w:color w:val="auto"/>
        </w:rPr>
        <w:t>9.1    EXECUTION OF CORPORATE CONTRACTS AND INSTRUMENTS</w:t>
      </w:r>
    </w:p>
    <w:p>
      <w:pPr>
        <w:jc w:val="both"/>
        <w:ind w:firstLine="648"/>
        <w:spacing w:after="0" w:line="297" w:lineRule="auto"/>
        <w:rPr>
          <w:sz w:val="20"/>
          <w:szCs w:val="20"/>
          <w:color w:val="auto"/>
        </w:rPr>
      </w:pPr>
      <w:r>
        <w:rPr>
          <w:rFonts w:ascii="Arial" w:cs="Arial" w:eastAsia="Arial" w:hAnsi="Arial"/>
          <w:sz w:val="19"/>
          <w:szCs w:val="19"/>
          <w:color w:val="auto"/>
        </w:rPr>
        <w:t>Except as otherwise provided by law, the certificate of incorporation or these bylaws, the board of directors may authorize any officer or officers, or agent or agents, to enter into any contract or execute any document or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28" w:right="339" w:bottom="1440" w:gutter="0" w:footer="0" w:header="0"/>
        </w:sectPr>
      </w:pPr>
    </w:p>
    <w:bookmarkStart w:id="44" w:name="page45"/>
    <w:bookmarkEnd w:id="44"/>
    <w:p>
      <w:pPr>
        <w:ind w:left="660"/>
        <w:spacing w:after="0"/>
        <w:tabs>
          <w:tab w:leader="none" w:pos="12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1"/>
          <w:szCs w:val="21"/>
          <w:color w:val="auto"/>
        </w:rPr>
        <w:t>FISCAL YEAR</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fiscal year of the corporation shall be fixed by resolution of the board of directors and may be changed by the board of directors.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1"/>
          <w:szCs w:val="21"/>
          <w:color w:val="auto"/>
        </w:rPr>
        <w:t>SEAL</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corporation may adopt a corporate seal, which shall be adopted and which may be altered by the board of directors. The corporation may use the corporate seal by causing it or a facsimile thereof to be impressed or affixed or in any other manner reproduced.</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color w:val="auto"/>
        </w:rPr>
        <w:t>CONSTRUCTION; DEFINITIONS</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Arial" w:cs="Arial" w:eastAsia="Arial" w:hAnsi="Arial"/>
          <w:sz w:val="19"/>
          <w:szCs w:val="19"/>
          <w:b w:val="1"/>
          <w:bCs w:val="1"/>
          <w:color w:val="auto"/>
        </w:rPr>
        <w:t>person</w:t>
      </w:r>
      <w:r>
        <w:rPr>
          <w:rFonts w:ascii="Arial" w:cs="Arial" w:eastAsia="Arial" w:hAnsi="Arial"/>
          <w:sz w:val="19"/>
          <w:szCs w:val="19"/>
          <w:color w:val="auto"/>
        </w:rPr>
        <w:t>” includes both a corporation and a natural person.</w:t>
      </w:r>
    </w:p>
    <w:p>
      <w:pPr>
        <w:spacing w:after="0" w:line="127"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ARTICLE X -AMENDMENTS</w:t>
      </w:r>
    </w:p>
    <w:p>
      <w:pPr>
        <w:spacing w:after="0" w:line="22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These bylaws may be adopted, amended or repealed by the stockholders entitled to vote; provided, however, that the affirmative vote of the holders of at least 66 2/3% of the total voting power of outstanding voting securities, voting together as a single class, shall be required for the stockholders of the corporation to alter, amend or repeal, or adopt any bylaw inconsistent with, the following provisions of these bylaws: Article II, Sections 3.1, 3.2, 3.4 and 3.11 of Article III, Article VIII and this Article X (including, without limitation, any such Article or Section as renumbered as a result of any amendment, alteration, change, repeal, or adoption of any other Bylaw). The board of directors shall also have the power to adopt, amend or repeal bylaws; provided, however, that a bylaw amendment adopted by stockholders which specifies the votes that shall be necessary for the election of directors shall not be further amended or repealed by the board of directors.</w:t>
      </w:r>
    </w:p>
    <w:p>
      <w:pPr>
        <w:spacing w:after="0" w:line="150"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ARTICLE XI - EXCLUSIVE FORUM</w:t>
      </w:r>
    </w:p>
    <w:p>
      <w:pPr>
        <w:spacing w:after="0" w:line="22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Unless the corporation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(i) any derivative action or proceeding under Delaware statutory or common law brought on behalf of the corporation, (ii) any action asserting a claim of breach of a fiduciary duty owed by any director, officer or other employee of the corporation to the corporation or the corporation’s stockholders, (iii) any action arising pursuant to any provision of the DGCL or the corporation’s certificate of incorporation or these bylaws (as either may be amended from time to time), or (iv) any action asserting a claim governed by the internal affairs doctrine, except for, as to each of (i) through (iv) above, any claim (A) as to which such court determines that there is an indispensable party not subject to the jurisdiction of such court (and the indispensable party does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428" w:right="339" w:bottom="1440" w:gutter="0" w:footer="0" w:header="0"/>
        </w:sectPr>
      </w:pPr>
    </w:p>
    <w:bookmarkStart w:id="45" w:name="page46"/>
    <w:bookmarkEnd w:id="45"/>
    <w:p>
      <w:pPr>
        <w:jc w:val="both"/>
        <w:spacing w:after="0" w:line="265" w:lineRule="auto"/>
        <w:rPr>
          <w:sz w:val="20"/>
          <w:szCs w:val="20"/>
          <w:color w:val="auto"/>
        </w:rPr>
      </w:pPr>
      <w:r>
        <w:rPr>
          <w:rFonts w:ascii="Arial" w:cs="Arial" w:eastAsia="Arial" w:hAnsi="Arial"/>
          <w:sz w:val="21"/>
          <w:szCs w:val="21"/>
          <w:color w:val="auto"/>
        </w:rPr>
        <w:t>not consent to the personal jurisdiction of such court within ten (10) days following such determination), (B) which is vested in the exclusive jurisdiction of a court or forum other than such court, or (C) for which such court does not have subject matter jurisdiction. Nothing herein contained shall be construed to preclude stockholders that assert claims under the 1934 Act or any successor thereto, from bringing such claims in state or federal court, subject to applicable law.</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Unless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Any person or entity purchasing or otherwise acquiring any interest in any security of the corporation shall be deemed to have notice of and consented to the provisions of this Article XI</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428" w:right="339" w:bottom="1440" w:gutter="0" w:footer="0" w:header="0"/>
        </w:sectPr>
      </w:pPr>
    </w:p>
    <w:bookmarkStart w:id="46" w:name="page47"/>
    <w:bookmarkEnd w:id="46"/>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SEER, INC.</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CERTIFICATE OF AMENDMENT OF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182245</wp:posOffset>
            </wp:positionV>
            <wp:extent cx="39262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26205"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208280</wp:posOffset>
            </wp:positionV>
            <wp:extent cx="3926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undersigned hereby certifies that he or she is the duly elected, qualified, and acting Secretary or Assistant Secretary of Seer, Inc., a Delaware corporation and that the foregoing bylaws were amended and restated on ____________ __, 2020 by the corporation’s board of directors.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undersigned has hereunto set his or her hand this ___ day of __________ ___,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183515</wp:posOffset>
            </wp:positionV>
            <wp:extent cx="32232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302" w:lineRule="exact"/>
        <w:rPr>
          <w:sz w:val="20"/>
          <w:szCs w:val="20"/>
          <w:color w:val="auto"/>
        </w:rPr>
      </w:pPr>
    </w:p>
    <w:p>
      <w:pPr>
        <w:ind w:left="618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240"/>
          </w:cols>
          <w:pgMar w:left="320" w:top="1440" w:right="339" w:bottom="1440" w:gutter="0" w:footer="0" w:header="0"/>
        </w:sectPr>
      </w:pPr>
    </w:p>
    <w:bookmarkStart w:id="47" w:name="page48"/>
    <w:bookmarkEnd w:id="47"/>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line="272" w:lineRule="auto"/>
        <w:rPr>
          <w:sz w:val="20"/>
          <w:szCs w:val="20"/>
          <w:color w:val="auto"/>
        </w:rPr>
      </w:pPr>
      <w:r>
        <w:rPr>
          <w:rFonts w:ascii="Arial" w:cs="Arial" w:eastAsia="Arial" w:hAnsi="Arial"/>
          <w:sz w:val="29"/>
          <w:szCs w:val="29"/>
          <w:b w:val="1"/>
          <w:bCs w:val="1"/>
          <w:color w:val="auto"/>
        </w:rPr>
        <w:t>Seer Announces Closing of Initial Public Offering and Full Exercise of Underwriters’ Option to Purchase Additional Shares</w:t>
      </w:r>
    </w:p>
    <w:p>
      <w:pPr>
        <w:spacing w:after="0" w:line="153"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color w:val="auto"/>
        </w:rPr>
        <w:t xml:space="preserve">Redwood City, Calif. (December 8, 2020) </w:t>
      </w:r>
      <w:r>
        <w:rPr>
          <w:rFonts w:ascii="Arial" w:cs="Arial" w:eastAsia="Arial" w:hAnsi="Arial"/>
          <w:sz w:val="19"/>
          <w:szCs w:val="19"/>
          <w:color w:val="auto"/>
        </w:rPr>
        <w:t>– Seer, Inc., a life sciences company focused on enabling exceptional scientific</w:t>
      </w:r>
      <w:r>
        <w:rPr>
          <w:rFonts w:ascii="Arial" w:cs="Arial" w:eastAsia="Arial" w:hAnsi="Arial"/>
          <w:sz w:val="19"/>
          <w:szCs w:val="19"/>
          <w:b w:val="1"/>
          <w:bCs w:val="1"/>
          <w:color w:val="auto"/>
        </w:rPr>
        <w:t xml:space="preserve"> </w:t>
      </w:r>
      <w:r>
        <w:rPr>
          <w:rFonts w:ascii="Arial" w:cs="Arial" w:eastAsia="Arial" w:hAnsi="Arial"/>
          <w:sz w:val="19"/>
          <w:szCs w:val="19"/>
          <w:color w:val="auto"/>
        </w:rPr>
        <w:t>outcomes through the power of unbiased, deep, rapid and scalable proteomics information, today announced the closing of its initial public offering of 10,592,106 shares of Class A common stock, including the exercise in full by the underwriters of their option to purchase up to an additional 1,381,579 shares of Class A common stock, at a public offering price of $19.00 per share. The gross proceeds from the offering, before deducting underwriting discounts and commissions and other offering expenses payable by Seer, were approximately $201.3 million. Seer’s Class A common stock began trading on the Nasdaq Global Select Market on December 4, 2020, under the ticker symbol “SEER.” All of the shares of Class A common stock were offered by Seer.</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J.P. Morgan, Morgan Stanley, BofA Securities and Cowen acted as lead book-running managers for the offering.</w:t>
      </w:r>
    </w:p>
    <w:p>
      <w:pPr>
        <w:spacing w:after="0" w:line="220"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 xml:space="preserve">Registration statements relating to the shares being sold in this offering were declared effective by the Securities and Exchange Commission on December 3, 2020. The offering was made only by means of a prospectus, copies of which may be obtained from: J.P. Morgan Securities LLC, c/o Broadridge Financial Solutions, 1155 Long Island Avenue, Edgewood, New York 11717, via telephone: +1 (866) 803-9204, or by emailing prospectus-eq_fi@jpmchase.com; Morgan Stanley &amp; Co. LLC, Attention: Prospectus Department, 180 Varick Street, 2nd Floor, New York, NY 10014; BofA Securities, NC1-004-03-43, 200 North College Street, 3rd Floor, Charlotte, NC 28255-0001, Attention: Prospectus Department, or by email at </w:t>
      </w:r>
      <w:r>
        <w:rPr>
          <w:rFonts w:ascii="Arial" w:cs="Arial" w:eastAsia="Arial" w:hAnsi="Arial"/>
          <w:sz w:val="19"/>
          <w:szCs w:val="19"/>
          <w:u w:val="single" w:color="auto"/>
          <w:color w:val="F56935"/>
        </w:rPr>
        <w:t>dg.prospectus_requests@bofa.com</w:t>
      </w:r>
      <w:r>
        <w:rPr>
          <w:rFonts w:ascii="Arial" w:cs="Arial" w:eastAsia="Arial" w:hAnsi="Arial"/>
          <w:sz w:val="19"/>
          <w:szCs w:val="19"/>
          <w:color w:val="auto"/>
        </w:rPr>
        <w:t xml:space="preserve">; and Cowen and Company, LLC, c/o Broadridge Financial Solutions, 1155 Long Island Avenue, Edgewood, NY 11717, via telephone: +1 (833) 297-2926, or by emailing </w:t>
      </w:r>
      <w:r>
        <w:rPr>
          <w:rFonts w:ascii="Arial" w:cs="Arial" w:eastAsia="Arial" w:hAnsi="Arial"/>
          <w:sz w:val="19"/>
          <w:szCs w:val="19"/>
          <w:u w:val="single" w:color="auto"/>
          <w:color w:val="0000FF"/>
        </w:rPr>
        <w:t>PostSaleManualRequests@broadridge.com</w:t>
      </w:r>
      <w:r>
        <w:rPr>
          <w:rFonts w:ascii="Arial" w:cs="Arial" w:eastAsia="Arial" w:hAnsi="Arial"/>
          <w:sz w:val="19"/>
          <w:szCs w:val="19"/>
          <w:color w:val="auto"/>
        </w:rPr>
        <w:t>. Copies of the final prospectus related to the offering are available at www.sec.gov.</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press release shall not constitute an offer to sell or the solicitation of an offer to buy these securities, nor shall there be any sale of these securities in any state or jurisdiction in which such offer, solicitation or sale would be unlawful prior to the registration or qualification under the securities laws of any such state or other jurisdiction.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Seer</w:t>
      </w:r>
    </w:p>
    <w:p>
      <w:pPr>
        <w:spacing w:after="0" w:line="27"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Seer is a life sciences company focused on enabling exceptional scientific outcomes by commercializing transformative products that will drive breakthrough ideas by unlocking the deep, unbiased biological information that can make them a reality. Seer is developing its Proteograph™, which is an integrated solution consisting of consumables, automation instrumentation and proprietary software that performs deep, unbiased proteomics analysis at scale in a matter of hours. Seer designed the Proteograph to be efficient and easy-to-use, leveraging widely adopted laboratory instrumentation to provide a decentralized solution broadly available to life sciences researchers.</w:t>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Arial" w:cs="Arial" w:eastAsia="Arial" w:hAnsi="Arial"/>
          <w:sz w:val="19"/>
          <w:szCs w:val="19"/>
          <w:b w:val="1"/>
          <w:bCs w:val="1"/>
          <w:color w:val="auto"/>
        </w:rPr>
        <w:t>Investor Contact</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Carrie Mendivil</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investor@seer.bio</w:t>
      </w:r>
    </w:p>
    <w:sectPr>
      <w:pgSz w:w="11900" w:h="16838" w:orient="portrait"/>
      <w:cols w:equalWidth="0" w:num="1">
        <w:col w:w="10139"/>
      </w:cols>
      <w:pgMar w:left="320" w:top="14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upperLetter"/>
      <w:start w:val="1"/>
    </w:lvl>
  </w:abstractNum>
  <w:abstractNum w:abstractNumId="2">
    <w:nsid w:val="6B68079A"/>
    <w:multiLevelType w:val="hybridMultilevel"/>
    <w:lvl w:ilvl="0">
      <w:lvlJc w:val="left"/>
      <w:lvlText w:val="%1."/>
      <w:numFmt w:val="upperLetter"/>
      <w:start w:val="1"/>
    </w:lvl>
    <w:lvl w:ilvl="1">
      <w:lvlJc w:val="left"/>
      <w:lvlText w:val="%2."/>
      <w:numFmt w:val="decimal"/>
      <w:start w:val="1"/>
    </w:lvl>
  </w:abstractNum>
  <w:abstractNum w:abstractNumId="3">
    <w:nsid w:val="4E6AFB66"/>
    <w:multiLevelType w:val="hybridMultilevel"/>
    <w:lvl w:ilvl="0">
      <w:lvlJc w:val="left"/>
      <w:lvlText w:val="%1."/>
      <w:numFmt w:val="decimal"/>
      <w:start w:val="2"/>
    </w:lvl>
  </w:abstractNum>
  <w:abstractNum w:abstractNumId="4">
    <w:nsid w:val="25E45D32"/>
    <w:multiLevelType w:val="hybridMultilevel"/>
    <w:lvl w:ilvl="0">
      <w:lvlJc w:val="left"/>
      <w:lvlText w:val="%1."/>
      <w:numFmt w:val="decimal"/>
      <w:start w:val="3"/>
    </w:lvl>
  </w:abstractNum>
  <w:abstractNum w:abstractNumId="5">
    <w:nsid w:val="519B500D"/>
    <w:multiLevelType w:val="hybridMultilevel"/>
    <w:lvl w:ilvl="0">
      <w:lvlJc w:val="left"/>
      <w:lvlText w:val="(%1)"/>
      <w:numFmt w:val="lowerRoman"/>
      <w:start w:val="1"/>
    </w:lvl>
  </w:abstractNum>
  <w:abstractNum w:abstractNumId="6">
    <w:nsid w:val="431BD7B7"/>
    <w:multiLevelType w:val="hybridMultilevel"/>
    <w:lvl w:ilvl="0">
      <w:lvlJc w:val="left"/>
      <w:lvlText w:val="(%1)"/>
      <w:numFmt w:val="lowerRoman"/>
      <w:start w:val="1"/>
    </w:lvl>
  </w:abstractNum>
  <w:abstractNum w:abstractNumId="7">
    <w:nsid w:val="3F2DBA31"/>
    <w:multiLevelType w:val="hybridMultilevel"/>
    <w:lvl w:ilvl="0">
      <w:lvlJc w:val="left"/>
      <w:lvlText w:val="(%1)"/>
      <w:numFmt w:val="lowerRoman"/>
      <w:start w:val="6"/>
    </w:lvl>
  </w:abstractNum>
  <w:abstractNum w:abstractNumId="8">
    <w:nsid w:val="7C83E458"/>
    <w:multiLevelType w:val="hybridMultilevel"/>
    <w:lvl w:ilvl="0">
      <w:lvlJc w:val="left"/>
      <w:lvlText w:val="%1."/>
      <w:numFmt w:val="decimal"/>
      <w:start w:val="4"/>
    </w:lvl>
  </w:abstractNum>
  <w:abstractNum w:abstractNumId="9">
    <w:nsid w:val="257130A3"/>
    <w:multiLevelType w:val="hybridMultilevel"/>
    <w:lvl w:ilvl="0">
      <w:lvlJc w:val="left"/>
      <w:lvlText w:val="%1."/>
      <w:numFmt w:val="upperLetter"/>
      <w:start w:val="2"/>
    </w:lvl>
    <w:lvl w:ilvl="1">
      <w:lvlJc w:val="left"/>
      <w:lvlText w:val="%2."/>
      <w:numFmt w:val="decimal"/>
      <w:start w:val="1"/>
    </w:lvl>
  </w:abstractNum>
  <w:abstractNum w:abstractNumId="10">
    <w:nsid w:val="62BBD95A"/>
    <w:multiLevelType w:val="hybridMultilevel"/>
    <w:lvl w:ilvl="0">
      <w:lvlJc w:val="left"/>
      <w:lvlText w:val="%1"/>
      <w:numFmt w:val="upperLetter"/>
      <w:start w:val="1"/>
    </w:lvl>
    <w:lvl w:ilvl="1">
      <w:lvlJc w:val="left"/>
      <w:lvlText w:val="(%2)"/>
      <w:numFmt w:val="lowerRoman"/>
      <w:start w:val="1"/>
    </w:lvl>
  </w:abstractNum>
  <w:abstractNum w:abstractNumId="11">
    <w:nsid w:val="436C6125"/>
    <w:multiLevelType w:val="hybridMultilevel"/>
    <w:lvl w:ilvl="0">
      <w:lvlJc w:val="left"/>
      <w:lvlText w:val="(%1)"/>
      <w:numFmt w:val="upperLetter"/>
      <w:start w:val="1"/>
    </w:lvl>
    <w:lvl w:ilvl="1">
      <w:lvlJc w:val="left"/>
      <w:lvlText w:val="(%2)"/>
      <w:numFmt w:val="lowerRoman"/>
      <w:start w:val="2"/>
    </w:lvl>
  </w:abstractNum>
  <w:abstractNum w:abstractNumId="12">
    <w:nsid w:val="628C895D"/>
    <w:multiLevelType w:val="hybridMultilevel"/>
    <w:lvl w:ilvl="0">
      <w:lvlJc w:val="left"/>
      <w:lvlText w:val="(%1)"/>
      <w:numFmt w:val="lowerLetter"/>
      <w:start w:val="9"/>
    </w:lvl>
    <w:lvl w:ilvl="1">
      <w:lvlJc w:val="left"/>
      <w:lvlText w:val="(%2)"/>
      <w:numFmt w:val="lowerLetter"/>
      <w:start w:val="1"/>
    </w:lvl>
  </w:abstractNum>
  <w:abstractNum w:abstractNumId="13">
    <w:nsid w:val="333AB105"/>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4">
    <w:nsid w:val="721DA317"/>
    <w:multiLevelType w:val="hybridMultilevel"/>
    <w:lvl w:ilvl="0">
      <w:lvlJc w:val="left"/>
      <w:lvlText w:val="(%1)"/>
      <w:numFmt w:val="decimal"/>
      <w:start w:val="6"/>
    </w:lvl>
    <w:lvl w:ilvl="1">
      <w:lvlJc w:val="left"/>
      <w:lvlText w:val="(%2)"/>
      <w:numFmt w:val="lowerLetter"/>
      <w:start w:val="34"/>
    </w:lvl>
    <w:lvl w:ilvl="2">
      <w:lvlJc w:val="left"/>
      <w:lvlText w:val="(%3)"/>
      <w:numFmt w:val="lowerLetter"/>
      <w:start w:val="3"/>
    </w:lvl>
  </w:abstractNum>
  <w:abstractNum w:abstractNumId="15">
    <w:nsid w:val="2443A858"/>
    <w:multiLevelType w:val="hybridMultilevel"/>
    <w:lvl w:ilvl="0">
      <w:lvlJc w:val="left"/>
      <w:lvlText w:val="(%1)"/>
      <w:numFmt w:val="lowerLetter"/>
      <w:start w:val="1"/>
    </w:lvl>
    <w:lvl w:ilvl="1">
      <w:lvlJc w:val="left"/>
      <w:lvlText w:val="(%2)"/>
      <w:numFmt w:val="decimal"/>
      <w:start w:val="1"/>
    </w:lvl>
  </w:abstractNum>
  <w:abstractNum w:abstractNumId="16">
    <w:nsid w:val="2D1D5AE9"/>
    <w:multiLevelType w:val="hybridMultilevel"/>
    <w:lvl w:ilvl="0">
      <w:lvlJc w:val="left"/>
      <w:lvlText w:val="%1"/>
      <w:numFmt w:val="lowerLetter"/>
      <w:start w:val="1"/>
    </w:lvl>
    <w:lvl w:ilvl="1">
      <w:lvlJc w:val="left"/>
      <w:lvlText w:val="(%2)"/>
      <w:numFmt w:val="lowerLetter"/>
      <w:start w:val="3"/>
    </w:lvl>
  </w:abstractNum>
  <w:abstractNum w:abstractNumId="17">
    <w:nsid w:val="6763845E"/>
    <w:multiLevelType w:val="hybridMultilevel"/>
    <w:lvl w:ilvl="0">
      <w:lvlJc w:val="left"/>
      <w:lvlText w:val="(%1)"/>
      <w:numFmt w:val="lowerLetter"/>
      <w:start w:val="61"/>
    </w:lvl>
    <w:lvl w:ilvl="1">
      <w:lvlJc w:val="left"/>
      <w:lvlText w:val="(%2)"/>
      <w:numFmt w:val="lowerLetter"/>
      <w:start w:val="1"/>
    </w:lvl>
  </w:abstractNum>
  <w:abstractNum w:abstractNumId="18">
    <w:nsid w:val="75A2A8D4"/>
    <w:multiLevelType w:val="hybridMultilevel"/>
    <w:lvl w:ilvl="0">
      <w:lvlJc w:val="left"/>
      <w:lvlText w:val="%1"/>
      <w:numFmt w:val="lowerRoman"/>
      <w:start w:val="1"/>
    </w:lvl>
    <w:lvl w:ilvl="1">
      <w:lvlJc w:val="left"/>
      <w:lvlText w:val="(%2)"/>
      <w:numFmt w:val="lowerLetter"/>
      <w:start w:val="2"/>
    </w:lvl>
  </w:abstractNum>
  <w:abstractNum w:abstractNumId="19">
    <w:nsid w:val="8EDBDAB"/>
    <w:multiLevelType w:val="hybridMultilevel"/>
    <w:lvl w:ilvl="0">
      <w:lvlJc w:val="left"/>
      <w:lvlText w:val="(%1)"/>
      <w:numFmt w:val="lowerRoman"/>
      <w:start w:val="4"/>
    </w:lvl>
    <w:lvl w:ilvl="1">
      <w:lvlJc w:val="left"/>
      <w:lvlText w:val="%2"/>
      <w:numFmt w:val="lowerLetter"/>
      <w:start w:val="1"/>
    </w:lvl>
  </w:abstractNum>
  <w:abstractNum w:abstractNumId="20">
    <w:nsid w:val="79838CB2"/>
    <w:multiLevelType w:val="hybridMultilevel"/>
    <w:lvl w:ilvl="0">
      <w:lvlJc w:val="left"/>
      <w:lvlText w:val="(%1)"/>
      <w:numFmt w:val="lowerRoman"/>
      <w:start w:val="1"/>
    </w:lvl>
  </w:abstractNum>
  <w:abstractNum w:abstractNumId="21">
    <w:nsid w:val="4353D0CD"/>
    <w:multiLevelType w:val="hybridMultilevel"/>
    <w:lvl w:ilvl="0">
      <w:lvlJc w:val="left"/>
      <w:lvlText w:val="(%1)"/>
      <w:numFmt w:val="lowerRoman"/>
      <w:start w:val="1"/>
    </w:lvl>
  </w:abstractNum>
  <w:abstractNum w:abstractNumId="22">
    <w:nsid w:val="B03E0C6"/>
    <w:multiLevelType w:val="hybridMultilevel"/>
    <w:lvl w:ilvl="0">
      <w:lvlJc w:val="left"/>
      <w:lvlText w:val="(%1)"/>
      <w:numFmt w:val="lowerRoman"/>
      <w:start w:val="1"/>
    </w:lvl>
  </w:abstractNum>
  <w:abstractNum w:abstractNumId="23">
    <w:nsid w:val="189A769B"/>
    <w:multiLevelType w:val="hybridMultilevel"/>
    <w:lvl w:ilvl="0">
      <w:lvlJc w:val="left"/>
      <w:lvlText w:val="(%1)"/>
      <w:numFmt w:val="lowerRoman"/>
      <w:start w:val="1"/>
    </w:lvl>
  </w:abstractNum>
  <w:abstractNum w:abstractNumId="24">
    <w:nsid w:val="54E49EB4"/>
    <w:multiLevelType w:val="hybridMultilevel"/>
    <w:lvl w:ilvl="0">
      <w:lvlJc w:val="left"/>
      <w:lvlText w:val="(%1)"/>
      <w:numFmt w:val="lowerRoman"/>
      <w:start w:val="1"/>
    </w:lvl>
  </w:abstractNum>
  <w:abstractNum w:abstractNumId="25">
    <w:nsid w:val="71F32454"/>
    <w:multiLevelType w:val="hybridMultilevel"/>
    <w:lvl w:ilvl="0">
      <w:lvlJc w:val="left"/>
      <w:lvlText w:val="(%1)"/>
      <w:numFmt w:val="lowerRoman"/>
      <w:start w:val="1"/>
    </w:lvl>
  </w:abstractNum>
  <w:abstractNum w:abstractNumId="26">
    <w:nsid w:val="2CA88611"/>
    <w:multiLevelType w:val="hybridMultilevel"/>
    <w:lvl w:ilvl="0">
      <w:lvlJc w:val="left"/>
      <w:lvlText w:val="(%1)"/>
      <w:numFmt w:val="lowerRoman"/>
      <w:start w:val="1"/>
    </w:lvl>
  </w:abstractNum>
  <w:abstractNum w:abstractNumId="27">
    <w:nsid w:val="836C40E"/>
    <w:multiLevelType w:val="hybridMultilevel"/>
    <w:lvl w:ilvl="0">
      <w:lvlJc w:val="left"/>
      <w:lvlText w:val="(%1)"/>
      <w:numFmt w:val="lowerRoman"/>
      <w:start w:val="1"/>
    </w:lvl>
  </w:abstractNum>
  <w:abstractNum w:abstractNumId="28">
    <w:nsid w:val="2901D82"/>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2020-12-08T16:28:00Z</dcterms:created>
  <dcterms:modified xsi:type="dcterms:W3CDTF">2020-12-08T16:28:00Z</dcterms:modified>
</cp:coreProperties>
</file>