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[X] 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 the quarterly period ended June 30, 2022</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or</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 TRANSITION REPORT PURSUANT TO SECTION 13 OR 15(d) OF THE SECURITIES EXCHANGE ACT OF 1934</w:t>
      </w:r>
    </w:p>
    <w:p>
      <w:pPr>
        <w:spacing w:after="0" w:line="17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5"/>
          <w:szCs w:val="15"/>
          <w:color w:val="auto"/>
        </w:rPr>
        <w:t>For the transition period from _______________ to _______________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158115</wp:posOffset>
            </wp:positionV>
            <wp:extent cx="1924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SEER,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57150</wp:posOffset>
            </wp:positionV>
            <wp:extent cx="1924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342" w:lineRule="exact"/>
        <w:rPr>
          <w:sz w:val="24"/>
          <w:szCs w:val="24"/>
          <w:color w:val="auto"/>
        </w:rPr>
      </w:pPr>
    </w:p>
    <w:tbl>
      <w:tblPr>
        <w:tblLayout w:type="fixed"/>
        <w:tblInd w:w="100" w:type="dxa"/>
        <w:tblCellMar>
          <w:top w:w="0" w:type="dxa"/>
          <w:left w:w="0" w:type="dxa"/>
          <w:bottom w:w="0" w:type="dxa"/>
          <w:right w:w="0" w:type="dxa"/>
        </w:tblCellMar>
      </w:tblPr>
      <w:tr>
        <w:trPr>
          <w:trHeight w:val="182"/>
        </w:trPr>
        <w:tc>
          <w:tcPr>
            <w:tcW w:w="5800" w:type="dxa"/>
            <w:vAlign w:val="bottom"/>
          </w:tcPr>
          <w:p>
            <w:pPr>
              <w:jc w:val="center"/>
              <w:ind w:right="219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4660" w:type="dxa"/>
            <w:vAlign w:val="bottom"/>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06"/>
        </w:trPr>
        <w:tc>
          <w:tcPr>
            <w:tcW w:w="5800" w:type="dxa"/>
            <w:vAlign w:val="bottom"/>
          </w:tcPr>
          <w:p>
            <w:pPr>
              <w:jc w:val="center"/>
              <w:ind w:right="2191"/>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 incorporation or organization)</w:t>
            </w:r>
          </w:p>
        </w:tc>
        <w:tc>
          <w:tcPr>
            <w:tcW w:w="4660" w:type="dxa"/>
            <w:vAlign w:val="bottom"/>
          </w:tcPr>
          <w:p>
            <w:pPr>
              <w:jc w:val="center"/>
              <w:ind w:left="2211"/>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Number)</w:t>
            </w:r>
          </w:p>
        </w:tc>
      </w:tr>
    </w:tbl>
    <w:p>
      <w:pPr>
        <w:spacing w:after="0" w:line="25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spacing w:after="0" w:line="12"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Redwood City, California 94065</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650-453-0000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2613660</wp:posOffset>
            </wp:positionH>
            <wp:positionV relativeFrom="paragraph">
              <wp:posOffset>59690</wp:posOffset>
            </wp:positionV>
            <wp:extent cx="1924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405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w w:val="97"/>
              </w:rPr>
              <w:t>Securities registered pursuant to section 12(b) of the Act:</w:t>
            </w:r>
          </w:p>
        </w:tc>
        <w:tc>
          <w:tcPr>
            <w:tcW w:w="3980" w:type="dxa"/>
            <w:vAlign w:val="bottom"/>
          </w:tcPr>
          <w:p>
            <w:pPr>
              <w:spacing w:after="0"/>
              <w:rPr>
                <w:sz w:val="15"/>
                <w:szCs w:val="15"/>
                <w:color w:val="auto"/>
              </w:rPr>
            </w:pPr>
          </w:p>
        </w:tc>
      </w:tr>
      <w:tr>
        <w:trPr>
          <w:trHeight w:val="87"/>
        </w:trPr>
        <w:tc>
          <w:tcPr>
            <w:tcW w:w="3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980" w:type="dxa"/>
            <w:vAlign w:val="bottom"/>
          </w:tcPr>
          <w:p>
            <w:pPr>
              <w:spacing w:after="0"/>
              <w:rPr>
                <w:sz w:val="7"/>
                <w:szCs w:val="7"/>
                <w:color w:val="auto"/>
              </w:rPr>
            </w:pPr>
          </w:p>
        </w:tc>
      </w:tr>
      <w:tr>
        <w:trPr>
          <w:trHeight w:val="426"/>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i w:val="1"/>
                <w:iCs w:val="1"/>
                <w:color w:val="auto"/>
              </w:rPr>
              <w:t>Copies to:</w:t>
            </w:r>
          </w:p>
        </w:tc>
        <w:tc>
          <w:tcPr>
            <w:tcW w:w="3980" w:type="dxa"/>
            <w:vAlign w:val="bottom"/>
          </w:tcPr>
          <w:p>
            <w:pPr>
              <w:spacing w:after="0"/>
              <w:rPr>
                <w:sz w:val="24"/>
                <w:szCs w:val="24"/>
                <w:color w:val="auto"/>
              </w:rPr>
            </w:pPr>
          </w:p>
        </w:tc>
      </w:tr>
      <w:tr>
        <w:trPr>
          <w:trHeight w:val="243"/>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80" w:type="dxa"/>
            <w:vAlign w:val="bottom"/>
          </w:tcPr>
          <w:p>
            <w:pPr>
              <w:spacing w:after="0"/>
              <w:rPr>
                <w:sz w:val="21"/>
                <w:szCs w:val="21"/>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Exchange on which registered</w:t>
            </w:r>
          </w:p>
        </w:tc>
      </w:tr>
      <w:tr>
        <w:trPr>
          <w:trHeight w:val="214"/>
        </w:trPr>
        <w:tc>
          <w:tcPr>
            <w:tcW w:w="4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Common Stock, par value $0.00001</w:t>
            </w:r>
          </w:p>
        </w:tc>
        <w:tc>
          <w:tcPr>
            <w:tcW w:w="60" w:type="dxa"/>
            <w:vAlign w:val="bottom"/>
          </w:tcPr>
          <w:p>
            <w:pPr>
              <w:spacing w:after="0"/>
              <w:rPr>
                <w:sz w:val="18"/>
                <w:szCs w:val="18"/>
                <w:color w:val="auto"/>
              </w:rPr>
            </w:pPr>
          </w:p>
        </w:tc>
        <w:tc>
          <w:tcPr>
            <w:tcW w:w="31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color w:val="auto"/>
              </w:rPr>
              <w:t>SEER</w:t>
            </w:r>
          </w:p>
        </w:tc>
        <w:tc>
          <w:tcPr>
            <w:tcW w:w="3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200" w:lineRule="exact"/>
        <w:rPr>
          <w:sz w:val="24"/>
          <w:szCs w:val="24"/>
          <w:color w:val="auto"/>
        </w:rPr>
      </w:pPr>
    </w:p>
    <w:p>
      <w:pPr>
        <w:spacing w:after="0" w:line="219" w:lineRule="exact"/>
        <w:rPr>
          <w:sz w:val="24"/>
          <w:szCs w:val="24"/>
          <w:color w:val="auto"/>
        </w:rPr>
      </w:pPr>
    </w:p>
    <w:p>
      <w:pPr>
        <w:ind w:right="32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18" w:lineRule="exact"/>
        <w:rPr>
          <w:sz w:val="24"/>
          <w:szCs w:val="24"/>
          <w:color w:val="auto"/>
        </w:rPr>
      </w:pPr>
    </w:p>
    <w:p>
      <w:pPr>
        <w:ind w:right="2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480" w:type="dxa"/>
        <w:tblCellMar>
          <w:top w:w="0" w:type="dxa"/>
          <w:left w:w="0" w:type="dxa"/>
          <w:bottom w:w="0" w:type="dxa"/>
          <w:right w:w="0" w:type="dxa"/>
        </w:tblCellMar>
      </w:tblPr>
      <w:tr>
        <w:trPr>
          <w:trHeight w:val="232"/>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Accelerated filer</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8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33" w:lineRule="exact"/>
        <w:rPr>
          <w:sz w:val="24"/>
          <w:szCs w:val="24"/>
          <w:color w:val="auto"/>
        </w:rPr>
      </w:pPr>
    </w:p>
    <w:p>
      <w:pPr>
        <w:ind w:right="48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1" w:lineRule="exact"/>
        <w:rPr>
          <w:sz w:val="24"/>
          <w:szCs w:val="24"/>
          <w:color w:val="auto"/>
        </w:rPr>
      </w:pPr>
    </w:p>
    <w:p>
      <w:pPr>
        <w:ind w:right="180"/>
        <w:spacing w:after="0" w:line="289" w:lineRule="auto"/>
        <w:rPr>
          <w:sz w:val="20"/>
          <w:szCs w:val="20"/>
          <w:color w:val="auto"/>
        </w:rPr>
      </w:pPr>
      <w:r>
        <w:rPr>
          <w:rFonts w:ascii="Times New Roman" w:cs="Times New Roman" w:eastAsia="Times New Roman" w:hAnsi="Times New Roman"/>
          <w:sz w:val="15"/>
          <w:szCs w:val="15"/>
          <w:color w:val="auto"/>
        </w:rPr>
        <w:t>As of August 4, 2022, the registrant had 58,566,537 shares of Class A common stock, $0.00001 par value per share, and 4,044,969 shares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279400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 w:name="page2"/>
    <w:bookmarkEnd w:id="1"/>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500" w:type="dxa"/>
            <w:vAlign w:val="bottom"/>
            <w:gridSpan w:val="2"/>
          </w:tcPr>
          <w:p>
            <w:pPr>
              <w:spacing w:after="0"/>
              <w:rPr>
                <w:sz w:val="17"/>
                <w:szCs w:val="17"/>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88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color w:val="0000FF"/>
                <w:w w:val="93"/>
              </w:rPr>
              <w:t>1</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w:t>
            </w:r>
          </w:p>
        </w:tc>
        <w:tc>
          <w:tcPr>
            <w:tcW w:w="500" w:type="dxa"/>
            <w:vAlign w:val="bottom"/>
            <w:gridSpan w:val="2"/>
          </w:tcPr>
          <w:p>
            <w:pPr>
              <w:spacing w:after="0"/>
              <w:rPr>
                <w:sz w:val="17"/>
                <w:szCs w:val="17"/>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188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color w:val="0000FF"/>
                <w:w w:val="93"/>
              </w:rPr>
              <w:t>1</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5100" w:type="dxa"/>
            <w:vAlign w:val="bottom"/>
            <w:gridSpan w:val="7"/>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color w:val="0000FF"/>
                <w:w w:val="93"/>
              </w:rPr>
              <w:t>1</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w:t>
            </w:r>
          </w:p>
        </w:tc>
        <w:tc>
          <w:tcPr>
            <w:tcW w:w="1740" w:type="dxa"/>
            <w:vAlign w:val="bottom"/>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color w:val="0000FF"/>
                <w:w w:val="93"/>
              </w:rPr>
              <w:t>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6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Stockholders’ Equity</w:t>
            </w:r>
          </w:p>
        </w:tc>
        <w:tc>
          <w:tcPr>
            <w:tcW w:w="1740" w:type="dxa"/>
            <w:vAlign w:val="bottom"/>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color w:val="0000FF"/>
                <w:w w:val="93"/>
              </w:rPr>
              <w:t>3</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2900" w:type="dxa"/>
            <w:vAlign w:val="bottom"/>
            <w:gridSpan w:val="3"/>
          </w:tcPr>
          <w:p>
            <w:pPr>
              <w:spacing w:after="0"/>
              <w:rPr>
                <w:sz w:val="17"/>
                <w:szCs w:val="17"/>
                <w:color w:val="auto"/>
              </w:rPr>
            </w:pPr>
          </w:p>
        </w:tc>
        <w:tc>
          <w:tcPr>
            <w:tcW w:w="188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color w:val="0000FF"/>
                <w:w w:val="93"/>
              </w:rPr>
              <w:t>5</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Notes to Unaudited Condensed Consolidated Financial Statements</w:t>
            </w:r>
          </w:p>
        </w:tc>
        <w:tc>
          <w:tcPr>
            <w:tcW w:w="1880" w:type="dxa"/>
            <w:vAlign w:val="bottom"/>
            <w:gridSpan w:val="2"/>
          </w:tcPr>
          <w:p>
            <w:pPr>
              <w:jc w:val="center"/>
              <w:ind w:left="1714"/>
              <w:spacing w:after="0"/>
              <w:rPr>
                <w:sz w:val="20"/>
                <w:szCs w:val="20"/>
                <w:color w:val="auto"/>
              </w:rPr>
            </w:pPr>
            <w:r>
              <w:rPr>
                <w:rFonts w:ascii="Times New Roman" w:cs="Times New Roman" w:eastAsia="Times New Roman" w:hAnsi="Times New Roman"/>
                <w:sz w:val="17"/>
                <w:szCs w:val="17"/>
                <w:color w:val="0000FF"/>
                <w:w w:val="93"/>
              </w:rPr>
              <w:t>6</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2.</w:t>
            </w: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19</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3.</w:t>
            </w: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28</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4.</w:t>
            </w: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28</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1"/>
              </w:rPr>
              <w:t>PART II.</w:t>
            </w:r>
          </w:p>
        </w:tc>
        <w:tc>
          <w:tcPr>
            <w:tcW w:w="440" w:type="dxa"/>
            <w:vAlign w:val="bottom"/>
          </w:tcPr>
          <w:p>
            <w:pPr>
              <w:spacing w:after="0"/>
              <w:rPr>
                <w:sz w:val="17"/>
                <w:szCs w:val="17"/>
                <w:color w:val="auto"/>
              </w:rPr>
            </w:pPr>
          </w:p>
        </w:tc>
        <w:tc>
          <w:tcPr>
            <w:tcW w:w="18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6100" w:type="dxa"/>
            <w:vAlign w:val="bottom"/>
            <w:gridSpan w:val="12"/>
          </w:tcPr>
          <w:p>
            <w:pPr>
              <w:spacing w:after="0"/>
              <w:rPr>
                <w:sz w:val="17"/>
                <w:szCs w:val="17"/>
                <w:color w:val="auto"/>
              </w:rPr>
            </w:pP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30</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440" w:type="dxa"/>
            <w:vAlign w:val="bottom"/>
          </w:tcPr>
          <w:p>
            <w:pPr>
              <w:spacing w:after="0"/>
              <w:rPr>
                <w:sz w:val="17"/>
                <w:szCs w:val="17"/>
                <w:color w:val="auto"/>
              </w:rPr>
            </w:pPr>
          </w:p>
        </w:tc>
        <w:tc>
          <w:tcPr>
            <w:tcW w:w="18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100" w:type="dxa"/>
            <w:vAlign w:val="bottom"/>
            <w:gridSpan w:val="12"/>
          </w:tcPr>
          <w:p>
            <w:pPr>
              <w:spacing w:after="0"/>
              <w:rPr>
                <w:sz w:val="17"/>
                <w:szCs w:val="17"/>
                <w:color w:val="auto"/>
              </w:rPr>
            </w:pP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30</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5"/>
              </w:rPr>
              <w:t>Item 1A.</w:t>
            </w:r>
          </w:p>
        </w:tc>
        <w:tc>
          <w:tcPr>
            <w:tcW w:w="440" w:type="dxa"/>
            <w:vAlign w:val="bottom"/>
          </w:tcPr>
          <w:p>
            <w:pPr>
              <w:spacing w:after="0"/>
              <w:rPr>
                <w:sz w:val="17"/>
                <w:szCs w:val="17"/>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30</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440" w:type="dxa"/>
            <w:vAlign w:val="bottom"/>
          </w:tcPr>
          <w:p>
            <w:pPr>
              <w:spacing w:after="0"/>
              <w:rPr>
                <w:sz w:val="17"/>
                <w:szCs w:val="17"/>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3.</w:t>
            </w: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4.</w:t>
            </w: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Mine Safety Disclosure</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5.</w:t>
            </w: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72</w:t>
            </w:r>
          </w:p>
        </w:tc>
        <w:tc>
          <w:tcPr>
            <w:tcW w:w="3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6.</w:t>
            </w:r>
          </w:p>
        </w:tc>
        <w:tc>
          <w:tcPr>
            <w:tcW w:w="79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w:t>
            </w:r>
          </w:p>
        </w:tc>
        <w:tc>
          <w:tcPr>
            <w:tcW w:w="1880" w:type="dxa"/>
            <w:vAlign w:val="bottom"/>
            <w:gridSpan w:val="2"/>
          </w:tcPr>
          <w:p>
            <w:pPr>
              <w:jc w:val="center"/>
              <w:ind w:left="1634"/>
              <w:spacing w:after="0"/>
              <w:rPr>
                <w:sz w:val="20"/>
                <w:szCs w:val="20"/>
                <w:color w:val="auto"/>
              </w:rPr>
            </w:pPr>
            <w:r>
              <w:rPr>
                <w:rFonts w:ascii="Times New Roman" w:cs="Times New Roman" w:eastAsia="Times New Roman" w:hAnsi="Times New Roman"/>
                <w:sz w:val="17"/>
                <w:szCs w:val="17"/>
                <w:color w:val="0000FF"/>
                <w:w w:val="93"/>
              </w:rPr>
              <w:t>73</w:t>
            </w:r>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40" w:type="dxa"/>
            <w:vAlign w:val="bottom"/>
            <w:gridSpan w:val="15"/>
          </w:tcPr>
          <w:p>
            <w:pPr>
              <w:ind w:left="120"/>
              <w:spacing w:after="0"/>
              <w:rPr>
                <w:sz w:val="20"/>
                <w:szCs w:val="20"/>
                <w:color w:val="auto"/>
              </w:rPr>
            </w:pPr>
            <w:r>
              <w:rPr>
                <w:rFonts w:ascii="Times New Roman" w:cs="Times New Roman" w:eastAsia="Times New Roman" w:hAnsi="Times New Roman"/>
                <w:sz w:val="17"/>
                <w:szCs w:val="17"/>
                <w:color w:val="0000FF"/>
              </w:rPr>
              <w:t>Signatures</w:t>
            </w:r>
          </w:p>
        </w:tc>
        <w:tc>
          <w:tcPr>
            <w:tcW w:w="18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r>
      <w:tr>
        <w:trPr>
          <w:trHeight w:val="1997"/>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14"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addressable market, market growth, key performance indicators, capital requirements and our needs for additional financing;</w:t>
      </w:r>
    </w:p>
    <w:p>
      <w:pPr>
        <w:spacing w:after="0" w:line="165" w:lineRule="exact"/>
        <w:rPr>
          <w:rFonts w:ascii="Times New Roman" w:cs="Times New Roman" w:eastAsia="Times New Roman" w:hAnsi="Times New Roman"/>
          <w:sz w:val="17"/>
          <w:szCs w:val="17"/>
          <w:color w:val="auto"/>
        </w:rPr>
      </w:pPr>
    </w:p>
    <w:p>
      <w:pPr>
        <w:ind w:left="620" w:right="460" w:hanging="307"/>
        <w:spacing w:after="0" w:line="287"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financial performance, including among others, revenue, cost of revenue, gross profit, operating expenses, loss from operations and net losses;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our broad release commercialization plan, including our ability to attract customers;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business model, strategic plans and expected pricing for the Proteograph™ Product Suite;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rate and degree of market acceptance of the Proteograph Product Suite;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Proteograph Product Suite on the field of proteomics and the size and growth of the addressable proteomics market;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companies and technologies and our industry;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and grow our business;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commercialize new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intellectual property protection for our products or avoid or defend claims of infringement;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third-party manufacturers and suppliers;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effects of government regulation;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key personnel and to manage our future growth effectively;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of the trading price of our Class A common stock;</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benefits of the PrognomIQ, Inc. transaction;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local, regional, and national and international economic conditions and events;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on our business;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about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954405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2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925195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amounts)</w:t>
      </w:r>
    </w:p>
    <w:p>
      <w:pPr>
        <w:spacing w:after="0" w:line="7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7940" w:type="dxa"/>
            <w:vAlign w:val="bottom"/>
          </w:tcPr>
          <w:p>
            <w:pPr>
              <w:spacing w:after="0"/>
              <w:rPr>
                <w:sz w:val="15"/>
                <w:szCs w:val="15"/>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3"/>
        </w:trPr>
        <w:tc>
          <w:tcPr>
            <w:tcW w:w="7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tcBorders>
              <w:bottom w:val="single" w:sz="8" w:color="CCEEFF"/>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investments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Related party receivables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receivables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466,757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960" w:type="dxa"/>
            <w:vAlign w:val="bottom"/>
            <w:tcBorders>
              <w:top w:val="single" w:sz="8" w:color="auto"/>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516,300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9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Borders>
              <w:bottom w:val="single" w:sz="8" w:color="CCEEFF"/>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7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794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Preferred stock, $0.00001 par value; 5,000,000 shares authorized as of June 30, 2022 and December 31, 2021; zero shares issued and</w:t>
            </w: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outstanding as of June 30, 2022 and December 31, 2021</w:t>
            </w:r>
          </w:p>
        </w:tc>
        <w:tc>
          <w:tcPr>
            <w:tcW w:w="96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9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Class A common stock, $0.00001 par value; 94,000,000 shares authorized as of June 30, 2022 and December 31, 2021; 58,565,210 and</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57,493,005 shares issued and outstanding as of June 30, 2022 and December 31, 2021, respectively</w:t>
            </w:r>
          </w:p>
        </w:tc>
        <w:tc>
          <w:tcPr>
            <w:tcW w:w="9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94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Class B common stock, $0.00001 par value; 6,000,000 shares authorized as of June 30, 2022 and December 31, 2021; 4,044,969 and</w:t>
            </w: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4,522,478 shares issued and outstanding as of June 30, 2022 and December 31, 2021, respectively</w:t>
            </w:r>
          </w:p>
        </w:tc>
        <w:tc>
          <w:tcPr>
            <w:tcW w:w="96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648,146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4"/>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9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(172,991)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7"/>
        </w:trPr>
        <w:tc>
          <w:tcPr>
            <w:tcW w:w="7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472,043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5"/>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7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50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w w:val="85"/>
              </w:rPr>
              <w:t>2021</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80" w:type="dxa"/>
            <w:vAlign w:val="bottom"/>
          </w:tcPr>
          <w:p>
            <w:pPr>
              <w:spacing w:after="0"/>
              <w:rPr>
                <w:sz w:val="22"/>
                <w:szCs w:val="22"/>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tcPr>
          <w:p>
            <w:pPr>
              <w:spacing w:after="0"/>
              <w:rPr>
                <w:sz w:val="22"/>
                <w:szCs w:val="22"/>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4,555</w:t>
            </w:r>
          </w:p>
        </w:tc>
        <w:tc>
          <w:tcPr>
            <w:tcW w:w="80" w:type="dxa"/>
            <w:vAlign w:val="bottom"/>
          </w:tcPr>
          <w:p>
            <w:pPr>
              <w:spacing w:after="0"/>
              <w:rPr>
                <w:sz w:val="22"/>
                <w:szCs w:val="22"/>
                <w:color w:val="auto"/>
              </w:rPr>
            </w:pP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Related party</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Grant and other</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Related party</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4,080</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21,607</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14,172</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28,466</w:t>
            </w:r>
          </w:p>
        </w:tc>
        <w:tc>
          <w:tcPr>
            <w:tcW w:w="8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25,043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50,073</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(47,219)</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expense</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41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(22,815)</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(46,461)</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Unrealized loss on available-for-sale securities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(33,133)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160" w:type="dxa"/>
            <w:vAlign w:val="bottom"/>
            <w:vMerge w:val="continue"/>
          </w:tcPr>
          <w:p>
            <w:pPr>
              <w:spacing w:after="0"/>
              <w:rPr>
                <w:sz w:val="14"/>
                <w:szCs w:val="14"/>
                <w:color w:val="auto"/>
              </w:rPr>
            </w:pPr>
          </w:p>
        </w:tc>
        <w:tc>
          <w:tcPr>
            <w:tcW w:w="36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80" w:type="dxa"/>
            <w:vAlign w:val="bottom"/>
          </w:tcPr>
          <w:p>
            <w:pPr>
              <w:spacing w:after="0"/>
              <w:rPr>
                <w:sz w:val="14"/>
                <w:szCs w:val="14"/>
                <w:color w:val="auto"/>
              </w:rPr>
            </w:pPr>
          </w:p>
        </w:tc>
        <w:tc>
          <w:tcPr>
            <w:tcW w:w="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Pr>
          <w:p>
            <w:pPr>
              <w:spacing w:after="0"/>
              <w:rPr>
                <w:sz w:val="14"/>
                <w:szCs w:val="14"/>
                <w:color w:val="auto"/>
              </w:rPr>
            </w:pPr>
          </w:p>
        </w:tc>
        <w:tc>
          <w:tcPr>
            <w:tcW w:w="4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80" w:type="dxa"/>
            <w:vAlign w:val="bottom"/>
          </w:tcPr>
          <w:p>
            <w:pPr>
              <w:spacing w:after="0"/>
              <w:rPr>
                <w:sz w:val="14"/>
                <w:szCs w:val="14"/>
                <w:color w:val="auto"/>
              </w:rPr>
            </w:pPr>
          </w:p>
        </w:tc>
        <w:tc>
          <w:tcPr>
            <w:tcW w:w="780" w:type="dxa"/>
            <w:vAlign w:val="bottom"/>
            <w:vMerge w:val="restart"/>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and diluted</w:t>
            </w:r>
          </w:p>
        </w:tc>
        <w:tc>
          <w:tcPr>
            <w:tcW w:w="3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Weighted-average common shares outstanding, basic and</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62,376,571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60,841,657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62,191,068</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60,367,433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170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700" w:type="dxa"/>
            <w:vAlign w:val="bottom"/>
            <w:tcBorders>
              <w:bottom w:val="single" w:sz="8" w:color="auto"/>
            </w:tcBorders>
            <w:gridSpan w:val="3"/>
          </w:tcPr>
          <w:p>
            <w:pPr>
              <w:jc w:val="right"/>
              <w:ind w:right="206"/>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120" w:type="dxa"/>
            <w:vAlign w:val="bottom"/>
            <w:gridSpan w:val="3"/>
          </w:tcPr>
          <w:p>
            <w:pPr>
              <w:jc w:val="right"/>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8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220" w:type="dxa"/>
            <w:vAlign w:val="bottom"/>
          </w:tcPr>
          <w:p>
            <w:pPr>
              <w:spacing w:after="0"/>
              <w:rPr>
                <w:sz w:val="16"/>
                <w:szCs w:val="16"/>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5"/>
        </w:trPr>
        <w:tc>
          <w:tcPr>
            <w:tcW w:w="29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62,015,483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629,981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502,916</w:t>
            </w:r>
          </w:p>
        </w:tc>
        <w:tc>
          <w:tcPr>
            <w:tcW w:w="0" w:type="dxa"/>
            <w:vAlign w:val="bottom"/>
          </w:tcPr>
          <w:p>
            <w:pPr>
              <w:spacing w:after="0"/>
              <w:rPr>
                <w:sz w:val="1"/>
                <w:szCs w:val="1"/>
                <w:color w:val="auto"/>
              </w:rPr>
            </w:pPr>
          </w:p>
        </w:tc>
      </w:tr>
      <w:tr>
        <w:trPr>
          <w:trHeight w:val="156"/>
        </w:trPr>
        <w:tc>
          <w:tcPr>
            <w:tcW w:w="29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Issuance of Class A common stock from</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20"/>
              <w:spacing w:after="0" w:line="155" w:lineRule="exact"/>
              <w:rPr>
                <w:sz w:val="20"/>
                <w:szCs w:val="20"/>
                <w:color w:val="auto"/>
              </w:rPr>
            </w:pPr>
            <w:r>
              <w:rPr>
                <w:rFonts w:ascii="Times New Roman" w:cs="Times New Roman" w:eastAsia="Times New Roman" w:hAnsi="Times New Roman"/>
                <w:sz w:val="15"/>
                <w:szCs w:val="15"/>
                <w:color w:val="auto"/>
              </w:rPr>
              <w:t>exercise of options and release of restricted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283,251</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 units</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Repurchase of Class A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(5,841)</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29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Vesting of early exercised stock options and</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restricted common stock</w:t>
            </w:r>
          </w:p>
        </w:tc>
        <w:tc>
          <w:tcPr>
            <w:tcW w:w="10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8,062</w:t>
            </w: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gridSpan w:val="2"/>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0" w:type="dxa"/>
            <w:vAlign w:val="bottom"/>
          </w:tcPr>
          <w:p>
            <w:pPr>
              <w:spacing w:after="0"/>
              <w:rPr>
                <w:sz w:val="1"/>
                <w:szCs w:val="1"/>
                <w:color w:val="auto"/>
              </w:rPr>
            </w:pPr>
          </w:p>
        </w:tc>
      </w:tr>
      <w:tr>
        <w:trPr>
          <w:trHeight w:val="232"/>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(23,646)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(23,646)</w:t>
            </w:r>
          </w:p>
        </w:tc>
        <w:tc>
          <w:tcPr>
            <w:tcW w:w="0" w:type="dxa"/>
            <w:vAlign w:val="bottom"/>
          </w:tcPr>
          <w:p>
            <w:pPr>
              <w:spacing w:after="0"/>
              <w:rPr>
                <w:sz w:val="1"/>
                <w:szCs w:val="1"/>
                <w:color w:val="auto"/>
              </w:rPr>
            </w:pPr>
          </w:p>
        </w:tc>
      </w:tr>
      <w:tr>
        <w:trPr>
          <w:trHeight w:val="218"/>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62,292,893</w:t>
            </w: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638,860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(150,176)</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(2,227)</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486,458</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5"/>
                <w:szCs w:val="15"/>
                <w:color w:val="auto"/>
              </w:rPr>
              <w:t>Issuance of Class A common stock from</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5"/>
                <w:szCs w:val="15"/>
                <w:color w:val="auto"/>
              </w:rPr>
              <w:t>exercise of options and release of restricted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260,533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 units</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9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Issuance of common stock in connection with</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56,753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left="344"/>
              <w:spacing w:after="0"/>
              <w:rPr>
                <w:sz w:val="20"/>
                <w:szCs w:val="20"/>
                <w:color w:val="auto"/>
              </w:rPr>
            </w:pPr>
            <w:r>
              <w:rPr>
                <w:rFonts w:ascii="Verdana" w:cs="Verdana" w:eastAsia="Verdana" w:hAnsi="Verdana"/>
                <w:sz w:val="14"/>
                <w:szCs w:val="14"/>
                <w:color w:val="auto"/>
                <w:w w:val="99"/>
              </w:rPr>
              <w:t>—</w:t>
            </w: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ind w:left="80"/>
              <w:spacing w:after="0" w:line="159" w:lineRule="exact"/>
              <w:rPr>
                <w:sz w:val="20"/>
                <w:szCs w:val="20"/>
                <w:color w:val="auto"/>
              </w:rPr>
            </w:pPr>
            <w:r>
              <w:rPr>
                <w:rFonts w:ascii="Times New Roman" w:cs="Times New Roman" w:eastAsia="Times New Roman" w:hAnsi="Times New Roman"/>
                <w:sz w:val="15"/>
                <w:szCs w:val="15"/>
                <w:color w:val="auto"/>
              </w:rPr>
              <w:t>Vesting of early exercised stock options and</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common stock</w:t>
            </w:r>
          </w:p>
        </w:tc>
        <w:tc>
          <w:tcPr>
            <w:tcW w:w="100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8,378</w:t>
            </w: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w:t>
            </w: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(22,815)</w:t>
            </w:r>
          </w:p>
        </w:tc>
        <w:tc>
          <w:tcPr>
            <w:tcW w:w="0" w:type="dxa"/>
            <w:vAlign w:val="bottom"/>
          </w:tcPr>
          <w:p>
            <w:pPr>
              <w:spacing w:after="0"/>
              <w:rPr>
                <w:sz w:val="1"/>
                <w:szCs w:val="1"/>
                <w:color w:val="auto"/>
              </w:rPr>
            </w:pPr>
          </w:p>
        </w:tc>
      </w:tr>
      <w:tr>
        <w:trPr>
          <w:trHeight w:val="253"/>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62,610,179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648,146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(172,991)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472,043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5400" w:type="dxa"/>
            <w:vAlign w:val="bottom"/>
            <w:gridSpan w:val="15"/>
          </w:tcPr>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9"/>
          </w:tcPr>
          <w:p>
            <w:pPr>
              <w:jc w:val="center"/>
              <w:ind w:left="203"/>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amounts)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9"/>
        </w:trPr>
        <w:tc>
          <w:tcPr>
            <w:tcW w:w="2960" w:type="dxa"/>
            <w:vAlign w:val="bottom"/>
          </w:tcPr>
          <w:p>
            <w:pPr>
              <w:spacing w:after="0"/>
              <w:rPr>
                <w:sz w:val="24"/>
                <w:szCs w:val="24"/>
                <w:color w:val="auto"/>
              </w:rPr>
            </w:pPr>
          </w:p>
        </w:tc>
        <w:tc>
          <w:tcPr>
            <w:tcW w:w="1700" w:type="dxa"/>
            <w:vAlign w:val="bottom"/>
            <w:gridSpan w:val="3"/>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700" w:type="dxa"/>
            <w:vAlign w:val="bottom"/>
            <w:tcBorders>
              <w:bottom w:val="single" w:sz="8" w:color="auto"/>
            </w:tcBorders>
            <w:gridSpan w:val="3"/>
          </w:tcPr>
          <w:p>
            <w:pPr>
              <w:jc w:val="right"/>
              <w:ind w:right="203"/>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040" w:type="dxa"/>
            <w:vAlign w:val="bottom"/>
            <w:gridSpan w:val="3"/>
          </w:tcPr>
          <w:p>
            <w:pPr>
              <w:ind w:left="80"/>
              <w:spacing w:after="0" w:line="14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40" w:type="dxa"/>
            <w:vAlign w:val="bottom"/>
          </w:tcPr>
          <w:p>
            <w:pPr>
              <w:spacing w:after="0"/>
              <w:rPr>
                <w:sz w:val="17"/>
                <w:szCs w:val="17"/>
                <w:color w:val="auto"/>
              </w:rPr>
            </w:pPr>
          </w:p>
        </w:tc>
        <w:tc>
          <w:tcPr>
            <w:tcW w:w="6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9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59,261,051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486,915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(55,361)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center"/>
              <w:ind w:left="58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431,609</w:t>
            </w:r>
          </w:p>
        </w:tc>
        <w:tc>
          <w:tcPr>
            <w:tcW w:w="0" w:type="dxa"/>
            <w:vAlign w:val="bottom"/>
          </w:tcPr>
          <w:p>
            <w:pPr>
              <w:spacing w:after="0"/>
              <w:rPr>
                <w:sz w:val="1"/>
                <w:szCs w:val="1"/>
                <w:color w:val="auto"/>
              </w:rPr>
            </w:pPr>
          </w:p>
        </w:tc>
      </w:tr>
      <w:tr>
        <w:trPr>
          <w:trHeight w:val="156"/>
        </w:trPr>
        <w:tc>
          <w:tcPr>
            <w:tcW w:w="29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Issuance of Class A common stock from</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399,174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exercise of options</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Repurchase of Class A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29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Vesting of early exercised stock options and</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03"/>
        </w:trPr>
        <w:tc>
          <w:tcPr>
            <w:tcW w:w="29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restricted common stock</w:t>
            </w:r>
          </w:p>
        </w:tc>
        <w:tc>
          <w:tcPr>
            <w:tcW w:w="100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ind w:left="80"/>
              <w:spacing w:after="0" w:line="159" w:lineRule="exact"/>
              <w:rPr>
                <w:sz w:val="20"/>
                <w:szCs w:val="20"/>
                <w:color w:val="auto"/>
              </w:rPr>
            </w:pPr>
            <w:r>
              <w:rPr>
                <w:rFonts w:ascii="Times New Roman" w:cs="Times New Roman" w:eastAsia="Times New Roman" w:hAnsi="Times New Roman"/>
                <w:sz w:val="15"/>
                <w:szCs w:val="15"/>
                <w:color w:val="auto"/>
              </w:rPr>
              <w:t>Issuance of Class A common stock upon</w:t>
            </w: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5"/>
                <w:szCs w:val="15"/>
                <w:color w:val="auto"/>
              </w:rPr>
              <w:t>follow-on offering, net of issuance costs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102,959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102,959</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$7,591</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Return of profit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20" w:type="dxa"/>
            <w:vAlign w:val="bottom"/>
            <w:gridSpan w:val="2"/>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11,403</w:t>
            </w: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6,039</w:t>
            </w: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940" w:type="dxa"/>
            <w:vAlign w:val="bottom"/>
          </w:tcPr>
          <w:p>
            <w:pPr>
              <w:jc w:val="center"/>
              <w:ind w:left="544"/>
              <w:spacing w:after="0"/>
              <w:rPr>
                <w:sz w:val="20"/>
                <w:szCs w:val="20"/>
                <w:color w:val="auto"/>
              </w:rPr>
            </w:pPr>
            <w:r>
              <w:rPr>
                <w:rFonts w:ascii="Times New Roman" w:cs="Times New Roman" w:eastAsia="Times New Roman" w:hAnsi="Times New Roman"/>
                <w:sz w:val="15"/>
                <w:szCs w:val="15"/>
                <w:color w:val="auto"/>
                <w:w w:val="95"/>
              </w:rPr>
              <w:t>(26)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32"/>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(16,429)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(16,429)</w:t>
            </w:r>
          </w:p>
        </w:tc>
        <w:tc>
          <w:tcPr>
            <w:tcW w:w="0" w:type="dxa"/>
            <w:vAlign w:val="bottom"/>
          </w:tcPr>
          <w:p>
            <w:pPr>
              <w:spacing w:after="0"/>
              <w:rPr>
                <w:sz w:val="1"/>
                <w:szCs w:val="1"/>
                <w:color w:val="auto"/>
              </w:rPr>
            </w:pPr>
          </w:p>
        </w:tc>
      </w:tr>
      <w:tr>
        <w:trPr>
          <w:trHeight w:val="218"/>
        </w:trPr>
        <w:tc>
          <w:tcPr>
            <w:tcW w:w="2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2021</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61,309,349</w:t>
            </w:r>
          </w:p>
        </w:tc>
        <w:tc>
          <w:tcPr>
            <w:tcW w:w="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607,531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(71,790)</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left="584"/>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535,770</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5"/>
                <w:szCs w:val="15"/>
                <w:color w:val="auto"/>
              </w:rPr>
              <w:t>Issuance of Class A common stock from</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5"/>
                <w:szCs w:val="15"/>
                <w:color w:val="auto"/>
              </w:rPr>
              <w:t>exercise of options and release of restricted</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132,766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 units</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Repurchase of Class A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(18,852)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20" w:type="dxa"/>
            <w:vAlign w:val="bottom"/>
            <w:gridSpan w:val="2"/>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ind w:left="80"/>
              <w:spacing w:after="0" w:line="159" w:lineRule="exact"/>
              <w:rPr>
                <w:sz w:val="20"/>
                <w:szCs w:val="20"/>
                <w:color w:val="auto"/>
              </w:rPr>
            </w:pPr>
            <w:r>
              <w:rPr>
                <w:rFonts w:ascii="Times New Roman" w:cs="Times New Roman" w:eastAsia="Times New Roman" w:hAnsi="Times New Roman"/>
                <w:sz w:val="15"/>
                <w:szCs w:val="15"/>
                <w:color w:val="auto"/>
              </w:rPr>
              <w:t>Vesting of early exercised stock options and</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common stock</w:t>
            </w:r>
          </w:p>
        </w:tc>
        <w:tc>
          <w:tcPr>
            <w:tcW w:w="100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20" w:type="dxa"/>
            <w:vAlign w:val="bottom"/>
            <w:gridSpan w:val="2"/>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6,431</w:t>
            </w: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left="544"/>
              <w:spacing w:after="0"/>
              <w:rPr>
                <w:sz w:val="20"/>
                <w:szCs w:val="20"/>
                <w:color w:val="auto"/>
              </w:rPr>
            </w:pPr>
            <w:r>
              <w:rPr>
                <w:rFonts w:ascii="Times New Roman" w:cs="Times New Roman" w:eastAsia="Times New Roman" w:hAnsi="Times New Roman"/>
                <w:sz w:val="15"/>
                <w:szCs w:val="15"/>
                <w:color w:val="auto"/>
                <w:w w:val="95"/>
              </w:rPr>
              <w:t>(62)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29"/>
        </w:trPr>
        <w:tc>
          <w:tcPr>
            <w:tcW w:w="29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(16,616)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50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(16,616)</w:t>
            </w:r>
          </w:p>
        </w:tc>
        <w:tc>
          <w:tcPr>
            <w:tcW w:w="0" w:type="dxa"/>
            <w:vAlign w:val="bottom"/>
          </w:tcPr>
          <w:p>
            <w:pPr>
              <w:spacing w:after="0"/>
              <w:rPr>
                <w:sz w:val="1"/>
                <w:szCs w:val="1"/>
                <w:color w:val="auto"/>
              </w:rPr>
            </w:pPr>
          </w:p>
        </w:tc>
      </w:tr>
      <w:tr>
        <w:trPr>
          <w:trHeight w:val="253"/>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61,423,263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614,483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(88,406)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center"/>
              <w:ind w:left="544"/>
              <w:spacing w:after="0"/>
              <w:rPr>
                <w:sz w:val="20"/>
                <w:szCs w:val="20"/>
                <w:color w:val="auto"/>
              </w:rPr>
            </w:pPr>
            <w:r>
              <w:rPr>
                <w:rFonts w:ascii="Times New Roman" w:cs="Times New Roman" w:eastAsia="Times New Roman" w:hAnsi="Times New Roman"/>
                <w:sz w:val="15"/>
                <w:szCs w:val="15"/>
                <w:color w:val="auto"/>
                <w:w w:val="95"/>
              </w:rPr>
              <w:t>(34)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526,044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60" w:type="dxa"/>
            <w:vAlign w:val="bottom"/>
          </w:tcPr>
          <w:p>
            <w:pPr>
              <w:spacing w:after="0"/>
              <w:rPr>
                <w:sz w:val="15"/>
                <w:szCs w:val="15"/>
                <w:color w:val="auto"/>
              </w:rPr>
            </w:pPr>
          </w:p>
        </w:tc>
        <w:tc>
          <w:tcPr>
            <w:tcW w:w="258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7"/>
        </w:trPr>
        <w:tc>
          <w:tcPr>
            <w:tcW w:w="78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(46,461)</w:t>
            </w:r>
          </w:p>
        </w:tc>
        <w:tc>
          <w:tcPr>
            <w:tcW w:w="100" w:type="dxa"/>
            <w:vAlign w:val="bottom"/>
          </w:tcPr>
          <w:p>
            <w:pPr>
              <w:spacing w:after="0"/>
              <w:rPr>
                <w:sz w:val="15"/>
                <w:szCs w:val="15"/>
                <w:color w:val="auto"/>
              </w:rPr>
            </w:pP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(33,045)</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12,470</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amortization of premium on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Related party receivables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receivables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expenses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r>
      <w:tr>
        <w:trPr>
          <w:trHeight w:val="35"/>
        </w:trPr>
        <w:tc>
          <w:tcPr>
            <w:tcW w:w="78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2"/>
        </w:trPr>
        <w:tc>
          <w:tcPr>
            <w:tcW w:w="7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6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(143,651)</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(129,320)</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7"/>
        </w:trPr>
        <w:tc>
          <w:tcPr>
            <w:tcW w:w="78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(122,257)</w:t>
            </w: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(52,263)</w:t>
            </w:r>
          </w:p>
        </w:tc>
        <w:tc>
          <w:tcPr>
            <w:tcW w:w="100" w:type="dxa"/>
            <w:vAlign w:val="bottom"/>
          </w:tcPr>
          <w:p>
            <w:pPr>
              <w:spacing w:after="0"/>
              <w:rPr>
                <w:sz w:val="15"/>
                <w:szCs w:val="15"/>
                <w:color w:val="auto"/>
              </w:rPr>
            </w:pPr>
          </w:p>
        </w:tc>
      </w:tr>
      <w:tr>
        <w:trPr>
          <w:trHeight w:val="35"/>
        </w:trPr>
        <w:tc>
          <w:tcPr>
            <w:tcW w:w="78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17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8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upon follow-on public offering, net of issuance costs</w:t>
            </w:r>
          </w:p>
        </w:tc>
        <w:tc>
          <w:tcPr>
            <w:tcW w:w="9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102,959</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return of profit</w:t>
            </w: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Class A common stock options including early exercised options</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in connection with employee stock purchase plan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35"/>
        </w:trPr>
        <w:tc>
          <w:tcPr>
            <w:tcW w:w="78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12"/>
        </w:trPr>
        <w:tc>
          <w:tcPr>
            <w:tcW w:w="7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77"/>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(153,790)</w:t>
            </w: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37,271</w:t>
            </w:r>
          </w:p>
        </w:tc>
        <w:tc>
          <w:tcPr>
            <w:tcW w:w="100" w:type="dxa"/>
            <w:vAlign w:val="bottom"/>
          </w:tcPr>
          <w:p>
            <w:pPr>
              <w:spacing w:after="0"/>
              <w:rPr>
                <w:sz w:val="15"/>
                <w:szCs w:val="15"/>
                <w:color w:val="auto"/>
              </w:rPr>
            </w:pPr>
          </w:p>
        </w:tc>
      </w:tr>
      <w:tr>
        <w:trPr>
          <w:trHeight w:val="35"/>
        </w:trPr>
        <w:tc>
          <w:tcPr>
            <w:tcW w:w="7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233,337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4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79,547</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371,199</w:t>
            </w:r>
          </w:p>
        </w:tc>
        <w:tc>
          <w:tcPr>
            <w:tcW w:w="100" w:type="dxa"/>
            <w:vAlign w:val="bottom"/>
          </w:tcPr>
          <w:p>
            <w:pPr>
              <w:spacing w:after="0"/>
              <w:rPr>
                <w:sz w:val="18"/>
                <w:szCs w:val="18"/>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64"/>
        </w:trPr>
        <w:tc>
          <w:tcPr>
            <w:tcW w:w="7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7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purchases included in accounts payable</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purchases included in accrued expenses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obtained in exchange for right-of-use assets</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168275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119"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7"/>
        <w:spacing w:after="0"/>
        <w:tabs>
          <w:tab w:leader="none" w:pos="6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DESCRIPTION OF THE BUSINESS</w:t>
      </w:r>
    </w:p>
    <w:p>
      <w:pPr>
        <w:spacing w:after="0" w:line="16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Seer, Inc. (the Company) was incorporated in Delaware on March 16, 2017, and is headquartered in Redwood City, California, with wholly-owned subsidiaries in Massachusetts and the United Kingdom. The Company is a life sciences company focused on capturing deep molecular insights from the proteome to enable novel insights and breakthroughs in the understanding of biology and disease. Since inception, the Company has devoted its efforts principally to research, development and commercialization of its technology and products, recruiting management and technical staff, acquiring operating assets, and raising capital.</w:t>
      </w:r>
    </w:p>
    <w:p>
      <w:pPr>
        <w:spacing w:after="0" w:line="12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On May 25, 2022, the Company incorporated Seer Bio UK Limited, a wholly owned subsidiary under the laws of United Kingdom. There were no transactions during the period ended June 30, 2022.</w:t>
      </w:r>
    </w:p>
    <w:p>
      <w:pPr>
        <w:spacing w:after="0" w:line="1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w:t>
      </w:r>
    </w:p>
    <w:p>
      <w:pPr>
        <w:spacing w:after="0" w:line="1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As of June 30, 2022, the Company has incurred significant losses and has had negative cash flows from operations. As of June 30, 2022, the Company had cash and cash equivalents and short-term investments of $451.2 million and an accumulated deficit of $173.0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June 30, 2022 provides sufficient capital resources to continue its operations for at least 12 months from the issuance date of the accompanying unaudited condensed consolidated financial statements.</w:t>
      </w:r>
    </w:p>
    <w:p>
      <w:pPr>
        <w:spacing w:after="0" w:line="119" w:lineRule="exact"/>
        <w:rPr>
          <w:sz w:val="20"/>
          <w:szCs w:val="20"/>
          <w:color w:val="auto"/>
        </w:rPr>
      </w:pPr>
    </w:p>
    <w:p>
      <w:pPr>
        <w:ind w:left="620" w:hanging="617"/>
        <w:spacing w:after="0"/>
        <w:tabs>
          <w:tab w:leader="none" w:pos="6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AND BASIS OF PRESENTATION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unaudited condensed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unaudited condensed consolidated financial statements include the accounts of Seer, Inc. and its wholly-owned subsidiaries. All intercompany transactions and balances have been eliminated.</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condensed consolidated balance sheet at December 31, 2021 has been derived from the audited consolidated financial statements of the Company at that date. Certain information and footnote disclosures typically included in the Company’s audited consolidated financial statements have been condensed or omitted. The accompanying unaudited condensed consolidated financial statements have been prepared on the same basis as the annual consolidated financial statements and, in the opinion of management,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for any future annual or interim period.</w:t>
      </w:r>
    </w:p>
    <w:p>
      <w:pPr>
        <w:spacing w:after="0" w:line="122"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and notes should be read in conjunction with the audited consolidated financial statements and related notes for the year ended December 31, 2021 included in our Annual Report on Form 10-K filed with the SEC on 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color w:val="auto"/>
        </w:rPr>
        <w:t xml:space="preserve">The Company has also made certain presentation changes to retroactively adjust for the effects of Accounting Standards Codification No.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the adoption of which was disclosed in our Annual Report on Form 10-K filed on March 1, 2022, with an adoption effective date of January 1, 2021, using the modified retrospective method. The following table shows the affected line items within the unaudited condensed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0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280" w:type="dxa"/>
            <w:vAlign w:val="bottom"/>
          </w:tcPr>
          <w:p>
            <w:pPr>
              <w:spacing w:after="0"/>
              <w:rPr>
                <w:sz w:val="15"/>
                <w:szCs w:val="15"/>
                <w:color w:val="auto"/>
              </w:rPr>
            </w:pPr>
          </w:p>
        </w:tc>
      </w:tr>
      <w:tr>
        <w:trPr>
          <w:trHeight w:val="22"/>
        </w:trPr>
        <w:tc>
          <w:tcPr>
            <w:tcW w:w="5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98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0"/>
        </w:trPr>
        <w:tc>
          <w:tcPr>
            <w:tcW w:w="5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8"/>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5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r>
      <w:tr>
        <w:trPr>
          <w:trHeight w:val="258"/>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rent</w:t>
            </w:r>
          </w:p>
        </w:tc>
        <w:tc>
          <w:tcPr>
            <w:tcW w:w="5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(25,222)</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(25,222)</w:t>
            </w:r>
          </w:p>
        </w:tc>
      </w:tr>
      <w:tr>
        <w:trPr>
          <w:trHeight w:val="245"/>
        </w:trPr>
        <w:tc>
          <w:tcPr>
            <w:tcW w:w="59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9"/>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activities:</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liability obtained in exchange for right-of-use assets</w:t>
            </w: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23,232</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23,232</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spacing w:after="0" w:line="1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the COVID-19 Pandemic</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As a result of the COVID-19 pandemic (COVID-19), the Company’s operations experienced disruptions and restrictions on employees’ ability to work and on the hiring of additional personnel, particularly as it relates to the Company’s phased commercial release. The Company’s personnel has experienced delays in accessing customers in certain countries with strict COVID-19 policies to provide installation and training services. Continued disruptions from COVID-19 could harm the Company’s operations and the Company cannot anticipate all the ways in which it could be adversely impacted by health epidemics such as COVID-19. The Company continues to monitor and assess the effects of the COVID-19 pandemic on its business, financial condition, results of operations and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 and Restricted Cash</w:t>
      </w:r>
    </w:p>
    <w:p>
      <w:pPr>
        <w:spacing w:after="0" w:line="17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date of purchase to be cash equivalents. Cash and cash equivalents are stated at fair value.</w:t>
      </w:r>
    </w:p>
    <w:p>
      <w:pPr>
        <w:spacing w:after="0" w:line="10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Restricted cash as of June 30, 2022 and December 31, 2021 represents cash held by a financial institution as security for a letter of credit issued to the lessor for one of the Company’s operating leases and is classified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and restricted cash reported within the unaudited condensed consolidated balance sheets that sum to the total of the same amounts shown in the unaudited condensed consolidated statements of cash flows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6320" w:type="dxa"/>
            <w:vAlign w:val="bottom"/>
          </w:tcPr>
          <w:p>
            <w:pPr>
              <w:spacing w:after="0"/>
              <w:rPr>
                <w:sz w:val="16"/>
                <w:szCs w:val="16"/>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6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5"/>
        </w:trPr>
        <w:tc>
          <w:tcPr>
            <w:tcW w:w="6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79,023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232,813</w:t>
            </w:r>
          </w:p>
        </w:tc>
      </w:tr>
      <w:tr>
        <w:trPr>
          <w:trHeight w:val="21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524</w:t>
            </w: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and cash equivalents and restricted cash</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79,547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233,337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1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an identified risk of default. General allowance amounts are established based upon an assessment of expected credit losses for the Company’s receivables by aging category. Balances are written off when they are ultimately determined to be uncollectible. There was no allowance for credit losses related to accounts receivable as of June 30, 2022 and December 31, 2021.</w:t>
      </w:r>
    </w:p>
    <w:p>
      <w:pPr>
        <w:spacing w:after="0" w:line="12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As of June 30, 2022, there were four customers that represented 20%, 12%, 10%, and 10% of the total accounts receivable balance, including related party receivables. As of December 31, 2021, there were three customers that represented 34%, 23%, and 19% of the total accounts receivable balance, including related party receivables.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The Company generates revenue from sales of products and services. The Company’s product, the Proteograph Product Suite, consists of an instrument with embedded software essential to the instrument's functionality, and 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12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11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effective interest method. The Company does not assess whether a significant financing component exists when, at contract inception, the period between the transfer of control to a customer and final payment is one year or less.</w:t>
      </w:r>
    </w:p>
    <w:p>
      <w:pPr>
        <w:spacing w:after="0" w:line="100"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The Company elected the practical expedient to account for shipping and handling activities that occur after the customer has obtained control as a fulfillment activity and not a separate performance obligation. The Company expenses the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and Other Revenue</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2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7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Beginning in 2022, the Tax Cuts and Jobs Act of 2017 eliminates the option to deduct research and development expenditures in the period incurred and requires amortization over five years or fifteen years pursuant to Internal Revenue Code Section 174. Although Congress is considering legislation that would defer the amortization requirement to later years, there is no assurance that the requirement to amortize will be repealed or otherwise modified. The Company is currently assessing the impact of this provision but does not expect it to have a material impact on its financial position, results of operations or cash flows in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 xml:space="preserve">In November 2021, the FASB issued ASU No. 2021-10, </w:t>
      </w:r>
      <w:r>
        <w:rPr>
          <w:rFonts w:ascii="Times New Roman" w:cs="Times New Roman" w:eastAsia="Times New Roman" w:hAnsi="Times New Roman"/>
          <w:sz w:val="17"/>
          <w:szCs w:val="17"/>
          <w:i w:val="1"/>
          <w:iCs w:val="1"/>
          <w:color w:val="auto"/>
        </w:rPr>
        <w:t>Government Assistance (ASC Topic 832): Disclosures by Business Entities about Government Assistance</w:t>
      </w:r>
      <w:r>
        <w:rPr>
          <w:rFonts w:ascii="Times New Roman" w:cs="Times New Roman" w:eastAsia="Times New Roman" w:hAnsi="Times New Roman"/>
          <w:sz w:val="17"/>
          <w:szCs w:val="17"/>
          <w:color w:val="auto"/>
        </w:rPr>
        <w:t>. This standard requires annual disclosures that increase the transparency of transactions involving government grants, including the type of transactions, the accounting for those transactions and the effect of those transactions on an entity’s financial statements. The Company adopted this standard as of January 1, 2022, which did not have a material impact on its financial statements as of the adoption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7"/>
        <w:spacing w:after="0"/>
        <w:tabs>
          <w:tab w:leader="none" w:pos="6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AND FAIR VALUE OF FINANCIAL INSTRUMENTS</w:t>
      </w:r>
    </w:p>
    <w:p>
      <w:pPr>
        <w:spacing w:after="0" w:line="169"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7"/>
          <w:szCs w:val="17"/>
          <w:color w:val="auto"/>
        </w:rPr>
        <w:t>The following tables set forth the fair value of the Company’s financial assets that were measured at fair value on a recurring basis by level within the fair value hierarchy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
        </w:trPr>
        <w:tc>
          <w:tcPr>
            <w:tcW w:w="5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5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8"/>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56,320</w:t>
            </w:r>
          </w:p>
        </w:tc>
      </w:tr>
      <w:tr>
        <w:trPr>
          <w:trHeight w:val="258"/>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9,486</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9,486</w:t>
            </w:r>
          </w:p>
        </w:tc>
      </w:tr>
      <w:tr>
        <w:trPr>
          <w:trHeight w:val="258"/>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7,014</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7,014</w:t>
            </w:r>
          </w:p>
        </w:tc>
      </w:tr>
      <w:tr>
        <w:trPr>
          <w:trHeight w:val="251"/>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cash equivalents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72,820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8"/>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262,605</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262,605</w:t>
            </w:r>
          </w:p>
        </w:tc>
      </w:tr>
      <w:tr>
        <w:trPr>
          <w:trHeight w:val="258"/>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52,128</w:t>
            </w: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52,128</w:t>
            </w:r>
          </w:p>
        </w:tc>
      </w:tr>
      <w:tr>
        <w:trPr>
          <w:trHeight w:val="258"/>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62,349</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62,349</w:t>
            </w:r>
          </w:p>
        </w:tc>
      </w:tr>
      <w:tr>
        <w:trPr>
          <w:trHeight w:val="251"/>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377,082</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377,082</w:t>
            </w:r>
          </w:p>
        </w:tc>
      </w:tr>
      <w:tr>
        <w:trPr>
          <w:trHeight w:val="251"/>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measured at fair value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393,582</w:t>
            </w:r>
          </w:p>
        </w:tc>
        <w:tc>
          <w:tcPr>
            <w:tcW w:w="80" w:type="dxa"/>
            <w:vAlign w:val="bottom"/>
          </w:tcPr>
          <w:p>
            <w:pPr>
              <w:spacing w:after="0"/>
              <w:rPr>
                <w:sz w:val="21"/>
                <w:szCs w:val="21"/>
                <w:color w:val="auto"/>
              </w:rPr>
            </w:pP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449,902</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6"/>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
        </w:trPr>
        <w:tc>
          <w:tcPr>
            <w:tcW w:w="5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7"/>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5"/>
        </w:trPr>
        <w:tc>
          <w:tcPr>
            <w:tcW w:w="5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8"/>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232,813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232,813</w:t>
            </w:r>
          </w:p>
        </w:tc>
      </w:tr>
      <w:tr>
        <w:trPr>
          <w:trHeight w:val="251"/>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cash equivalents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232,813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8"/>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260,447</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260,447</w:t>
            </w:r>
          </w:p>
        </w:tc>
      </w:tr>
      <w:tr>
        <w:trPr>
          <w:trHeight w:val="251"/>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investments</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260,447</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260,447</w:t>
            </w:r>
          </w:p>
        </w:tc>
      </w:tr>
      <w:tr>
        <w:trPr>
          <w:trHeight w:val="251"/>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measured at fair value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232,813</w:t>
            </w:r>
          </w:p>
        </w:tc>
        <w:tc>
          <w:tcPr>
            <w:tcW w:w="10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260,447</w:t>
            </w:r>
          </w:p>
        </w:tc>
        <w:tc>
          <w:tcPr>
            <w:tcW w:w="80" w:type="dxa"/>
            <w:vAlign w:val="bottom"/>
          </w:tcPr>
          <w:p>
            <w:pPr>
              <w:spacing w:after="0"/>
              <w:rPr>
                <w:sz w:val="21"/>
                <w:szCs w:val="21"/>
                <w:color w:val="auto"/>
              </w:rPr>
            </w:pP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493,260</w:t>
            </w: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carrying amount of the Company’s accounts receivable, other receivables, prepaid expenses and other current assets,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Company’s cash equivalents and investments and the gross unrealized holding gains and losses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
        </w:trPr>
        <w:tc>
          <w:tcPr>
            <w:tcW w:w="52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520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6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5"/>
                <w:szCs w:val="15"/>
                <w:color w:val="auto"/>
              </w:rPr>
            </w:pPr>
          </w:p>
        </w:tc>
        <w:tc>
          <w:tcPr>
            <w:tcW w:w="11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56,320</w:t>
            </w:r>
          </w:p>
        </w:tc>
      </w:tr>
      <w:tr>
        <w:trPr>
          <w:trHeight w:val="219"/>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9,486</w:t>
            </w:r>
          </w:p>
        </w:tc>
      </w:tr>
      <w:tr>
        <w:trPr>
          <w:trHeight w:val="21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7,014</w:t>
            </w:r>
          </w:p>
        </w:tc>
      </w:tr>
      <w:tr>
        <w:trPr>
          <w:trHeight w:val="212"/>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cash equivalents</w:t>
            </w: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72,820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262,605</w:t>
            </w:r>
          </w:p>
        </w:tc>
      </w:tr>
      <w:tr>
        <w:trPr>
          <w:trHeight w:val="21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52,128</w:t>
            </w:r>
          </w:p>
        </w:tc>
      </w:tr>
      <w:tr>
        <w:trPr>
          <w:trHeight w:val="258"/>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62,349</w:t>
            </w:r>
          </w:p>
        </w:tc>
      </w:tr>
      <w:tr>
        <w:trPr>
          <w:trHeight w:val="212"/>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377,082</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measured at fair value</w:t>
            </w: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453,015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449,902</w:t>
            </w:r>
          </w:p>
        </w:tc>
      </w:tr>
      <w:tr>
        <w:trPr>
          <w:trHeight w:val="20"/>
        </w:trPr>
        <w:tc>
          <w:tcPr>
            <w:tcW w:w="5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46"/>
        </w:trPr>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
        </w:trPr>
        <w:tc>
          <w:tcPr>
            <w:tcW w:w="5200" w:type="dxa"/>
            <w:vAlign w:val="bottom"/>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520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6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5"/>
                <w:szCs w:val="15"/>
                <w:color w:val="auto"/>
              </w:rPr>
            </w:pPr>
          </w:p>
        </w:tc>
        <w:tc>
          <w:tcPr>
            <w:tcW w:w="11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8"/>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232,813</w:t>
            </w:r>
          </w:p>
        </w:tc>
      </w:tr>
      <w:tr>
        <w:trPr>
          <w:trHeight w:val="212"/>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cash equivalents</w:t>
            </w: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232,813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232,813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5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260,447</w:t>
            </w:r>
          </w:p>
        </w:tc>
      </w:tr>
      <w:tr>
        <w:trPr>
          <w:trHeight w:val="212"/>
        </w:trPr>
        <w:tc>
          <w:tcPr>
            <w:tcW w:w="5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investments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260,447</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measured at fair value</w:t>
            </w: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493,796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493,260</w:t>
            </w:r>
          </w:p>
        </w:tc>
      </w:tr>
      <w:tr>
        <w:trPr>
          <w:trHeight w:val="20"/>
        </w:trPr>
        <w:tc>
          <w:tcPr>
            <w:tcW w:w="5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As of June 30, 2022 and December 31, 2021, unrealized losses on available-for-sale investments are not attributable to credit risk and are considered to be temporary. No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June 30, 2022, $4.9 million of available-for-sale investments had remaining maturities between one and two years. The remainder of the available-for-sale investments have a remaining maturity of one year or less. As of June 30, 2022 and December 31, 2021, the Company recorded $0.6 million and $0.3 million of accrued interest, respectively, related to its available-for-sale investments as a component of other receivables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w:t>
            </w:r>
          </w:p>
        </w:tc>
        <w:tc>
          <w:tcPr>
            <w:tcW w:w="594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OTHER FINANCIAL STATEMENT INFORMATION</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 consists of the following (in thousands):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40" w:type="dxa"/>
            <w:vAlign w:val="bottom"/>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5"/>
        </w:trPr>
        <w:tc>
          <w:tcPr>
            <w:tcW w:w="6320" w:type="dxa"/>
            <w:vAlign w:val="bottom"/>
            <w:tcBorders>
              <w:bottom w:val="single" w:sz="8" w:color="CCEEFF"/>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0" w:type="dxa"/>
            <w:vAlign w:val="bottom"/>
          </w:tcPr>
          <w:p>
            <w:pPr>
              <w:spacing w:after="0"/>
              <w:rPr>
                <w:sz w:val="1"/>
                <w:szCs w:val="1"/>
                <w:color w:val="auto"/>
              </w:rPr>
            </w:pPr>
          </w:p>
        </w:tc>
      </w:tr>
      <w:tr>
        <w:trPr>
          <w:trHeight w:val="21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0" w:type="dxa"/>
            <w:vAlign w:val="bottom"/>
          </w:tcPr>
          <w:p>
            <w:pPr>
              <w:spacing w:after="0"/>
              <w:rPr>
                <w:sz w:val="1"/>
                <w:szCs w:val="1"/>
                <w:color w:val="auto"/>
              </w:rPr>
            </w:pPr>
          </w:p>
        </w:tc>
      </w:tr>
      <w:tr>
        <w:trPr>
          <w:trHeight w:val="21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63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 consists of the following (in thousands):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40" w:type="dxa"/>
            <w:vAlign w:val="bottom"/>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40" w:type="dxa"/>
            <w:vAlign w:val="bottom"/>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5"/>
        </w:trPr>
        <w:tc>
          <w:tcPr>
            <w:tcW w:w="6320" w:type="dxa"/>
            <w:vAlign w:val="bottom"/>
            <w:tcBorders>
              <w:bottom w:val="single" w:sz="8" w:color="CCEEFF"/>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17,217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13,823</w:t>
            </w:r>
          </w:p>
        </w:tc>
        <w:tc>
          <w:tcPr>
            <w:tcW w:w="0" w:type="dxa"/>
            <w:vAlign w:val="bottom"/>
          </w:tcPr>
          <w:p>
            <w:pPr>
              <w:spacing w:after="0"/>
              <w:rPr>
                <w:sz w:val="1"/>
                <w:szCs w:val="1"/>
                <w:color w:val="auto"/>
              </w:rPr>
            </w:pPr>
          </w:p>
        </w:tc>
      </w:tr>
      <w:tr>
        <w:trPr>
          <w:trHeight w:val="21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1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Construction-in-progress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1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21,826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17,995</w:t>
            </w:r>
          </w:p>
        </w:tc>
        <w:tc>
          <w:tcPr>
            <w:tcW w:w="0" w:type="dxa"/>
            <w:vAlign w:val="bottom"/>
          </w:tcPr>
          <w:p>
            <w:pPr>
              <w:spacing w:after="0"/>
              <w:rPr>
                <w:sz w:val="1"/>
                <w:szCs w:val="1"/>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(4,908)</w:t>
            </w:r>
          </w:p>
        </w:tc>
        <w:tc>
          <w:tcPr>
            <w:tcW w:w="0" w:type="dxa"/>
            <w:vAlign w:val="bottom"/>
          </w:tcPr>
          <w:p>
            <w:pPr>
              <w:spacing w:after="0"/>
              <w:rPr>
                <w:sz w:val="1"/>
                <w:szCs w:val="1"/>
                <w:color w:val="auto"/>
              </w:rPr>
            </w:pPr>
          </w:p>
        </w:tc>
      </w:tr>
      <w:tr>
        <w:trPr>
          <w:trHeight w:val="21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15,350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 related to property and equipment was $0.9 million and $0.6 million for the three months ended June 30, 2022 and 2021, respectively. Depreciation and amortization expense related to property and equipment was $1.8 million and $1.0 million for the six months ended June 30, 2022 and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consist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9"/>
        </w:trPr>
        <w:tc>
          <w:tcPr>
            <w:tcW w:w="632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63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property and equipment</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taxes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w:t>
            </w:r>
          </w:p>
        </w:tc>
      </w:tr>
      <w:tr>
        <w:trPr>
          <w:trHeight w:val="212"/>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expenses</w:t>
            </w:r>
          </w:p>
        </w:tc>
        <w:tc>
          <w:tcPr>
            <w:tcW w:w="108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8,394</w:t>
            </w:r>
          </w:p>
        </w:tc>
      </w:tr>
      <w:tr>
        <w:trPr>
          <w:trHeight w:val="20"/>
        </w:trPr>
        <w:tc>
          <w:tcPr>
            <w:tcW w:w="6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20" w:hanging="617"/>
        <w:spacing w:after="0"/>
        <w:tabs>
          <w:tab w:leader="none" w:pos="6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AND DEFERRED REVENUE</w:t>
      </w:r>
    </w:p>
    <w:p>
      <w:pPr>
        <w:spacing w:after="0" w:line="16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Product revenue consists of an instrument with embedded software essential to the instrument’s functionality, consumables and platform evaluation agreements. Service revenue primarily consists of revenue received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generation and analysis of proteomic data on behalf of the customer. Related party revenue is comprised of both the sale of products and services performed for PrognomIQ, as further discussed in Note 9. Grant revenues consist of services performed specifically for the reimbursement of research-related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w:t>
      </w:r>
    </w:p>
    <w:p>
      <w:pPr>
        <w:spacing w:after="0" w:line="171" w:lineRule="exact"/>
        <w:rPr>
          <w:sz w:val="20"/>
          <w:szCs w:val="20"/>
          <w:color w:val="auto"/>
        </w:rPr>
      </w:pPr>
    </w:p>
    <w:p>
      <w:pPr>
        <w:ind w:right="840"/>
        <w:spacing w:after="0" w:line="287" w:lineRule="auto"/>
        <w:rPr>
          <w:sz w:val="20"/>
          <w:szCs w:val="20"/>
          <w:color w:val="auto"/>
        </w:rPr>
      </w:pPr>
      <w:r>
        <w:rPr>
          <w:rFonts w:ascii="Times New Roman" w:cs="Times New Roman" w:eastAsia="Times New Roman" w:hAnsi="Times New Roman"/>
          <w:sz w:val="17"/>
          <w:szCs w:val="17"/>
          <w:color w:val="auto"/>
        </w:rPr>
        <w:t>For the three and six months ended June 30, 2022, the Company recognized $2.4 million and $4.6 million of product revenue to non-related customers, respectively. For the three and six months ended June 30, 2021, the Company recognized $0.8 million of product revenue to non-related customers.</w:t>
      </w:r>
    </w:p>
    <w:p>
      <w:pPr>
        <w:spacing w:after="0" w:line="100" w:lineRule="exact"/>
        <w:rPr>
          <w:sz w:val="20"/>
          <w:szCs w:val="20"/>
          <w:color w:val="auto"/>
        </w:rPr>
      </w:pPr>
    </w:p>
    <w:p>
      <w:pPr>
        <w:ind w:right="500"/>
        <w:spacing w:after="0" w:line="443" w:lineRule="auto"/>
        <w:rPr>
          <w:sz w:val="20"/>
          <w:szCs w:val="20"/>
          <w:color w:val="auto"/>
        </w:rPr>
      </w:pPr>
      <w:r>
        <w:rPr>
          <w:rFonts w:ascii="Times New Roman" w:cs="Times New Roman" w:eastAsia="Times New Roman" w:hAnsi="Times New Roman"/>
          <w:sz w:val="17"/>
          <w:szCs w:val="17"/>
          <w:color w:val="auto"/>
        </w:rPr>
        <w:t xml:space="preserve">As of June 30, 2022 and December 31, 2021, the Company recorded $0.1 million and $0.4 million of deferred revenue related to product sales, respectively. </w:t>
      </w:r>
      <w:r>
        <w:rPr>
          <w:rFonts w:ascii="Times New Roman" w:cs="Times New Roman" w:eastAsia="Times New Roman" w:hAnsi="Times New Roman"/>
          <w:sz w:val="17"/>
          <w:szCs w:val="17"/>
          <w:b w:val="1"/>
          <w:bCs w:val="1"/>
          <w:i w:val="1"/>
          <w:iCs w:val="1"/>
          <w:color w:val="auto"/>
        </w:rPr>
        <w:t>Service Revenue</w:t>
      </w:r>
    </w:p>
    <w:p>
      <w:pPr>
        <w:ind w:right="880"/>
        <w:spacing w:after="0" w:line="287" w:lineRule="auto"/>
        <w:rPr>
          <w:sz w:val="20"/>
          <w:szCs w:val="20"/>
          <w:color w:val="auto"/>
        </w:rPr>
      </w:pPr>
      <w:r>
        <w:rPr>
          <w:rFonts w:ascii="Times New Roman" w:cs="Times New Roman" w:eastAsia="Times New Roman" w:hAnsi="Times New Roman"/>
          <w:sz w:val="17"/>
          <w:szCs w:val="17"/>
          <w:color w:val="auto"/>
        </w:rPr>
        <w:t>For the three and six months ended June 30, 2022, the Company recognized $0.1 million and $0.1 million of service revenue to non-related customers,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2022 and December 31, 2021, the Company recorded $0.3 million and $0 of deferred service revenue,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revenue activity for the period ended June 30, 2022 and December 31, 2021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219"/>
        </w:trPr>
        <w:tc>
          <w:tcPr>
            <w:tcW w:w="6340" w:type="dxa"/>
            <w:vAlign w:val="bottom"/>
          </w:tcPr>
          <w:p>
            <w:pPr>
              <w:spacing w:after="0"/>
              <w:rPr>
                <w:sz w:val="19"/>
                <w:szCs w:val="19"/>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63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center"/>
              <w:ind w:left="840"/>
              <w:spacing w:after="0"/>
              <w:rPr>
                <w:sz w:val="20"/>
                <w:szCs w:val="20"/>
                <w:color w:val="auto"/>
              </w:rPr>
            </w:pPr>
            <w:r>
              <w:rPr>
                <w:rFonts w:ascii="Times New Roman" w:cs="Times New Roman" w:eastAsia="Times New Roman" w:hAnsi="Times New Roman"/>
                <w:sz w:val="17"/>
                <w:szCs w:val="17"/>
                <w:color w:val="auto"/>
              </w:rPr>
              <w:t>250</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1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left="840"/>
              <w:spacing w:after="0"/>
              <w:rPr>
                <w:sz w:val="20"/>
                <w:szCs w:val="20"/>
                <w:color w:val="auto"/>
              </w:rPr>
            </w:pPr>
            <w:r>
              <w:rPr>
                <w:rFonts w:ascii="Times New Roman" w:cs="Times New Roman" w:eastAsia="Times New Roman" w:hAnsi="Times New Roman"/>
                <w:sz w:val="17"/>
                <w:szCs w:val="17"/>
                <w:color w:val="auto"/>
              </w:rPr>
              <w:t>376</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recognized</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20"/>
              <w:spacing w:after="0"/>
              <w:rPr>
                <w:sz w:val="20"/>
                <w:szCs w:val="20"/>
                <w:color w:val="auto"/>
              </w:rPr>
            </w:pPr>
            <w:r>
              <w:rPr>
                <w:rFonts w:ascii="Times New Roman" w:cs="Times New Roman" w:eastAsia="Times New Roman" w:hAnsi="Times New Roman"/>
                <w:sz w:val="17"/>
                <w:szCs w:val="17"/>
                <w:color w:val="auto"/>
                <w:w w:val="97"/>
              </w:rPr>
              <w:t>(250)</w:t>
            </w:r>
          </w:p>
        </w:tc>
      </w:tr>
      <w:tr>
        <w:trPr>
          <w:trHeight w:val="212"/>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end of period</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7"/>
                <w:szCs w:val="17"/>
                <w:color w:val="auto"/>
              </w:rPr>
              <w:t>376</w:t>
            </w:r>
          </w:p>
        </w:tc>
      </w:tr>
      <w:tr>
        <w:trPr>
          <w:trHeight w:val="20"/>
        </w:trPr>
        <w:tc>
          <w:tcPr>
            <w:tcW w:w="6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Transaction price allocated to remaining performance obligations represents contracted revenue that has not yet been recognized, which includes deferred revenue and non-cancelable amounts that will be invoiced and recognized as revenues in future periods. As of June 30, 2022, $5.2 million of revenue is expected to be recognized from the remaining performance obligations over the next 24 months.</w:t>
      </w:r>
    </w:p>
    <w:p>
      <w:pPr>
        <w:spacing w:after="0" w:line="11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For the three and six months ended June 30, 2022, 33% and 29% of our total revenue, respectively, were generated outside of the United States, primarily from countries in Asia. For the three and six months ended June 30, 2021, 28% and 27% of our total revenue, respectively, were generated outside of the United States, primarily in Asia.</w:t>
      </w:r>
    </w:p>
    <w:p>
      <w:pPr>
        <w:spacing w:after="0" w:line="11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For the three months ended June 30, 2022, two customers accounted for 31% and 12% of the Company’s total revenue. For the six months ended June 30, 2022, one customer accounted for 31% of the Company’s total revenue. For the three months ended June 30, 2021, three customers accounted for 28%, 28%, and 15% of the Company’s total revenue. For the six months ended June 30, 2021, three customers accounted for 27%, 27%, and 14% of the Company’s total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Grant and Other Revenue</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August 2019, the Company received a notice of a Small Business Innovation Research (SBIR) grant award from the National Institutes of Health, which will provide funding of approximately $1.1 million to the Company for its development of research applications. In June 2020, the Company received a notice that additional grant consideration of $0.9 million would be awarded. In May 2022, the SBIR grant reached the end of the award period. During the three months ended June 30, 2022 and 2021, the Company recognized grant revenue of $50,000 and $0.1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million, respectively, with respect to the award. During the six months ended June 30, 2022 and 2021, the Company recognized grant revenue of $64,000 and $0.2 million, respectively, with respect to the award.</w:t>
      </w:r>
    </w:p>
    <w:p>
      <w:pPr>
        <w:spacing w:after="0" w:line="96" w:lineRule="exact"/>
        <w:rPr>
          <w:sz w:val="20"/>
          <w:szCs w:val="20"/>
          <w:color w:val="auto"/>
        </w:rPr>
      </w:pPr>
    </w:p>
    <w:p>
      <w:pPr>
        <w:ind w:left="620" w:hanging="617"/>
        <w:spacing w:after="0"/>
        <w:tabs>
          <w:tab w:leader="none" w:pos="6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STOCK AND STOCKHOLDERS’ EQUITY</w:t>
      </w:r>
    </w:p>
    <w:p>
      <w:pPr>
        <w:spacing w:after="0" w:line="169"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7"/>
          <w:szCs w:val="17"/>
          <w:color w:val="auto"/>
        </w:rPr>
        <w:t>As of June 30, 2022, the Company is authorized to issue 105,000,000 shares of capital stock consisting of 94,000,000 shares of Class A common stock, 6,000,000 shares of Class B common stock, and 5,000,000 shares of 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issued and outstanding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spacing w:after="0"/>
              <w:rPr>
                <w:sz w:val="15"/>
                <w:szCs w:val="15"/>
                <w:color w:val="auto"/>
              </w:rPr>
            </w:pP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9"/>
        </w:trPr>
        <w:tc>
          <w:tcPr>
            <w:tcW w:w="6340" w:type="dxa"/>
            <w:vAlign w:val="bottom"/>
          </w:tcPr>
          <w:p>
            <w:pPr>
              <w:spacing w:after="0"/>
              <w:rPr>
                <w:sz w:val="19"/>
                <w:szCs w:val="19"/>
                <w:color w:val="auto"/>
              </w:rPr>
            </w:pPr>
          </w:p>
        </w:tc>
        <w:tc>
          <w:tcPr>
            <w:tcW w:w="158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158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63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32"/>
        </w:trPr>
        <w:tc>
          <w:tcPr>
            <w:tcW w:w="6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58,565,210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57,493,005</w:t>
            </w:r>
          </w:p>
        </w:tc>
      </w:tr>
      <w:tr>
        <w:trPr>
          <w:trHeight w:val="21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4,044,969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4,522,478</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common stock issued and outstanding</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62,610,179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62,015,483</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spacing w:after="0" w:line="10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condensed consolidated statements of changes in stockholders’ equity and as cash provided by financing activities on the condensed consolidated statements of cash flows.</w:t>
      </w:r>
    </w:p>
    <w:p>
      <w:pPr>
        <w:spacing w:after="0" w:line="110" w:lineRule="exact"/>
        <w:rPr>
          <w:sz w:val="20"/>
          <w:szCs w:val="20"/>
          <w:color w:val="auto"/>
        </w:rPr>
      </w:pPr>
    </w:p>
    <w:p>
      <w:pPr>
        <w:ind w:left="620" w:hanging="617"/>
        <w:spacing w:after="0"/>
        <w:tabs>
          <w:tab w:leader="none" w:pos="6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INCENTIVE PLANS</w:t>
      </w:r>
    </w:p>
    <w:p>
      <w:pPr>
        <w:spacing w:after="0" w:line="16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As of June 30, 2022, there are 11,400,396 shares of Class A common stock reserved for issuance under the 2020 Equity Incentive Plan, 4,678,241 of which shares are available for issuance in connection with grants of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option activity for the six months ended June 30, 2022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3"/>
                <w:szCs w:val="13"/>
                <w:color w:val="auto"/>
              </w:rPr>
            </w:pPr>
          </w:p>
        </w:tc>
        <w:tc>
          <w:tcPr>
            <w:tcW w:w="17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7"/>
              </w:rPr>
              <w:t>Weighted Average Exercise</w:t>
            </w:r>
          </w:p>
        </w:tc>
        <w:tc>
          <w:tcPr>
            <w:tcW w:w="0" w:type="dxa"/>
            <w:vAlign w:val="bottom"/>
          </w:tcPr>
          <w:p>
            <w:pPr>
              <w:spacing w:after="0"/>
              <w:rPr>
                <w:sz w:val="1"/>
                <w:szCs w:val="1"/>
                <w:color w:val="auto"/>
              </w:rPr>
            </w:pPr>
          </w:p>
        </w:tc>
      </w:tr>
      <w:tr>
        <w:trPr>
          <w:trHeight w:val="187"/>
        </w:trPr>
        <w:tc>
          <w:tcPr>
            <w:tcW w:w="73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7"/>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920" w:type="dxa"/>
            <w:vAlign w:val="bottom"/>
            <w:tcBorders>
              <w:top w:val="single" w:sz="8" w:color="auto"/>
            </w:tcBorders>
            <w:shd w:val="clear" w:color="auto" w:fill="CCEEFF"/>
          </w:tcPr>
          <w:p>
            <w:pPr>
              <w:jc w:val="center"/>
              <w:ind w:left="997"/>
              <w:spacing w:after="0"/>
              <w:rPr>
                <w:sz w:val="20"/>
                <w:szCs w:val="20"/>
                <w:color w:val="auto"/>
              </w:rPr>
            </w:pPr>
            <w:r>
              <w:rPr>
                <w:rFonts w:ascii="Times New Roman" w:cs="Times New Roman" w:eastAsia="Times New Roman" w:hAnsi="Times New Roman"/>
                <w:sz w:val="17"/>
                <w:szCs w:val="17"/>
                <w:color w:val="231F20"/>
                <w:w w:val="99"/>
              </w:rPr>
              <w:t>9,832,924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12.49</w:t>
            </w: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granted</w:t>
            </w:r>
          </w:p>
        </w:tc>
        <w:tc>
          <w:tcPr>
            <w:tcW w:w="1920" w:type="dxa"/>
            <w:vAlign w:val="bottom"/>
          </w:tcPr>
          <w:p>
            <w:pPr>
              <w:jc w:val="center"/>
              <w:ind w:left="997"/>
              <w:spacing w:after="0"/>
              <w:rPr>
                <w:sz w:val="20"/>
                <w:szCs w:val="20"/>
                <w:color w:val="auto"/>
              </w:rPr>
            </w:pPr>
            <w:r>
              <w:rPr>
                <w:rFonts w:ascii="Times New Roman" w:cs="Times New Roman" w:eastAsia="Times New Roman" w:hAnsi="Times New Roman"/>
                <w:sz w:val="17"/>
                <w:szCs w:val="17"/>
                <w:color w:val="231F20"/>
                <w:w w:val="99"/>
              </w:rPr>
              <w:t>2,575,478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14.96</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9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7"/>
                <w:szCs w:val="17"/>
                <w:color w:val="231F20"/>
              </w:rPr>
              <w:t>(281,823)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4.33</w:t>
            </w: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Options cancelled and forfeited</w:t>
            </w:r>
          </w:p>
        </w:tc>
        <w:tc>
          <w:tcPr>
            <w:tcW w:w="19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7"/>
                <w:szCs w:val="17"/>
                <w:color w:val="231F20"/>
              </w:rPr>
              <w:t>(384,631)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rPr>
              <w:t>18.93</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1920" w:type="dxa"/>
            <w:vAlign w:val="bottom"/>
            <w:tcBorders>
              <w:bottom w:val="single" w:sz="8" w:color="auto"/>
            </w:tcBorders>
            <w:shd w:val="clear" w:color="auto" w:fill="CCEEFF"/>
          </w:tcPr>
          <w:p>
            <w:pPr>
              <w:jc w:val="center"/>
              <w:ind w:left="1037"/>
              <w:spacing w:after="0"/>
              <w:rPr>
                <w:sz w:val="20"/>
                <w:szCs w:val="20"/>
                <w:color w:val="auto"/>
              </w:rPr>
            </w:pPr>
            <w:r>
              <w:rPr>
                <w:rFonts w:ascii="Times New Roman" w:cs="Times New Roman" w:eastAsia="Times New Roman" w:hAnsi="Times New Roman"/>
                <w:sz w:val="17"/>
                <w:szCs w:val="17"/>
                <w:color w:val="auto"/>
                <w:w w:val="99"/>
              </w:rPr>
              <w:t>11,741,948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13.02</w:t>
            </w:r>
          </w:p>
        </w:tc>
        <w:tc>
          <w:tcPr>
            <w:tcW w:w="0" w:type="dxa"/>
            <w:vAlign w:val="bottom"/>
          </w:tcPr>
          <w:p>
            <w:pPr>
              <w:spacing w:after="0"/>
              <w:rPr>
                <w:sz w:val="1"/>
                <w:szCs w:val="1"/>
                <w:color w:val="auto"/>
              </w:rPr>
            </w:pPr>
          </w:p>
        </w:tc>
      </w:t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exercisable, June 30, 2022</w:t>
            </w:r>
          </w:p>
        </w:tc>
        <w:tc>
          <w:tcPr>
            <w:tcW w:w="19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4,280,871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p>
      <w:pPr>
        <w:spacing w:after="0" w:line="17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Certain stock options granted provide stock option holders the right to exercise unvested stock options in exchange for restricted shares of Class A common stock. The Company has also issued restricted shares of Class A common stock to employees and directors. There were 108,534 shares and 174,300 shares of restricted stock that were unvested and subject to repurchase as of June 30, 2022 and December 31,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 activity for the six months ended June 30, 2022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30"/>
        </w:trPr>
        <w:tc>
          <w:tcPr>
            <w:tcW w:w="7320" w:type="dxa"/>
            <w:vAlign w:val="bottom"/>
          </w:tcPr>
          <w:p>
            <w:pPr>
              <w:spacing w:after="0"/>
              <w:rPr>
                <w:sz w:val="11"/>
                <w:szCs w:val="11"/>
                <w:color w:val="auto"/>
              </w:rPr>
            </w:pPr>
          </w:p>
        </w:tc>
        <w:tc>
          <w:tcPr>
            <w:tcW w:w="2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60" w:type="dxa"/>
            <w:vAlign w:val="bottom"/>
          </w:tcPr>
          <w:p>
            <w:pPr>
              <w:spacing w:after="0"/>
              <w:rPr>
                <w:sz w:val="11"/>
                <w:szCs w:val="11"/>
                <w:color w:val="auto"/>
              </w:rPr>
            </w:pPr>
          </w:p>
        </w:tc>
        <w:tc>
          <w:tcPr>
            <w:tcW w:w="1660" w:type="dxa"/>
            <w:vAlign w:val="bottom"/>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82"/>
        </w:trPr>
        <w:tc>
          <w:tcPr>
            <w:tcW w:w="732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740,366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9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(261,961)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Cancelled</w:t>
            </w:r>
          </w:p>
        </w:tc>
        <w:tc>
          <w:tcPr>
            <w:tcW w:w="19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7"/>
                <w:szCs w:val="17"/>
                <w:color w:val="auto"/>
              </w:rPr>
              <w:t>(169,344)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19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1,845,172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71"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7"/>
          <w:szCs w:val="17"/>
          <w:color w:val="auto"/>
        </w:rPr>
        <w:t>A total of 1,195,327 shares of Class A common stock are reserved for issuance under the 2020 Employee Stock Purchase Plan (ESPP) as of June 30, 2022. During the six months ended June 30, 2022, 56,753 shares of Class A common stock were issued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7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components of stock-based compensation recognized in the Company’s condensed consolidated statements of operations and comprehensive loss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4"/>
                <w:szCs w:val="14"/>
                <w:color w:val="auto"/>
              </w:rPr>
            </w:pPr>
          </w:p>
        </w:tc>
      </w:tr>
      <w:tr>
        <w:trPr>
          <w:trHeight w:val="182"/>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5"/>
                <w:szCs w:val="15"/>
                <w:color w:val="auto"/>
              </w:rPr>
            </w:pPr>
          </w:p>
        </w:tc>
      </w:tr>
      <w:tr>
        <w:trPr>
          <w:trHeight w:val="35"/>
        </w:trPr>
        <w:tc>
          <w:tcPr>
            <w:tcW w:w="4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7"/>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4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r>
      <w:tr>
        <w:trPr>
          <w:trHeight w:val="219"/>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2,392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2,187</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5,708</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9,535</w:t>
            </w: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8,378</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center"/>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6,431</w:t>
            </w:r>
          </w:p>
        </w:tc>
        <w:tc>
          <w:tcPr>
            <w:tcW w:w="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16,440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12,469</w:t>
            </w:r>
          </w:p>
        </w:tc>
      </w:tr>
      <w:tr>
        <w:trPr>
          <w:trHeight w:val="20"/>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February 2022, in connection with a leave of absence taken by one of our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w:t>
      </w:r>
    </w:p>
    <w:p>
      <w:pPr>
        <w:spacing w:after="0" w:line="1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7"/>
          <w:szCs w:val="17"/>
          <w:color w:val="auto"/>
        </w:rPr>
        <w:t>On June 21 2022, the Board of Directors approved an option repricing to reduce the exercise price of certain vested, outstanding, and unexercised stock options with an exercise price greater than $19.00 per share that were held by employees who were not members of the Board or Director or officers for purposes of Section 16 of the Securities Exchange Act of 1934, as amended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Equity Incentive Plan.</w:t>
      </w:r>
    </w:p>
    <w:p>
      <w:pPr>
        <w:spacing w:after="0" w:line="12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a result of the option repricing, the Company recorded $0.4 million of incremental compensation expense during the three and six months ended June 30, 2022. The total unrecognized incremental stock-based compensation associated with the option repricing is $2.3 million, which will be recognized over the next three years.</w:t>
      </w:r>
    </w:p>
    <w:p>
      <w:pPr>
        <w:spacing w:after="0" w:line="110" w:lineRule="exact"/>
        <w:rPr>
          <w:sz w:val="20"/>
          <w:szCs w:val="20"/>
          <w:color w:val="auto"/>
        </w:rPr>
      </w:pPr>
    </w:p>
    <w:p>
      <w:pPr>
        <w:ind w:left="620" w:hanging="617"/>
        <w:spacing w:after="0"/>
        <w:tabs>
          <w:tab w:leader="none" w:pos="6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Facility Lease Agreement</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leases office and laboratory space in Redwood City, California with a lease term that is set to end on September 30, 2032. The Company has an option to renew for an additional five-year term at then-current market rates, which is not reasonably certain of being exercised. The lease of additional office and laboratory space pursuant to an amendment entered into in June 2020 commenced in February 2022 and the Company recorded a right-of-use asset of $8.8 million and lease liability of $6.9 million as of the commencement of the lease. This lease liability is based on the present value of lease payments over the lease term, which was estimated using an incremental borrowing rate of 7.4% based on information available at the commencement date. In connection with the leased space, the Company maintains a letter of credit issued to the lessor in the amount of $0.5 million as of June 30, 2022 and December 31, 2021, respectively, which is secured by restricted cash that is classified as noncurrent at each date based on the term of the underlying lease.</w:t>
      </w:r>
    </w:p>
    <w:p>
      <w:pPr>
        <w:spacing w:after="0" w:line="12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During the period from June 2020 through May 2021, the Company was provided with temporary space. The Company was not required to pay additional rent for the temporary space, but was required to pay property taxes, insurance and normal maintenance costs with respect to the temporary space.</w:t>
      </w:r>
    </w:p>
    <w:p>
      <w:pPr>
        <w:spacing w:after="0" w:line="10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As of June 30, 2022, the remaining weighted-average lease term was 10.3 years and the weighted-average incremental borrowing rate used to determine the operating lease liabilities was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costs related to the Company’s operating leases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gridSpan w:val="6"/>
          </w:tcPr>
          <w:p>
            <w:pPr>
              <w:jc w:val="center"/>
              <w:ind w:right="936"/>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82"/>
        </w:trPr>
        <w:tc>
          <w:tcPr>
            <w:tcW w:w="4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gridSpan w:val="5"/>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300" w:type="dxa"/>
            <w:vAlign w:val="bottom"/>
          </w:tcPr>
          <w:p>
            <w:pPr>
              <w:spacing w:after="0"/>
              <w:rPr>
                <w:sz w:val="15"/>
                <w:szCs w:val="15"/>
                <w:color w:val="auto"/>
              </w:rPr>
            </w:pPr>
          </w:p>
        </w:tc>
      </w:tr>
      <w:tr>
        <w:trPr>
          <w:trHeight w:val="35"/>
        </w:trPr>
        <w:tc>
          <w:tcPr>
            <w:tcW w:w="43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7"/>
        </w:trPr>
        <w:tc>
          <w:tcPr>
            <w:tcW w:w="4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5"/>
        </w:trPr>
        <w:tc>
          <w:tcPr>
            <w:tcW w:w="43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6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1,771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costs</w:t>
            </w: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6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2,187</w:t>
            </w: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w:t>
            </w:r>
          </w:p>
        </w:tc>
      </w:tr>
      <w:tr>
        <w:trPr>
          <w:trHeight w:val="20"/>
        </w:trPr>
        <w:tc>
          <w:tcPr>
            <w:tcW w:w="43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3"/>
        </w:trPr>
        <w:tc>
          <w:tcPr>
            <w:tcW w:w="89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Variable lease costs are primarily comprised of common area maintenance and include costs associated with the temporary space.</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1"/>
        </w:trPr>
        <w:tc>
          <w:tcPr>
            <w:tcW w:w="89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As of June 30, 2022, future minimum commitments under the Company’s non-cancelable facility operating lease are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
        </w:trPr>
        <w:tc>
          <w:tcPr>
            <w:tcW w:w="4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(remaining six months)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3,633</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3,738</w:t>
            </w: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3,846</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w:t>
            </w:r>
          </w:p>
        </w:tc>
      </w:tr>
      <w:tr>
        <w:trPr>
          <w:trHeight w:val="21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0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25,137</w:t>
            </w:r>
          </w:p>
        </w:tc>
      </w:tr>
      <w:tr>
        <w:trPr>
          <w:trHeight w:val="212"/>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future minimum lease payments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41,649</w:t>
            </w: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Present value adjustment for minimum lease commitments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(11,368)</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Tenant improvement receivable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12"/>
        </w:trPr>
        <w:tc>
          <w:tcPr>
            <w:tcW w:w="4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30,025</w:t>
            </w:r>
          </w:p>
        </w:tc>
      </w:tr>
      <w:tr>
        <w:trPr>
          <w:trHeight w:val="20"/>
        </w:trPr>
        <w:tc>
          <w:tcPr>
            <w:tcW w:w="4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Commitments and Obligations</w:t>
      </w:r>
    </w:p>
    <w:p>
      <w:pPr>
        <w:spacing w:after="0" w:line="17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$3.2 million and $5.5 million as of June 30, 2022 and December 31, 2021,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Indemnifications</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June 30, 2022 and December 31, 2021, the Company does not have any material indemnification claims that were probable or reasonably possible and consequently has not recorded related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arising in the ordinary course of business. The Company is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7"/>
        <w:spacing w:after="0"/>
        <w:tabs>
          <w:tab w:leader="none" w:pos="6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PROGNOMIQ, INC.</w:t>
      </w:r>
    </w:p>
    <w:p>
      <w:pPr>
        <w:spacing w:after="0" w:line="16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1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w:t>
      </w:r>
    </w:p>
    <w:p>
      <w:pPr>
        <w:spacing w:after="0" w:line="12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PrognomIQ constitutes a related party and, as of June 30, 2022 and December 31, 2021, the Company recorded $0.8 million and $1.3 million in related party receivables, respectively, on the condensed consolidated balance sheets representing amounts due from product sales and services and for general transition services and support provided. Revenue received from PrognomIQ is recorded as related party revenue on the condensed consolidated statements of operations and comprehensive loss and is comprised of the sale of instruments and consumables, and services performed.</w:t>
      </w:r>
    </w:p>
    <w:p>
      <w:pPr>
        <w:spacing w:after="0" w:line="116" w:lineRule="exact"/>
        <w:rPr>
          <w:sz w:val="20"/>
          <w:szCs w:val="20"/>
          <w:color w:val="auto"/>
        </w:rPr>
      </w:pPr>
    </w:p>
    <w:p>
      <w:pPr>
        <w:ind w:left="620" w:hanging="617"/>
        <w:spacing w:after="0"/>
        <w:tabs>
          <w:tab w:leader="none" w:pos="6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LOSS PER SHARE ATTRIBUTABLE TO COMMON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computation of basic and diluted net loss per share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(22,815)</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(46,461)</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Denominator:</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common shares used in computing net loss per</w:t>
            </w:r>
          </w:p>
        </w:tc>
        <w:tc>
          <w:tcPr>
            <w:tcW w:w="360" w:type="dxa"/>
            <w:vAlign w:val="bottom"/>
          </w:tcPr>
          <w:p>
            <w:pPr>
              <w:spacing w:after="0"/>
              <w:rPr>
                <w:sz w:val="14"/>
                <w:szCs w:val="14"/>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17"/>
                <w:szCs w:val="17"/>
                <w:color w:val="auto"/>
              </w:rPr>
              <w:t>62,376,571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60,841,657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17"/>
                <w:szCs w:val="17"/>
                <w:color w:val="auto"/>
              </w:rPr>
              <w:t>62,191,068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60,367,433</w:t>
            </w:r>
          </w:p>
        </w:tc>
        <w:tc>
          <w:tcPr>
            <w:tcW w:w="0" w:type="dxa"/>
            <w:vAlign w:val="bottom"/>
          </w:tcPr>
          <w:p>
            <w:pPr>
              <w:spacing w:after="0"/>
              <w:rPr>
                <w:sz w:val="1"/>
                <w:szCs w:val="1"/>
                <w:color w:val="auto"/>
              </w:rPr>
            </w:pPr>
          </w:p>
        </w:tc>
      </w:tr>
      <w:tr>
        <w:trPr>
          <w:trHeight w:val="206"/>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 attributable to common stockholders, basic and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Net loss per share attributable to common stockholders, basic and</w:t>
            </w:r>
          </w:p>
        </w:tc>
        <w:tc>
          <w:tcPr>
            <w:tcW w:w="360" w:type="dxa"/>
            <w:vAlign w:val="bottom"/>
            <w:vMerge w:val="restart"/>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208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5"/>
                <w:szCs w:val="15"/>
                <w:color w:val="auto"/>
              </w:rPr>
            </w:pPr>
          </w:p>
        </w:tc>
      </w:tr>
      <w:tr>
        <w:trPr>
          <w:trHeight w:val="22"/>
        </w:trPr>
        <w:tc>
          <w:tcPr>
            <w:tcW w:w="79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79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 options issued and outstanding</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11,741,948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9,897,202</w:t>
            </w:r>
          </w:p>
        </w:tc>
      </w:tr>
      <w:tr>
        <w:trPr>
          <w:trHeight w:val="219"/>
        </w:trPr>
        <w:tc>
          <w:tcPr>
            <w:tcW w:w="7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common stock subject to future vesting</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426,445</w:t>
            </w: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1,845,172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739,896</w:t>
            </w:r>
          </w:p>
        </w:tc>
      </w:tr>
      <w:tr>
        <w:trPr>
          <w:trHeight w:val="212"/>
        </w:trPr>
        <w:tc>
          <w:tcPr>
            <w:tcW w:w="7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13,695,654</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11,063,543</w:t>
            </w:r>
          </w:p>
        </w:tc>
      </w:tr>
      <w:tr>
        <w:trPr>
          <w:trHeight w:val="20"/>
        </w:trPr>
        <w:tc>
          <w:tcPr>
            <w:tcW w:w="79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6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mission is to imagine and pioneer new ways to decode the secrets of the proteome to improve human health. Our initial product, the Proteograph Product Suite (Proteograph), leverages our proprietary engineered nanoparticle (NP) technology to provide unbiased, deep, rapid and large-scale access to the proteome. The Proteograph Product Suite is an integrated solution that is comprised of consumables, an automation instrument and software.</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and its dynamic nature requires large-scale, unbiased and deep interrogation of thousands of samples across time, which we believe is unavailable with the proteomic approaches available today. We believe that the Proteograph Product Suite has the potential to enable researchers to perform these proteomics studies at scale.</w:t>
      </w:r>
    </w:p>
    <w:p>
      <w:pPr>
        <w:spacing w:after="0" w:line="12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the Proteograph consumables. We expect a highly efficient sales model because our workflow integrates with most existing proteomics laboratories’ workflows and also complements large-scale genomics research.</w:t>
      </w:r>
    </w:p>
    <w:p>
      <w:pPr>
        <w:spacing w:after="0" w:line="12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We are broadly commercializing the Proteograph Product Suite through a direct sales channel in the United States, and through both direct and distributor sales channels in regions outside the United States. Given our recent launch of broad release commercialization, we have built, and will continue to build, sales, marketing, support and product distribution capabilities. We will continue to build the necessary infrastructure for these activities in the United States, European Union, the United Kingdom, and other countries and regions, including Asia-Pacific, as we execute on our broad release commercialization strategy for the Proteograph.</w:t>
      </w:r>
    </w:p>
    <w:p>
      <w:pPr>
        <w:spacing w:after="0" w:line="1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obtain some of the reagents and components used in the Proteograph workflow from third-party suppliers. While some of these reagents and components are sourced from a single supplier, these products are readily available from numerous suppliers. While we perform some filling and packaging of the Proteograph assay and the related consumables,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7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future, we may have our filling and packaging outsourced to a third-party. We conduct vendor and component qualification for components provided by third-party suppliers and quality control tests on our NPs.</w:t>
      </w:r>
    </w:p>
    <w:p>
      <w:pPr>
        <w:spacing w:after="0" w:line="1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have designed our SP100 automation instrument and have outsourced the manufacturing of our SP100 to Hamilton Company, a leading manufacturer of automated liquid handling workstations. We have entered into a non-exclusive agreement with Hamilton that covers the manufacturing of our SP100 automation instrument and its continued supply on a purchase order basis. The agreement has an initial term that runs three years following our commercial launch. Pricing for the supply of our SP100 automation instrument is on a fixed schedule during the initial term of the agreement, with tiered pricing dependent upon the number of units purchased in a twelve-month period.</w:t>
      </w:r>
    </w:p>
    <w:p>
      <w:pPr>
        <w:spacing w:after="0" w:line="123"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7"/>
          <w:szCs w:val="17"/>
          <w:color w:val="auto"/>
        </w:rPr>
        <w:t>During the six months ended June 30, 2022 and 2021, we incurred a net loss of $46.5 million and $33.0 million, respectively, and used $33.2 million and $25.2 million of cash in operations, respectively. As of June 30, 2022, we had an accumulated deficit of $173.0 million and cash and cash equivalents and investments of $456.1 million. We expect to continue to incur significant and increasing losses and do not expect positive cash flows from operations for the foreseeable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expenses to increase significantly in connection with our ongoing activities, as we:</w:t>
      </w:r>
    </w:p>
    <w:p>
      <w:pPr>
        <w:spacing w:after="0" w:line="165" w:lineRule="exact"/>
        <w:rPr>
          <w:sz w:val="20"/>
          <w:szCs w:val="20"/>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broadly commercialize the Proteograph Product Suite;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hire and retain qualified personnel;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build our sales, marketing, service, support and distribution infrastructure as part of our broad commercialization efforts;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build-out and expand our in-house NP manufacturing capabilities;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engage in research and development of other products and enhancements to the Proteograph Product Suite;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operational, financial and management information systems;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maintain, expand, and protect our intellectual property portfolio;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the infrastructure to operate and scale as a public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Pandemic</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manufacturing and commercial operations. Pandemic precautions and preventative measures may also impact our commercialization plans due to restrictions on our customers’ ability to access laboratories, causing delays in the delivery and installation of the Proteograph products, training such customers on our products, and their ability to conduct research. We have experienced delays in our ability to access customers in certain countries with strict COVID-19 policies to provide installation and training services.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and the receipt of grant revenue for the reimbursement of research-related expenses. Our revenue is primarily generated domestically. We intend to focus our commercial efforts in the United States and expect to grow our international presence. A portion of our revenue is generated by sales to a related party and we anticipate a portion of our revenue to continue to be generated by sales to such related party. Our grant-funded activities are expected to decrease as a percentage of total revenue as we decrease grant-funded activities and continue to ramp up commercialization of the Proteograph Product Suite.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7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We utilize third-party manufacturers for production of our SP100 instrument and we manufacture our NPs and assemble our assay kits internally. Cost of revenue consists primarily of costs of the components of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and allocated overhead.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employee benefits, laboratory supplies used for in-house research, consulting costs and allocated overhead, including rent, depreciation, information technology and utilities.</w:t>
      </w:r>
    </w:p>
    <w:p>
      <w:pPr>
        <w:spacing w:after="0" w:line="1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plan to increase our investment in our R&amp;D efforts related to the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build-out of our expansion facilities to support our R&amp;D efforts.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7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spacing w:after="0" w:line="11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on cash and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Comparisons of the Three Months Ended June 30,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5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6"/>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7"/>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6"/>
          </w:tcPr>
          <w:p>
            <w:pPr>
              <w:ind w:left="6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5"/>
                <w:szCs w:val="15"/>
                <w:color w:val="auto"/>
              </w:rPr>
            </w:pPr>
          </w:p>
        </w:tc>
      </w:tr>
      <w:tr>
        <w:trPr>
          <w:trHeight w:val="35"/>
        </w:trPr>
        <w:tc>
          <w:tcPr>
            <w:tcW w:w="5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8"/>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8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Pr>
          <w:p>
            <w:pPr>
              <w:spacing w:after="0"/>
              <w:rPr>
                <w:sz w:val="22"/>
                <w:szCs w:val="22"/>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187 %</w:t>
            </w:r>
          </w:p>
        </w:tc>
      </w:tr>
      <w:tr>
        <w:trPr>
          <w:trHeight w:val="25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Related party</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192 %</w:t>
            </w:r>
          </w:p>
        </w:tc>
      </w:tr>
      <w:tr>
        <w:trPr>
          <w:trHeight w:val="25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Grant and other</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5"/>
        </w:trPr>
        <w:tc>
          <w:tcPr>
            <w:tcW w:w="5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171 %</w:t>
            </w:r>
          </w:p>
        </w:tc>
      </w:tr>
      <w:tr>
        <w:trPr>
          <w:trHeight w:val="25"/>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8"/>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226 %</w:t>
            </w:r>
          </w:p>
        </w:tc>
      </w:tr>
      <w:tr>
        <w:trPr>
          <w:trHeight w:val="25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Related party</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332 %</w:t>
            </w:r>
          </w:p>
        </w:tc>
      </w:tr>
      <w:tr>
        <w:trPr>
          <w:trHeight w:val="251"/>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243 %</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115 %</w:t>
            </w:r>
          </w:p>
        </w:tc>
      </w:tr>
      <w:tr>
        <w:trPr>
          <w:trHeight w:val="25"/>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2"/>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5"/>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3,688</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25"/>
        </w:trPr>
        <w:tc>
          <w:tcPr>
            <w:tcW w:w="5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25,043</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7,624</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5"/>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1129 %</w:t>
            </w:r>
          </w:p>
        </w:tc>
      </w:tr>
      <w:tr>
        <w:trPr>
          <w:trHeight w:val="232"/>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1"/>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1025 %</w:t>
            </w:r>
          </w:p>
        </w:tc>
      </w:tr>
      <w:tr>
        <w:trPr>
          <w:trHeight w:val="251"/>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(22,815)</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(16,616)</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(6,199)</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right="9980" w:firstLine="3"/>
        <w:spacing w:after="0" w:line="465" w:lineRule="auto"/>
        <w:tabs>
          <w:tab w:leader="none" w:pos="129"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Not meaningful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90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9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2,287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171 %</w:t>
            </w:r>
          </w:p>
        </w:tc>
      </w:tr>
    </w:tbl>
    <w:p>
      <w:pPr>
        <w:spacing w:after="0" w:line="21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Revenue increased by $2.3 million, or 171%, from $1.3 million during the three months ended June 30, 2021 to $3.6 million during the three months ended June 30, 2022, due to sales of products related to the Proteograph Product Suite. Revenue recognized primarily consisted of sales of the Proteograph SP100 instrument, consumable kits and platform evaluations, of which $1.1 million was attributed to related party. Revenue related to our grant-funded activities related to our Small Business Innovation Research (SBIR) grant from the National Institutes of Health Grant (NIH) decreased between the two periods by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4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5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2,012</w:t>
            </w:r>
          </w:p>
        </w:tc>
        <w:tc>
          <w:tcPr>
            <w:tcW w:w="9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1,426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243 %</w:t>
            </w:r>
          </w:p>
        </w:tc>
      </w:tr>
    </w:tbl>
    <w:p>
      <w:pPr>
        <w:spacing w:after="0" w:line="2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Cost of revenue increased by $1.4 million, or 243%, from $0.6 million during the three months ended June 30, 2021 to $2.0 million during the three months ended June 30, 2022, primarily due to sales of the Proteograph Product Suite. Cost of revenue related to the Proteograph Product Suite consist of costs of the SP100 instrument, consumable kits and other related costs, including labor and overhead.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5120" w:type="dxa"/>
            <w:vAlign w:val="bottom"/>
          </w:tcPr>
          <w:p>
            <w:pPr>
              <w:spacing w:after="0"/>
              <w:rPr>
                <w:sz w:val="16"/>
                <w:szCs w:val="16"/>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spacing w:after="0"/>
              <w:rPr>
                <w:sz w:val="16"/>
                <w:szCs w:val="16"/>
                <w:color w:val="auto"/>
              </w:rPr>
            </w:pPr>
          </w:p>
        </w:tc>
        <w:tc>
          <w:tcPr>
            <w:tcW w:w="108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8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8"/>
              </w:rPr>
              <w:t>10,871</w:t>
            </w:r>
          </w:p>
        </w:tc>
        <w:tc>
          <w:tcPr>
            <w:tcW w:w="9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6,935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3,936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bl>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R&amp;D expenses increased by $3.9 million, or 57%, from $6.9 million during the three months ended June 30, 2021 to $10.9 million during the three months ended June 30, 2022. The increase was primarily due to an increase in product development efforts related to the Proteograph Product Suite, including $2.6 million in employee compensation costs and other related expenses, including stock-based compensation, due to growth in research and development personnel and a $0.8 million increase in allocated overhead related to allocation of facility expense associated with the build-out of our expansion facilities to support our R&amp;D efforts. Other increases are attributable to costs related to general business expenses of $0.3 million and a $0.2 million increase in depreciation of laboratory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5120" w:type="dxa"/>
            <w:vAlign w:val="bottom"/>
          </w:tcPr>
          <w:p>
            <w:pPr>
              <w:spacing w:after="0"/>
              <w:rPr>
                <w:sz w:val="16"/>
                <w:szCs w:val="16"/>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spacing w:after="0"/>
              <w:rPr>
                <w:sz w:val="16"/>
                <w:szCs w:val="16"/>
                <w:color w:val="auto"/>
              </w:rPr>
            </w:pPr>
          </w:p>
        </w:tc>
        <w:tc>
          <w:tcPr>
            <w:tcW w:w="108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88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8"/>
              </w:rPr>
              <w:t>14,172</w:t>
            </w:r>
          </w:p>
        </w:tc>
        <w:tc>
          <w:tcPr>
            <w:tcW w:w="94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98"/>
              </w:rPr>
              <w:t>10,484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3,688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bl>
    <w:p>
      <w:pPr>
        <w:spacing w:after="0" w:line="22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increased by $3.7 million, or 35%, from $10.5 million during the three months ended June 30, 2021 to $14.2 million during the three months ended June 30, 2022, primarily due to a $1.4 million increase in employee compensation and other related expenses, and a $0.7 million stock-based compensation increase. Other increases are attributable to costs related to being a publicly traded company, including a $0.9 million increase in professional service and consulting fees, a $0.3 million increase in allocated overhead, and a $0.3 million increase in travel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Other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4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2"/>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514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6"/>
                <w:szCs w:val="16"/>
                <w:color w:val="auto"/>
              </w:rPr>
            </w:pPr>
          </w:p>
        </w:tc>
        <w:tc>
          <w:tcPr>
            <w:tcW w:w="1080" w:type="dxa"/>
            <w:vAlign w:val="bottom"/>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3"/>
          </w:tcPr>
          <w:p>
            <w:pPr>
              <w:jc w:val="center"/>
              <w:ind w:right="263"/>
              <w:spacing w:after="0"/>
              <w:rPr>
                <w:sz w:val="20"/>
                <w:szCs w:val="20"/>
                <w:color w:val="auto"/>
              </w:rPr>
            </w:pPr>
            <w:r>
              <w:rPr>
                <w:rFonts w:ascii="Times New Roman" w:cs="Times New Roman" w:eastAsia="Times New Roman" w:hAnsi="Times New Roman"/>
                <w:sz w:val="14"/>
                <w:szCs w:val="14"/>
                <w:i w:val="1"/>
                <w:iCs w:val="1"/>
                <w:color w:val="auto"/>
                <w:w w:val="98"/>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w:t>
            </w:r>
          </w:p>
        </w:tc>
        <w:tc>
          <w:tcPr>
            <w:tcW w:w="96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619</w:t>
            </w:r>
          </w:p>
        </w:tc>
        <w:tc>
          <w:tcPr>
            <w:tcW w:w="9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564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1025 %</w:t>
            </w:r>
          </w:p>
        </w:tc>
      </w:tr>
    </w:tbl>
    <w:p>
      <w:pPr>
        <w:spacing w:after="0" w:line="22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Total other income increased by $0.6 million, or 1025%, from $0.1 million during the three months ended June 30, 2021 to $0.6 million during the three months ended June 30, 2022. The increase was due to higher rates of interest earned on cash invested in money market funds, U.S. Treasury and corporate securities during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Comparisons of the Six Months Ended June 30,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5"/>
                <w:szCs w:val="15"/>
                <w:color w:val="auto"/>
              </w:rPr>
            </w:pP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
        </w:trPr>
        <w:tc>
          <w:tcPr>
            <w:tcW w:w="5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6"/>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7"/>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6"/>
          </w:tcPr>
          <w:p>
            <w:pPr>
              <w:ind w:left="6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80" w:type="dxa"/>
            <w:vAlign w:val="bottom"/>
          </w:tcPr>
          <w:p>
            <w:pPr>
              <w:spacing w:after="0"/>
              <w:rPr>
                <w:sz w:val="15"/>
                <w:szCs w:val="15"/>
                <w:color w:val="auto"/>
              </w:rPr>
            </w:pPr>
          </w:p>
        </w:tc>
      </w:tr>
      <w:tr>
        <w:trPr>
          <w:trHeight w:val="35"/>
        </w:trPr>
        <w:tc>
          <w:tcPr>
            <w:tcW w:w="5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8"/>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4,555</w:t>
            </w:r>
          </w:p>
        </w:tc>
        <w:tc>
          <w:tcPr>
            <w:tcW w:w="80" w:type="dxa"/>
            <w:vAlign w:val="bottom"/>
          </w:tcPr>
          <w:p>
            <w:pPr>
              <w:spacing w:after="0"/>
              <w:rPr>
                <w:sz w:val="22"/>
                <w:szCs w:val="22"/>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Pr>
          <w:p>
            <w:pPr>
              <w:spacing w:after="0"/>
              <w:rPr>
                <w:sz w:val="22"/>
                <w:szCs w:val="22"/>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444 %</w:t>
            </w:r>
          </w:p>
        </w:tc>
      </w:tr>
      <w:tr>
        <w:trPr>
          <w:trHeight w:val="25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Related party</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473 %</w:t>
            </w:r>
          </w:p>
        </w:tc>
      </w:tr>
      <w:tr>
        <w:trPr>
          <w:trHeight w:val="25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Grant and other</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5"/>
        </w:trPr>
        <w:tc>
          <w:tcPr>
            <w:tcW w:w="5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397 %</w:t>
            </w:r>
          </w:p>
        </w:tc>
      </w:tr>
      <w:tr>
        <w:trPr>
          <w:trHeight w:val="25"/>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8"/>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555 %</w:t>
            </w:r>
          </w:p>
        </w:tc>
      </w:tr>
      <w:tr>
        <w:trPr>
          <w:trHeight w:val="25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Related party</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812 %</w:t>
            </w:r>
          </w:p>
        </w:tc>
      </w:tr>
      <w:tr>
        <w:trPr>
          <w:trHeight w:val="251"/>
        </w:trPr>
        <w:tc>
          <w:tcPr>
            <w:tcW w:w="5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596 %</w:t>
            </w: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252 %</w:t>
            </w:r>
          </w:p>
        </w:tc>
      </w:tr>
      <w:tr>
        <w:trPr>
          <w:trHeight w:val="25"/>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2"/>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5"/>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25"/>
        </w:trPr>
        <w:tc>
          <w:tcPr>
            <w:tcW w:w="51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50,073</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33,978</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16,095</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5"/>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566 %</w:t>
            </w:r>
          </w:p>
        </w:tc>
      </w:tr>
      <w:tr>
        <w:trPr>
          <w:trHeight w:val="232"/>
        </w:trPr>
        <w:tc>
          <w:tcPr>
            <w:tcW w:w="5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1"/>
        </w:trPr>
        <w:tc>
          <w:tcPr>
            <w:tcW w:w="5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516 %</w:t>
            </w:r>
          </w:p>
        </w:tc>
      </w:tr>
      <w:tr>
        <w:trPr>
          <w:trHeight w:val="251"/>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(46,461)</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(33,045)</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(13,416)</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right="9980" w:firstLine="3"/>
        <w:spacing w:after="0" w:line="465" w:lineRule="auto"/>
        <w:tabs>
          <w:tab w:leader="none" w:pos="129" w:val="left"/>
        </w:tabs>
        <w:numPr>
          <w:ilvl w:val="0"/>
          <w:numId w:val="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Not meaningful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40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90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9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5,538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397 %</w:t>
            </w:r>
          </w:p>
        </w:tc>
      </w:tr>
    </w:tbl>
    <w:p>
      <w:pPr>
        <w:spacing w:after="0" w:line="21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Revenue increased by $5.5 million, or 397%, from $1.4 million during the six months ended June 30, 2021 to $6.9 million during the six months ended June 30, 2022, due to sales of products related to the Proteograph Product Suite. Revenue recognized primarily consisted of sales of the Proteograph SP100 instrument, consumable kits and platform evaluations, of which $2.2 million was attributed to related party. Revenue related to our grant-funded activities related to our SBIR grant from the NIH decreased between the two periods by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42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6"/>
        </w:trPr>
        <w:tc>
          <w:tcPr>
            <w:tcW w:w="5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4,080</w:t>
            </w:r>
          </w:p>
        </w:tc>
        <w:tc>
          <w:tcPr>
            <w:tcW w:w="9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3,494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596 %</w:t>
            </w:r>
          </w:p>
        </w:tc>
      </w:tr>
    </w:tbl>
    <w:p>
      <w:pPr>
        <w:spacing w:after="0" w:line="229"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Cost of revenue increased by $3.5 million, or 596%, from $0.6 million during the six months ended June 30, 2021 to $4.1 million during the six months ended June 30, 2022, primarily due to sales of the Proteograph Product Suite. Cost of revenue related to the Proteograph Product Suite consist of costs of the SP100 instrument, consumable kits and other related costs, including labor and overhead.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0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5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spacing w:after="0"/>
              <w:rPr>
                <w:sz w:val="16"/>
                <w:szCs w:val="16"/>
                <w:color w:val="auto"/>
              </w:rPr>
            </w:pPr>
          </w:p>
        </w:tc>
        <w:tc>
          <w:tcPr>
            <w:tcW w:w="108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8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8"/>
              </w:rPr>
              <w:t>21,607</w:t>
            </w:r>
          </w:p>
        </w:tc>
        <w:tc>
          <w:tcPr>
            <w:tcW w:w="94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98"/>
              </w:rPr>
              <w:t>13,162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8,445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r>
    </w:tbl>
    <w:p>
      <w:pPr>
        <w:spacing w:after="0" w:line="21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R&amp;D expenses increased by $8.4 million, or 64%, from $13.2 million during the six months ended June 30, 2021 to $21.6 million during the six months ended June 30, 2022. The increase was primarily due to an increase in product development efforts related to the Proteograph Product Suite, including $5.2 million in employee compensation costs and other related expenses, including stock-based compensation, due to growth in research and development personnel and a $2.4 million increase in allocated overhead related to allocation of facility expense associated with the build-out of our expansion facilities to support our R&amp;D efforts and depreciation of laboratory equipment. Other increases are attributable to costs related to general business expenses of $0.5 million and $0.4 million of laboratory expenses, which include laboratory supplies and equipment.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0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5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spacing w:after="0"/>
              <w:rPr>
                <w:sz w:val="16"/>
                <w:szCs w:val="16"/>
                <w:color w:val="auto"/>
              </w:rPr>
            </w:pPr>
          </w:p>
        </w:tc>
        <w:tc>
          <w:tcPr>
            <w:tcW w:w="108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88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8"/>
              </w:rPr>
              <w:t>28,466</w:t>
            </w:r>
          </w:p>
        </w:tc>
        <w:tc>
          <w:tcPr>
            <w:tcW w:w="94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98"/>
              </w:rPr>
              <w:t>20,816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9"/>
              </w:rPr>
              <w:t>7,650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bl>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Selling, general and administrative expenses increased by $7.7 million, or 37%, from $20.8 million during the six months ended June 30, 2021 to $28.5 million during the six months ended June 30, 2022, primarily due to a $2.3 million increase in employee compensation and other related expenses, a $2.0 million increase in stock-based compensation, and a $0.1 million increase in allocated overheard, including depreciation. Other increases are attributable to costs related to being a publicly traded company, including a $2.5 million increase in professional services and consulting fees, a $0.5 million increase in travel expenses, and a $0.2 million increase in general business expenses, which includes insurance premium and state and local business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Other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40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2"/>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5140" w:type="dxa"/>
            <w:vAlign w:val="bottom"/>
          </w:tcPr>
          <w:p>
            <w:pPr>
              <w:spacing w:after="0"/>
              <w:rPr>
                <w:sz w:val="16"/>
                <w:szCs w:val="16"/>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6"/>
                <w:szCs w:val="16"/>
                <w:color w:val="auto"/>
              </w:rPr>
            </w:pPr>
          </w:p>
        </w:tc>
        <w:tc>
          <w:tcPr>
            <w:tcW w:w="1080" w:type="dxa"/>
            <w:vAlign w:val="bottom"/>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3"/>
          </w:tcPr>
          <w:p>
            <w:pPr>
              <w:jc w:val="center"/>
              <w:ind w:right="263"/>
              <w:spacing w:after="0"/>
              <w:rPr>
                <w:sz w:val="20"/>
                <w:szCs w:val="20"/>
                <w:color w:val="auto"/>
              </w:rPr>
            </w:pPr>
            <w:r>
              <w:rPr>
                <w:rFonts w:ascii="Times New Roman" w:cs="Times New Roman" w:eastAsia="Times New Roman" w:hAnsi="Times New Roman"/>
                <w:sz w:val="14"/>
                <w:szCs w:val="14"/>
                <w:i w:val="1"/>
                <w:iCs w:val="1"/>
                <w:color w:val="auto"/>
                <w:w w:val="98"/>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w:t>
            </w:r>
          </w:p>
        </w:tc>
        <w:tc>
          <w:tcPr>
            <w:tcW w:w="96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758</w:t>
            </w:r>
          </w:p>
        </w:tc>
        <w:tc>
          <w:tcPr>
            <w:tcW w:w="9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rPr>
              <w:t>635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516 %</w:t>
            </w:r>
          </w:p>
        </w:tc>
      </w:tr>
    </w:tbl>
    <w:p>
      <w:pPr>
        <w:spacing w:after="0" w:line="2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Total other income increased by $0.6 million, from $0.1 million during the six months ended June 30, 2021 to $0.8 million during the six months ended June 30, 2022. The increase was due to higher rates of interest earned on cash invested in money market funds, U.S. Treasury and corporate securities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w:t>
      </w:r>
    </w:p>
    <w:p>
      <w:pPr>
        <w:spacing w:after="0" w:line="114"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We enter into agreements as a part of normal course of business with various vendors, which are generally cancellable without material penalty upon written notice. Payments associated with these agreements are not included in this discussion of contractual obligations.</w:t>
      </w:r>
    </w:p>
    <w:p>
      <w:pPr>
        <w:spacing w:after="0" w:line="1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September 2032, and increase the annual base rent for the expanded premises. Upon occupancy of the expansion facility, which occurred in the first quarter of 2022, the annual base rent will be $0.9 million in the first twelve months of the lease term (subject to an abatement period of nine months), and increases on an annual basis to $1.2 million in the final twelve months of the lease term. The amendment also provides for tenant incentives in the amount of $2.4 million.</w:t>
      </w:r>
    </w:p>
    <w:p>
      <w:pPr>
        <w:spacing w:after="0" w:line="12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April 2021, we entered into a lease amendment for this facility to further expand the office and laboratory space for an approximate term of eleven years. Payments associated with this operating lease agreement will result in additional operating lease obligations not included in the above paragraph of approximately $293,000 per month plus operating expenses.</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have certain purchase commitments related to our inventory management with certain manufacturing suppliers wherein we are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$3.2 million as of June 30, 2022.</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impacts of the COVID-19 pandemic,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investments will be sufficient to meet our anticipated cash requirements for more than 12 months from the date of this Quarterly Report on Form 10-Q. If our available cash and cash equivalents and investments and anticipated cash flows from operations are insufficient to satisfy our liquidity requirements, we may consider raising additional capital to expand our business, to pursue strategic investments, to take advantage of financing opportunities or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0" w:name="page31"/>
    <w:bookmarkEnd w:id="30"/>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78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86"/>
        </w:trPr>
        <w:tc>
          <w:tcPr>
            <w:tcW w:w="7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(25,222)</w:t>
            </w:r>
          </w:p>
        </w:tc>
        <w:tc>
          <w:tcPr>
            <w:tcW w:w="80" w:type="dxa"/>
            <w:vAlign w:val="bottom"/>
            <w:shd w:val="clear" w:color="auto" w:fill="CCEEFF"/>
          </w:tcPr>
          <w:p>
            <w:pPr>
              <w:spacing w:after="0"/>
              <w:rPr>
                <w:sz w:val="19"/>
                <w:szCs w:val="19"/>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(52,263)</w:t>
            </w:r>
          </w:p>
        </w:tc>
        <w:tc>
          <w:tcPr>
            <w:tcW w:w="80" w:type="dxa"/>
            <w:vAlign w:val="bottom"/>
          </w:tcPr>
          <w:p>
            <w:pPr>
              <w:spacing w:after="0"/>
              <w:rPr>
                <w:sz w:val="19"/>
                <w:szCs w:val="19"/>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114,756</w:t>
            </w:r>
          </w:p>
        </w:tc>
        <w:tc>
          <w:tcPr>
            <w:tcW w:w="80" w:type="dxa"/>
            <w:vAlign w:val="bottom"/>
            <w:shd w:val="clear" w:color="auto" w:fill="CCEEFF"/>
          </w:tcPr>
          <w:p>
            <w:pPr>
              <w:spacing w:after="0"/>
              <w:rPr>
                <w:sz w:val="19"/>
                <w:szCs w:val="19"/>
                <w:color w:val="auto"/>
              </w:rPr>
            </w:pP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(153,790)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37,271</w:t>
            </w:r>
          </w:p>
        </w:tc>
        <w:tc>
          <w:tcPr>
            <w:tcW w:w="8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7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During the six months ended June 30, 2022, cash used in operating activities was $33.2 million, which was attributable to a net loss of ($46.5) million and a net change in our net operating assets and liabilities of ($6.3) million, partially offset by non-cash charges of $19.7 million. Non-cash charges primarily consisted of $16.4 million in stock-based compensation, $1.8 million of depreciation, amortization and $0.4 million of net amortization of premiums on available-for-sales securities and $1.0 million of non-cash operating lease expense. The change in our net operating assets and liabilities was primarily due to an increases in inventory levels of $3.0 million, an increase in accounts receivable of $0.8 million, an increase in prepaid expenses and other current assets of $2.2 million, and an increase of ($0.5) million in accrued expenses related to employee compensation.</w:t>
      </w:r>
    </w:p>
    <w:p>
      <w:pPr>
        <w:spacing w:after="0" w:line="12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During the six months ended June 30, 2021, cash used in operating activities was $25.2 million. which was attributable to a net loss of ($33.0) million and a net change in our net operating assets and liabilities of ($6.5) million, partially offset by non-cash charges of $14.3 million. Non-cash charges primarily consisted of $12.5 million in stock-based compensation, $1.0 million of depreciation and amortization and $0.4 million of net amortization of premiums on available-for-sales securities. The change in our net operating assets and liabilities was primarily due to an increases in inventory levels of $2.1 million, an increase in prepaid expenses, including insurance of $2.6 million related to being a publicly company and an increase in accounts receivable and related party receivables of $1.2 million from commercial sales and other receivables.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7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During the six months ended June 30, 2022, cash used in investing activities was $122.3 million, which related to purchases of available-for-sale securities, net of proceeds from maturities of ($119.7) million, offset by ($2.6) million in payments primarily for laboratory equipment.</w:t>
      </w:r>
    </w:p>
    <w:p>
      <w:pPr>
        <w:spacing w:after="0" w:line="1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During the six months ended June 30, 2021, cash used in investing activities was $52.3 million, which related to purchases of available-for-sale securities, net of proceeds from maturities of ($49.3) million and ($2.9) million in payments primarily for laboratory equipment.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During the six months ended June 30, 2022, cash provided by financing activities was $1.6 million. This was attributable to net proceeds from the exercise of stock options of $1.2 million and $0.4 million proceeds from issuance of common stock in connection with employee stock purchase plan.</w:t>
      </w:r>
    </w:p>
    <w:p>
      <w:pPr>
        <w:spacing w:after="0" w:line="10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During the six months ended June 30, 2021, cash provided by financing activities was $114.8 million. This was attributable to net proceeds of $103.0 million from issuance of common stock upon our follow-on offering, net of issuance costs of ($7.6) million and $11.4 million in short-swing profits from a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Significant Judgments and Use of Estimates</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2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Operations” included in our Annual Report on Form 10-K for the fiscal year ended December 31, 2021.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7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have exposure to interest rate risk that relates to our cash and cash equivalents and investments held in money market funds and U.S. Treasury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June 30, 2022,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Controls</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69"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Rules 13a-15(f) under the Exchange Act)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Risk Factor</w:t>
      </w:r>
    </w:p>
    <w:p>
      <w:pPr>
        <w:spacing w:after="0" w:line="163"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94" w:lineRule="exact"/>
        <w:rPr>
          <w:sz w:val="20"/>
          <w:szCs w:val="20"/>
          <w:color w:val="auto"/>
        </w:rPr>
      </w:pPr>
    </w:p>
    <w:p>
      <w:pPr>
        <w:ind w:left="620" w:right="36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early-stage life sciences technology company with a history of net losses, which we expect to continue, and we may not be able to generate meaningful revenues or achieve and sustain profitability in the future;</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which may make it difficult to evaluate the prospects for our future viability and predict our future performance;</w:t>
      </w:r>
    </w:p>
    <w:p>
      <w:pPr>
        <w:spacing w:after="0" w:line="165"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9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99"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only recently commenced the broad commercial release of the Proteograph Product Suite, and we may not be able to successfully implement this release as planned;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release success depends on broad scientific and market acceptance of the Proteograph, which we may fail to achieve;</w:t>
      </w:r>
    </w:p>
    <w:p>
      <w:pPr>
        <w:spacing w:after="0" w:line="165"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the Proteograph Product Suite is broadly commercialized and achieves broad scientific and market acceptance, if we fail to improve it or introduce compelling new products, our revenues and our prospects could be harmed;</w:t>
      </w:r>
    </w:p>
    <w:p>
      <w:pPr>
        <w:spacing w:after="0" w:line="99" w:lineRule="exact"/>
        <w:rPr>
          <w:rFonts w:ascii="Times New Roman" w:cs="Times New Roman" w:eastAsia="Times New Roman" w:hAnsi="Times New Roman"/>
          <w:sz w:val="17"/>
          <w:szCs w:val="17"/>
          <w:color w:val="auto"/>
        </w:rPr>
      </w:pPr>
    </w:p>
    <w:p>
      <w:pPr>
        <w:ind w:left="620" w:right="20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and efforts to reduce its spread have adversely impacted, and are expected to continue to materially and adversely impact, our business and operations;</w:t>
      </w:r>
    </w:p>
    <w:p>
      <w:pPr>
        <w:spacing w:after="0" w:line="99" w:lineRule="exact"/>
        <w:rPr>
          <w:rFonts w:ascii="Times New Roman" w:cs="Times New Roman" w:eastAsia="Times New Roman" w:hAnsi="Times New Roman"/>
          <w:sz w:val="17"/>
          <w:szCs w:val="17"/>
          <w:color w:val="auto"/>
        </w:rPr>
      </w:pPr>
    </w:p>
    <w:p>
      <w:pPr>
        <w:ind w:left="620" w:right="54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76" w:lineRule="exact"/>
        <w:rPr>
          <w:sz w:val="20"/>
          <w:szCs w:val="20"/>
          <w:color w:val="auto"/>
        </w:rPr>
      </w:pPr>
    </w:p>
    <w:p>
      <w:pPr>
        <w:ind w:left="620" w:right="300"/>
        <w:spacing w:after="0" w:line="287" w:lineRule="auto"/>
        <w:rPr>
          <w:sz w:val="20"/>
          <w:szCs w:val="20"/>
          <w:color w:val="auto"/>
        </w:rPr>
      </w:pPr>
      <w:r>
        <w:rPr>
          <w:rFonts w:ascii="Times New Roman" w:cs="Times New Roman" w:eastAsia="Times New Roman" w:hAnsi="Times New Roman"/>
          <w:sz w:val="17"/>
          <w:szCs w:val="17"/>
          <w:color w:val="auto"/>
        </w:rPr>
        <w:t>competitors could develop and commercialize products similar or identical to ours, and our ability to successfully commercialize our products may be impaired;</w:t>
      </w:r>
    </w:p>
    <w:p>
      <w:pPr>
        <w:spacing w:after="0" w:line="100" w:lineRule="exact"/>
        <w:rPr>
          <w:sz w:val="20"/>
          <w:szCs w:val="20"/>
          <w:color w:val="auto"/>
        </w:rPr>
      </w:pPr>
    </w:p>
    <w:p>
      <w:pPr>
        <w:ind w:left="620" w:right="70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identify and recruit qualified employees, and retain or maintain our employee base, it may adversely impact our business and operations; and</w:t>
      </w:r>
    </w:p>
    <w:p>
      <w:pPr>
        <w:spacing w:after="0" w:line="99" w:lineRule="exact"/>
        <w:rPr>
          <w:rFonts w:ascii="Times New Roman" w:cs="Times New Roman" w:eastAsia="Times New Roman" w:hAnsi="Times New Roman"/>
          <w:sz w:val="17"/>
          <w:szCs w:val="17"/>
          <w:color w:val="auto"/>
        </w:rPr>
      </w:pPr>
    </w:p>
    <w:p>
      <w:pPr>
        <w:ind w:left="620" w:right="280" w:hanging="307"/>
        <w:spacing w:after="0" w:line="270"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maintain an effective system of internal controls, or otherwise fail to comply with the Sarbanes-Oxley Act of 2002 now that we are a large accelerated filer, we may not be able to accurately and timely report our financial results, which may adversely affect our business and investor confidence in us and, as a result, the value of our Class A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63" w:lineRule="exact"/>
        <w:rPr>
          <w:sz w:val="20"/>
          <w:szCs w:val="20"/>
          <w:color w:val="auto"/>
        </w:rPr>
      </w:pPr>
    </w:p>
    <w:p>
      <w:pPr>
        <w:ind w:right="7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are an early-stage life sciences technology company, and we have incurred significant losses since we were formed in 2017, and expect to continue to incur losses in the future. We incurred net losses of $22.8 million and $16.6 million during the three months ended June 30, 2022 and 2021, respectively. We incurred net losses of $46.5 million and $33.0 million during the six months ended June 30, 2022 and 2021, respectively. As of June 30, 2022, we had an accumulated deficit of $173.0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which may make it difficult to evaluate the prospects for our future viability and predict our future performance.</w:t>
      </w:r>
    </w:p>
    <w:p>
      <w:pPr>
        <w:spacing w:after="0" w:line="17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We have only recently broadly commercialized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broad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In addition, as a business with a limited operating history, we may encounter unforeseen expenses, difficulties, complications, delays and other known and unknown obstacles. We will need to transition from a company with a focus on research and development to a company capable of supporting broad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0"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0" w:lineRule="exact"/>
        <w:rPr>
          <w:sz w:val="20"/>
          <w:szCs w:val="20"/>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the Proteograph Product Suite on our anticipated timeline;</w:t>
      </w:r>
    </w:p>
    <w:p>
      <w:pPr>
        <w:spacing w:after="0" w:line="165" w:lineRule="exact"/>
        <w:rPr>
          <w:rFonts w:ascii="Times New Roman" w:cs="Times New Roman" w:eastAsia="Times New Roman" w:hAnsi="Times New Roman"/>
          <w:sz w:val="17"/>
          <w:szCs w:val="17"/>
          <w:color w:val="auto"/>
        </w:rPr>
      </w:pPr>
    </w:p>
    <w:p>
      <w:pPr>
        <w:jc w:val="both"/>
        <w:ind w:left="620" w:right="200" w:hanging="307"/>
        <w:spacing w:after="0" w:line="270" w:lineRule="auto"/>
        <w:tabs>
          <w:tab w:leader="none" w:pos="61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13"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demand for any products we are able to commercialize, particularly the Proteograph Product Suite, which may vary significantly from period to period;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drive adoption of the Proteograph in our target markets and our ability to expand into any future target markets;</w:t>
      </w:r>
    </w:p>
    <w:p>
      <w:pPr>
        <w:spacing w:after="0" w:line="16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relationship with third-party distributorships, and their ability to promote and sell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will be able to sell the Proteograph Product Suite;</w:t>
      </w:r>
    </w:p>
    <w:p>
      <w:pPr>
        <w:spacing w:after="0" w:line="165" w:lineRule="exact"/>
        <w:rPr>
          <w:rFonts w:ascii="Times New Roman" w:cs="Times New Roman" w:eastAsia="Times New Roman" w:hAnsi="Times New Roman"/>
          <w:sz w:val="17"/>
          <w:szCs w:val="17"/>
          <w:color w:val="auto"/>
        </w:rPr>
      </w:pPr>
    </w:p>
    <w:p>
      <w:pPr>
        <w:ind w:left="620" w:right="480" w:hanging="307"/>
        <w:spacing w:after="0" w:line="287" w:lineRule="auto"/>
        <w:tabs>
          <w:tab w:leader="none" w:pos="61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and mix of our sales between the Proteograph Product Suite and associated consumables, or changes in the manufacturing or sales costs related to our products;</w:t>
      </w:r>
    </w:p>
    <w:p>
      <w:pPr>
        <w:spacing w:after="0" w:line="99" w:lineRule="exact"/>
        <w:rPr>
          <w:rFonts w:ascii="Times New Roman" w:cs="Times New Roman" w:eastAsia="Times New Roman" w:hAnsi="Times New Roman"/>
          <w:sz w:val="17"/>
          <w:szCs w:val="17"/>
          <w:color w:val="auto"/>
        </w:rPr>
      </w:pPr>
    </w:p>
    <w:p>
      <w:pPr>
        <w:ind w:left="620" w:right="420" w:hanging="307"/>
        <w:spacing w:after="0" w:line="287" w:lineRule="auto"/>
        <w:tabs>
          <w:tab w:leader="none" w:pos="61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time of the sales cycle for purchases of the Proteograph, including lead time needed to procure SP100 automation instruments from our third-party contract manufacturer;</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expenditures that we may incur to develop, commercialize or acquire additional products and technologies or for other purposes, such as the expansion of our facilities;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funding of life sciences research and development or changes that impact budgets and budget cycles;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spending patterns of our customers;</w:t>
      </w:r>
    </w:p>
    <w:p>
      <w:pPr>
        <w:spacing w:after="0" w:line="16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when we recognize any revenues;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future litigation or governmental investigations involving us, our industry or both;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service, replacement and warranty costs;</w:t>
      </w:r>
    </w:p>
    <w:p>
      <w:pPr>
        <w:spacing w:after="0" w:line="165"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or any other pandemic on the economy, investment in life sciences and research industries, our business operations, and resources and operations of our customers, suppliers and supply chain, and distributors; and</w:t>
      </w:r>
    </w:p>
    <w:p>
      <w:pPr>
        <w:spacing w:after="0" w:line="99" w:lineRule="exact"/>
        <w:rPr>
          <w:rFonts w:ascii="Times New Roman" w:cs="Times New Roman" w:eastAsia="Times New Roman" w:hAnsi="Times New Roman"/>
          <w:sz w:val="17"/>
          <w:szCs w:val="17"/>
          <w:color w:val="auto"/>
        </w:rPr>
      </w:pPr>
    </w:p>
    <w:p>
      <w:pPr>
        <w:ind w:left="620" w:right="420" w:hanging="307"/>
        <w:spacing w:after="0" w:line="287" w:lineRule="auto"/>
        <w:tabs>
          <w:tab w:leader="none" w:pos="61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industry, economic and market conditions such as inflation and other factors, including factors unrelated to our operating performance or the operating performance of our competitors.</w:t>
      </w:r>
    </w:p>
    <w:p>
      <w:pPr>
        <w:spacing w:after="0" w:line="100"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1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failing to meet expectations of industry or financial analysts, or investors, for any period. If we are unable to commercialize products or generate revenue, or if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76" w:lineRule="exact"/>
        <w:rPr>
          <w:sz w:val="20"/>
          <w:szCs w:val="20"/>
          <w:color w:val="auto"/>
        </w:rPr>
      </w:pPr>
    </w:p>
    <w:p>
      <w:pPr>
        <w:ind w:right="840"/>
        <w:spacing w:after="0" w:line="287" w:lineRule="auto"/>
        <w:rPr>
          <w:sz w:val="20"/>
          <w:szCs w:val="20"/>
          <w:color w:val="auto"/>
        </w:rPr>
      </w:pPr>
      <w:r>
        <w:rPr>
          <w:rFonts w:ascii="Times New Roman" w:cs="Times New Roman" w:eastAsia="Times New Roman" w:hAnsi="Times New Roman"/>
          <w:sz w:val="17"/>
          <w:szCs w:val="17"/>
          <w:color w:val="auto"/>
        </w:rPr>
        <w:t>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94"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only recently commenced the broad release phase of our commercialization plan, and we may not be able to continue this release as planned.</w:t>
      </w:r>
    </w:p>
    <w:p>
      <w:pPr>
        <w:spacing w:after="0" w:line="17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We have only recently initiated the broad commercial release phase for the Proteograph Product Suite, and we may not be able to successfully execute on this phase as planned due to:</w:t>
      </w:r>
    </w:p>
    <w:p>
      <w:pPr>
        <w:spacing w:after="0" w:line="100" w:lineRule="exact"/>
        <w:rPr>
          <w:sz w:val="20"/>
          <w:szCs w:val="20"/>
          <w:color w:val="auto"/>
        </w:rPr>
      </w:pPr>
    </w:p>
    <w:p>
      <w:pPr>
        <w:ind w:left="620" w:right="1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establish the capabilities and value proposition of the Proteograph Product Suite with key opinion leaders and other customers in a timely fashion;</w:t>
      </w:r>
    </w:p>
    <w:p>
      <w:pPr>
        <w:spacing w:after="0" w:line="99" w:lineRule="exact"/>
        <w:rPr>
          <w:rFonts w:ascii="Times New Roman" w:cs="Times New Roman" w:eastAsia="Times New Roman" w:hAnsi="Times New Roman"/>
          <w:sz w:val="17"/>
          <w:szCs w:val="17"/>
          <w:color w:val="auto"/>
        </w:rPr>
      </w:pPr>
    </w:p>
    <w:p>
      <w:pPr>
        <w:ind w:left="620" w:right="320" w:hanging="307"/>
        <w:spacing w:after="0" w:line="27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longer-than expected lead times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76"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industry or market conditions, customer requirements or competitor offerings during broad commercialization;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continuing the build-out of our sales, customer support and marketing organization as needed for broad commercialization;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ramping up manufacturing, either internally or through our suppliers, to meet the expected demand for broad commercialization; and</w:t>
      </w:r>
    </w:p>
    <w:p>
      <w:pPr>
        <w:spacing w:after="0" w:line="165"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or any other pandemic on the economy and research industries, our business operations, and resources and the operations of our customers, suppliers and supply chain, and distributors.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our broad commercial release phase is unsuccessful, our financial results will be adversely impacted.</w:t>
      </w:r>
    </w:p>
    <w:p>
      <w:pPr>
        <w:spacing w:after="0" w:line="159"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execute on our broad commercial release phase as planned, our success depends on broad scientific and market acceptance of the Proteograph Product Suite, which we may fail to achieve.</w:t>
      </w:r>
    </w:p>
    <w:p>
      <w:pPr>
        <w:spacing w:after="0" w:line="9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factors in achieving commercial market acceptance, include:</w:t>
      </w:r>
    </w:p>
    <w:p>
      <w:pPr>
        <w:spacing w:after="0" w:line="165"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market and increase awareness of the capabilities of the Proteograph Product Suite;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Proteograph Product Suite to perform intended use applications broadly in the hands of customers;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customers’ willingness to adopt new products and workflows;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Proteograph’s ease of use and whether it reliably provides advantages over other alternative technologies;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adoption of the Proteograph Product Suite by academic institutions, laboratories, biopharmaceutical companies and others;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we charge for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76"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workflows and solutions for customers;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competitors develop and commercialize products that perform similar functions as the Proteograph;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investments in product innovation and commercial growth.</w:t>
      </w:r>
    </w:p>
    <w:p>
      <w:pPr>
        <w:spacing w:after="0" w:line="16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and marketing capabilities, we may not be successful in commercializing the Proteograph Product Suite.</w:t>
      </w:r>
    </w:p>
    <w:p>
      <w:pPr>
        <w:spacing w:after="0" w:line="17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broad commercial release of the Proteograph Product Suite. To perform sales, marketing, distribution, and customer service and support successfully, we will face a number of risks, including:</w:t>
      </w:r>
    </w:p>
    <w:p>
      <w:pPr>
        <w:spacing w:after="0" w:line="120" w:lineRule="exact"/>
        <w:rPr>
          <w:sz w:val="20"/>
          <w:szCs w:val="20"/>
          <w:color w:val="auto"/>
        </w:rPr>
      </w:pPr>
    </w:p>
    <w:p>
      <w:pPr>
        <w:ind w:left="620" w:right="66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and manage the sales, marketing and customer service and support force necessary to commercialize and gain market acceptance for our technology;</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 of establishing a specialized sales, marketing and customer service and support force;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customer service and support force may be unable to initiate and execute successful commercialization activities.</w:t>
      </w:r>
    </w:p>
    <w:p>
      <w:pPr>
        <w:spacing w:after="0" w:line="1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11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the Proteograph Product Suite is broadly commercialized and achieves broad scientific and market acceptance, if we fail to improve it or introduce compelling new products, our revenues and our prospects could be harmed.</w:t>
      </w:r>
    </w:p>
    <w:p>
      <w:pPr>
        <w:spacing w:after="0" w:line="9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22"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7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the Proteograph Product Suite to meet customer requirements, compete with alternative products, or otherwise gain and maintain market acceptance, our business, results of operations and financial condition could be harmed.</w:t>
      </w:r>
    </w:p>
    <w:p>
      <w:pPr>
        <w:spacing w:after="0" w:line="114"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and efforts to reduce its spread have adversely impacted, and are expected to continue to materially and adversely impact, our business and operations.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For instance, “stay-at-home” orders in California, and specifically San Mateo County where our headquarters is located, that require businesses to implement certain social distancing protocols and other written health and safety plans and measures and which could affect productivity and morale, could be reinstated. We have continued to operate within the rules applicable to our business; however, the imposition of new or extended governmental mandates could further impact our ability to operate effectively and conduct ongoing research and development or other activities. For onsite work in our Redwood City and San Diego offices, we continue to require proof of vaccination and adherence to our testing protocols, which may change from time to time. The COVID-19 pandemic and a skilled labor shortage in general have also had an effect on our ability to attract, recruit and interview candidates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and our commercial plans may be delayed, and we may incur further costs in bringing our business and operations into compliance with changing or new laws, regulations, and policies.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the near term, we expect that substantially all of our revenue will be derived from sales of the Proteograph Product Suite, including our instruments and associated consumables, to academic, research and commercial customers. We have moved into broad commercial release and, as a result, in the near term, our ability to drive the adoption of the Proteograph solution will depend on our ability to visit customer sites, the ability of our customers to access laboratories, and the ability to install and train on the Proteograph Product Suite and conduct research in light of the COVID-19 pandemic. For example, due to the pandemic, we have encountered delays permitting the travel of our U.S.based employees to China. We also may encounter delays in other countries. Additionally, since we have moved into broad commercial release,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the Proteograph. All of these considerations are impacted by factors beyond our control, such as:</w:t>
      </w:r>
    </w:p>
    <w:p>
      <w:pPr>
        <w:spacing w:after="0" w:line="124" w:lineRule="exact"/>
        <w:rPr>
          <w:sz w:val="20"/>
          <w:szCs w:val="20"/>
          <w:color w:val="auto"/>
        </w:rPr>
      </w:pPr>
    </w:p>
    <w:p>
      <w:pPr>
        <w:jc w:val="both"/>
        <w:ind w:left="620" w:right="46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government funding of research and development; and</w:t>
      </w:r>
    </w:p>
    <w:p>
      <w:pPr>
        <w:spacing w:after="0" w:line="165" w:lineRule="exact"/>
        <w:rPr>
          <w:rFonts w:ascii="Times New Roman" w:cs="Times New Roman" w:eastAsia="Times New Roman" w:hAnsi="Times New Roman"/>
          <w:sz w:val="17"/>
          <w:szCs w:val="17"/>
          <w:color w:val="auto"/>
        </w:rPr>
      </w:pPr>
    </w:p>
    <w:p>
      <w:pPr>
        <w:ind w:left="620" w:right="2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Additionally, our suppliers have also been impacted by the COVID-19 pandemic and may be impacted by other pandemics. For example, our SP100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w:t>
      </w:r>
    </w:p>
    <w:p>
      <w:pPr>
        <w:spacing w:after="0" w:line="1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1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or rising interest rates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Our anticipated growth will place significant strains on our management, operational and manufacturing systems and processes, sales and marketing team, financial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7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depend on our key personnel and other highly qualified personnel, and if we are unable to recruit, train and retain our personnel, we may not achieve our goals.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future success depends upon our ability to recruit, train, retain and motivate key personnel. Our senior management team, including Omid Farokhzad, one of our founders and our Chief Executive Officer; Omead Ostadan, our President; and David Horn, our Chief Financial Officer, are critical to our vision, strategic direction, product development and commercialization efforts. On November 20, 2021, Mr. Ostadan took a leave of absence as an officer of the Company for personal reasons lasting approximately three months. Mr. Ostadan returned on a part-time basis as the Company’s President on February 28, 2022 and his part-time status is expected to last approximately ten months for ongoing personal reasons. 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2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321"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be dependent upon revenue generated from the sale of the Proteograph Product Suite from the time it is commercialized through the foreseeable future.</w:t>
      </w:r>
    </w:p>
    <w:p>
      <w:pPr>
        <w:spacing w:after="0" w:line="94"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7"/>
          <w:szCs w:val="17"/>
          <w:color w:val="auto"/>
        </w:rPr>
        <w:t>While we have recently moved into broad commercialization, if we are able to successfully broadly commercialize the Proteograph, we expect that we will generate substantially all of our revenue from the sale of the Proteograph Product Suite and associated consumables. There can be no assurance that we will be able to successfully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2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the Proteograph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or new products or product enhancements would have a substantial adverse effect on our business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sales have been concentrated in a small number of customers.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 xml:space="preserve">During the initial stages of our broad release phase of our commercialization plan, our revenues have been concentrated in a relatively small number of customers, including a related party, PrognomIQ, Inc. For the six months ended June 30, 2022, PrognomIQ, Inc. accounted for 31% of our revenue. If one or more customers, including PrognomIQ, Inc.,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17"/>
          <w:szCs w:val="17"/>
          <w:i w:val="1"/>
          <w:iCs w:val="1"/>
          <w:color w:val="auto"/>
        </w:rPr>
        <w:t>- Revenue and Deferred Revenue</w:t>
      </w:r>
      <w:r>
        <w:rPr>
          <w:rFonts w:ascii="Times New Roman" w:cs="Times New Roman" w:eastAsia="Times New Roman" w:hAnsi="Times New Roman"/>
          <w:sz w:val="17"/>
          <w:szCs w:val="17"/>
          <w:color w:val="auto"/>
        </w:rPr>
        <w:t xml:space="preserve"> and Note 9 - </w:t>
      </w:r>
      <w:r>
        <w:rPr>
          <w:rFonts w:ascii="Times New Roman" w:cs="Times New Roman" w:eastAsia="Times New Roman" w:hAnsi="Times New Roman"/>
          <w:sz w:val="17"/>
          <w:szCs w:val="17"/>
          <w:i w:val="1"/>
          <w:iCs w:val="1"/>
          <w:color w:val="auto"/>
        </w:rPr>
        <w:t xml:space="preserve">PrognomIQ, Inc. </w:t>
      </w:r>
      <w:r>
        <w:rPr>
          <w:rFonts w:ascii="Times New Roman" w:cs="Times New Roman" w:eastAsia="Times New Roman" w:hAnsi="Times New Roman"/>
          <w:sz w:val="17"/>
          <w:szCs w:val="17"/>
          <w:color w:val="auto"/>
        </w:rPr>
        <w:t>to our notes to financial statements included in Part I, Item 1, herein for further information regarding our relationship with PrognomIQ, Inc.</w:t>
      </w:r>
    </w:p>
    <w:p>
      <w:pPr>
        <w:spacing w:after="0" w:line="117"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will depend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1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expect that substantially all of our sales revenue in the near term will be generated from sales to commercial companies, academic institutions and other research institutions. Certain of these customers’ funding will be, in turn, provided by various state, federal and international government agencies. As a result, the demand for the Proteograph Product Suite will depend upon the research and development budgets of these customers, which are impacted by factors beyond our control, such as:</w:t>
      </w:r>
    </w:p>
    <w:p>
      <w:pPr>
        <w:spacing w:after="0" w:line="120"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government funding of research and development;</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9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strategy and funding by commercial companies in their efforts around therapeutic and diagnostic product development and their adoption and use of the Proteograph Product Suite;</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opinions in the scientific community, including researchers’ opinions of the utility of the Proteograph solution;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citation of the Proteograph Product Suite in published research;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changes in the regulatory environment;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budgetary cycles, especially government- or grant-funded customers, whose cycles often coincide with government fiscal year ends;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 product offerings or pricing;</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market-driven pressures to consolidate operations and reduce costs;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relatively new technologies, such as the Proteograph Product Suite.</w:t>
      </w:r>
    </w:p>
    <w:p>
      <w:pPr>
        <w:spacing w:after="0" w:line="16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7"/>
          <w:szCs w:val="17"/>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18"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For example, due to the COVID-19 pandemic and increased demand for Hamilton’s products, we have seen the lead time for our instruments increase significantly. Further, if Hamilton is unable to obtain critical components used in the Proteograph solution or supply our instruments on the timelines we require, our business and commercialization efforts would be harmed.</w:t>
      </w:r>
    </w:p>
    <w:p>
      <w:pPr>
        <w:spacing w:after="0" w:line="12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In the event it becomes necessary to utilize one or more different contract manufacturers for automated liquid handling workstations, products, or product components associated with the Proteograph Product Suite, we would experience additional costs, delays and difficulties in doing so as a result of identifying and entering into new agreements with new suppliers or manufacturers as well as preparing such new suppliers or manufacturers to meet the logistical requirements associated with supplying and manufacturing the Proteograph Product Suite, and our business would suffer.</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addition, certain of the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w:t>
      </w:r>
    </w:p>
    <w:p>
      <w:pPr>
        <w:spacing w:after="0" w:line="12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this automation instrumentation, individual units may occasionally require additional installation and service time prior to becoming available for customer use.</w:t>
      </w:r>
    </w:p>
    <w:p>
      <w:pPr>
        <w:spacing w:after="0" w:line="16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of certain hazardous substances or chemicals, including in commercial products, or the collection, reuse, and recycling of waste from products we manufacture, our business will be adversely impacted.</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94"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could have defects or errors, which may give rise to claims against us, adversely affect market adoption of the Proteograph Product Suite, and adversely affect our business, financial condition, and results of operations.</w:t>
      </w:r>
    </w:p>
    <w:p>
      <w:pPr>
        <w:spacing w:after="0" w:line="9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Proteograph Product Suite utilizes novel and complex technology, including hardware, consumables and software, and may develop or contain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7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Proteograph Product Suite contains defects, we may experience:</w:t>
      </w:r>
    </w:p>
    <w:p>
      <w:pPr>
        <w:spacing w:after="0" w:line="165"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to achieve market acceptance for the Proteograph or expansion of the Proteograph Product Suite sales;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customer orders and delay in order fulfillment;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brand reputation;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warranty and customer service and support costs due to product repair or replacement;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or replacements;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attract new customers;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resources from our manufacturing and research and development departments to our service department;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claims against us, including product liability claims, which could be costly and time consuming to defend and result in substantial damages.</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17"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9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success of the Proteograph Product Suite depends, in part, on our ability to design and deploy our Instrument Control Software and Proteograph Analysis Suite (together with any enhancements, the “Software”) in a manner that enables the integration with our potential customers’ systems and accommodates our customers’ needs. Without the Software, quality control of the workflow and data analysis is less accessible and robust, and it may be difficult for our customers to understand and evaluate the quality of their results.</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We have and will continue to spend significant amounts of effort continuing to develop the Software to meet our customers’ and potential customers’ evolving needs. There is no assurance that the development or deployment of the Software will be compelling to our customers or function correctly. In addition, we may experience delays in our release dates of the Software, and there can be no assurance that the Software will be released according to schedule. If our Software development and deployment plan, which may include participation from third party vendors and licensors, does not accurately anticipate customer demands, or if we fail to develop the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70"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Engaging in international business inherently involves a number of difficulties and risks, including:</w:t>
      </w:r>
    </w:p>
    <w:p>
      <w:pPr>
        <w:spacing w:after="0" w:line="165" w:lineRule="exact"/>
        <w:rPr>
          <w:sz w:val="20"/>
          <w:szCs w:val="20"/>
          <w:color w:val="auto"/>
        </w:rPr>
      </w:pPr>
    </w:p>
    <w:p>
      <w:pPr>
        <w:ind w:left="620" w:hanging="307"/>
        <w:spacing w:after="0" w:line="26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1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compliance with U.S. laws such as the Foreign Corrupt Practices Act, and other U.S. federal laws and regulations established by the office of Foreign Asset Control;</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requirements and import or trade restrictions, including, without limitation, trade retaliation laws;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companies;</w:t>
      </w:r>
    </w:p>
    <w:p>
      <w:pPr>
        <w:spacing w:after="0" w:line="165" w:lineRule="exact"/>
        <w:rPr>
          <w:rFonts w:ascii="Times New Roman" w:cs="Times New Roman" w:eastAsia="Times New Roman" w:hAnsi="Times New Roman"/>
          <w:sz w:val="17"/>
          <w:szCs w:val="17"/>
          <w:color w:val="auto"/>
        </w:rPr>
      </w:pPr>
    </w:p>
    <w:p>
      <w:pPr>
        <w:ind w:left="620" w:right="50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longer payment cycles and difficulties in enforcing agreements and collecting receivables through certain foreign legal systems;</w:t>
      </w:r>
    </w:p>
    <w:p>
      <w:pPr>
        <w:spacing w:after="0" w:line="99" w:lineRule="exact"/>
        <w:rPr>
          <w:rFonts w:ascii="Times New Roman" w:cs="Times New Roman" w:eastAsia="Times New Roman" w:hAnsi="Times New Roman"/>
          <w:sz w:val="17"/>
          <w:szCs w:val="17"/>
          <w:color w:val="auto"/>
        </w:rPr>
      </w:pPr>
    </w:p>
    <w:p>
      <w:pPr>
        <w:ind w:left="620" w:right="40" w:hanging="307"/>
        <w:spacing w:after="0" w:line="27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tariffs, customs charges, bureaucratic requirements, and other trade barriers;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of staffing and managing foreign operations;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protecting, maintaining, enforcing or procuring intellectual property rights.</w:t>
      </w:r>
    </w:p>
    <w:p>
      <w:pPr>
        <w:spacing w:after="0" w:line="16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2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94"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 portion of our international sales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1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Our current commercial model includes direct sales in the United States and elsewhere, and we are building relationships with third party distributors in various countries, including China, to enable us to enter additional markets more efficiently. If we are unable to enter or maintain such distribution arrangements on acceptable terms, or at all, we may not be able to successfully commercialize our products in certain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2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life sciences technology market is highly competitive. If we fail to compete effectively, our business and results of operation will suffer.</w:t>
      </w:r>
    </w:p>
    <w:p>
      <w:pPr>
        <w:spacing w:after="0" w:line="17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SomaLogic.</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Some of our current competitors are large publicly-traded companies, or are divisions of large publicly-traded companies, and may enjoy a number of competitive advantages over us, including:</w:t>
      </w:r>
    </w:p>
    <w:p>
      <w:pPr>
        <w:spacing w:after="0" w:line="100"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name and brand recognition;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financial and human resources;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broader product lines;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larger sales forces and more established distributor networks;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intellectual property portfolios;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larger and more established customer bases and relationships;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better established, larger scale and lower cost manufacturing capabilities.</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3"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7"/>
          <w:szCs w:val="17"/>
          <w:color w:val="auto"/>
        </w:rPr>
        <w:t>We cannot assure investors that our products will compete favorably or that we will be successful in the face of increasing competition from products and technologies introduced by our existing or future competitors,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7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14"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2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will consider raising additional capital in the future to expand our business, to pursue strategic investments, to take advantage of financing opportunities or for other reasons, including:</w:t>
      </w:r>
    </w:p>
    <w:p>
      <w:pPr>
        <w:spacing w:after="0" w:line="100"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sales and marketing and other commercialization efforts to drive market adoption of the Proteograph Product Suite;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funding development and marketing efforts of the Proteograph Product Suite or any other future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our technologies into additional markets;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acquiring, licensing or investing in technologies and other intellectual property rights;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acquiring or investing in complementary businesses or assets;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capital expenditures and general and administrative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present and future funding requirements will depend on many factors, including:</w:t>
      </w:r>
    </w:p>
    <w:p>
      <w:pPr>
        <w:spacing w:after="0" w:line="165" w:lineRule="exact"/>
        <w:rPr>
          <w:sz w:val="20"/>
          <w:szCs w:val="20"/>
          <w:color w:val="auto"/>
        </w:rPr>
      </w:pPr>
    </w:p>
    <w:p>
      <w:pPr>
        <w:ind w:left="6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progress in commercializing the Proteograph Product Suite and new products, and the cost of the sales and marketing activities associated with establishing adoption of our products;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progress in, and cost of research and development activities associated with, products in research and development;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70"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In August 2020, we transferred certain assets to PrognomIQ, as a separate healthcare company to help enable the growth of ecosystems around new applications that leverage the Proteograph solution for unbiased, deep and large-scale proteomic information. As of June 30, 2022, we held approximately 15% of the outstanding capital stock of PrognomIQ. We may not realize the potential benefits of forming PrognomIQ for a variety of reasons, including:</w:t>
      </w:r>
    </w:p>
    <w:p>
      <w:pPr>
        <w:spacing w:after="0" w:line="114"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PrognomIQ may be unable to successfully develop viable testing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PrognomIQ’s business may not help demonstrate the value of the Proteograph;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reach agreement with PrognomIQ on future commercial arrangements;</w:t>
      </w:r>
    </w:p>
    <w:p>
      <w:pPr>
        <w:spacing w:after="0" w:line="165"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PrognomIQ accounted for 31% of our revenue during the three months ended June 30, 2022, it may not continue to be a meaningful customer of ours;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PrognomIQ may need to raise additional funding in the future and be unable to do so; and</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formation of PrognomIQ and our continuing equity position in PrognomIQ may add complexities to our business from a finance, tax and accounting perspective.</w:t>
      </w:r>
    </w:p>
    <w:p>
      <w:pPr>
        <w:spacing w:after="0" w:line="10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Financial Reporting</w:t>
      </w:r>
    </w:p>
    <w:p>
      <w:pPr>
        <w:spacing w:after="0" w:line="16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1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7"/>
          <w:szCs w:val="17"/>
          <w:color w:val="auto"/>
        </w:rPr>
        <w:t>As a public company with SEC reporting obligations, we are required to document and test our internal control procedures to satisfy the requirements of Section 404(b) of the Sarbanes-Oxley Act (SOX), which requires annual assessments by management of the effectiveness of our internal control over financial reporting. Effective December 31, 2021, we no longer qualify as an emerging growth company and the reduced compliance requirements to emerging growth companies no longer apply to us. We must implement and maintain substantial internal control systems and procedures to satisfy the reporting requirements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2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previously identified material weaknesses in our internal control over financial reporting, and if we fail to maintain an effective system of internal controls, or otherwise fail to comply with the Sarbanes-Oxley Act of 2002 now that we are a large accelerated filer, we may not be able to accurately and timely report our financial results, which may adversely affect our business and investor confidence in us and, as a result, the value of our Class A common stock.</w:t>
      </w:r>
    </w:p>
    <w:p>
      <w:pPr>
        <w:spacing w:after="0" w:line="11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As previously disclosed in our Annual Report on Form 10-K for the year ended December 31, 2020, we and our independent registered public accounting firm identified the following material weaknesses in our internal control over financial reporting:</w:t>
      </w:r>
    </w:p>
    <w:p>
      <w:pPr>
        <w:spacing w:after="0" w:line="100"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insufficient accounting personnel to enable segregation of duties relating to the general ledger, disbursement, and certain accounting functions;</w:t>
      </w:r>
    </w:p>
    <w:p>
      <w:pPr>
        <w:spacing w:after="0" w:line="165" w:lineRule="exact"/>
        <w:rPr>
          <w:rFonts w:ascii="Times New Roman" w:cs="Times New Roman" w:eastAsia="Times New Roman" w:hAnsi="Times New Roman"/>
          <w:sz w:val="17"/>
          <w:szCs w:val="17"/>
          <w:color w:val="auto"/>
        </w:rPr>
      </w:pPr>
    </w:p>
    <w:p>
      <w:pPr>
        <w:ind w:left="620" w:right="500" w:hanging="307"/>
        <w:spacing w:after="0" w:line="287"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99" w:lineRule="exact"/>
        <w:rPr>
          <w:rFonts w:ascii="Times New Roman" w:cs="Times New Roman" w:eastAsia="Times New Roman" w:hAnsi="Times New Roman"/>
          <w:sz w:val="17"/>
          <w:szCs w:val="17"/>
          <w:color w:val="auto"/>
        </w:rPr>
      </w:pPr>
    </w:p>
    <w:p>
      <w:pPr>
        <w:ind w:left="620" w:right="620" w:hanging="307"/>
        <w:spacing w:after="0" w:line="287"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completed remediation measures related to the material weaknesses and concluded that our internal control over financial reporting was effective as of December 31, 2021.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1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9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9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1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Compliance</w:t>
      </w:r>
    </w:p>
    <w:p>
      <w:pPr>
        <w:spacing w:after="0" w:line="16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7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7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33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 administration issued a statement that withdrew the August 2020 policy announcement, stating that HHS does not have a policy on LDTs that is separate from FDA's longstanding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6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1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2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70"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7"/>
          <w:szCs w:val="17"/>
          <w:i w:val="1"/>
          <w:iCs w:val="1"/>
          <w:color w:val="auto"/>
        </w:rPr>
        <w:t>inter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partes </w:t>
      </w:r>
      <w:r>
        <w:rPr>
          <w:rFonts w:ascii="Times New Roman" w:cs="Times New Roman" w:eastAsia="Times New Roman" w:hAnsi="Times New Roman"/>
          <w:sz w:val="17"/>
          <w:szCs w:val="17"/>
          <w:color w:val="auto"/>
        </w:rPr>
        <w:t>review and derivation proceedings. The America Invents Act and its implementation could increase the uncertainties and costs surrounding the prosecution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patent applications and future patent applications, and the enforcement or defense of our issued patents, all of which could have a material adverse effect on our business, financial condition, results of operations and prospects.</w:t>
      </w:r>
    </w:p>
    <w:p>
      <w:pPr>
        <w:spacing w:after="0" w:line="1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0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76"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timely manner, and if we are unable to do so it could have a material adverse effect on our business, financial condition, results of operation and prospects in various geographies.</w:t>
      </w:r>
    </w:p>
    <w:p>
      <w:pPr>
        <w:spacing w:after="0" w:line="10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7"/>
          <w:szCs w:val="17"/>
          <w:i w:val="1"/>
          <w:iCs w:val="1"/>
          <w:color w:val="auto"/>
        </w:rPr>
        <w:t>ex 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derivation and equivalent proceedings in non-U.S. jurisdictions, such as opposition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the value of our technology could be materially adversely affected and our business could be harmed.</w:t>
      </w:r>
    </w:p>
    <w:p>
      <w:pPr>
        <w:spacing w:after="0" w:line="9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outcome would be unpredictable. In addition, courts outside the United States may be less willing to protect trade secrets.</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1"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protect and enforce our trademarks and trade names, or build name recognition in our markets of interest thereby harming our competitive position.</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22"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our products and technologies, including the Proteograph Product Suite for an adequate amount of time.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18" w:lineRule="exact"/>
        <w:rPr>
          <w:sz w:val="20"/>
          <w:szCs w:val="20"/>
          <w:color w:val="auto"/>
        </w:rPr>
      </w:pPr>
    </w:p>
    <w:p>
      <w:pPr>
        <w:jc w:val="both"/>
        <w:ind w:right="2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2026, without taking into account any possible patent term adjustments or extensions. We are also aware of pending patent applications in Europe and in the United States owned by a third party that are directed to a method of identifying biomarkers in biofluids using nanoparticles and, if issued, is projected to expire in 2037, without taking into account any possible patent term adjustments or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7"/>
          <w:szCs w:val="17"/>
          <w:i w:val="1"/>
          <w:iCs w:val="1"/>
          <w:color w:val="auto"/>
        </w:rPr>
        <w:t xml:space="preserve">ex-parte </w:t>
      </w:r>
      <w:r>
        <w:rPr>
          <w:rFonts w:ascii="Times New Roman" w:cs="Times New Roman" w:eastAsia="Times New Roman" w:hAnsi="Times New Roman"/>
          <w:sz w:val="17"/>
          <w:szCs w:val="17"/>
          <w:color w:val="auto"/>
        </w:rPr>
        <w:t>reexamination,</w:t>
      </w:r>
      <w:r>
        <w:rPr>
          <w:rFonts w:ascii="Times New Roman" w:cs="Times New Roman" w:eastAsia="Times New Roman" w:hAnsi="Times New Roman"/>
          <w:sz w:val="17"/>
          <w:szCs w:val="17"/>
          <w:i w:val="1"/>
          <w:iCs w:val="1"/>
          <w:color w:val="auto"/>
        </w:rPr>
        <w:t xml:space="preserve"> inter partes </w:t>
      </w:r>
      <w:r>
        <w:rPr>
          <w:rFonts w:ascii="Times New Roman" w:cs="Times New Roman" w:eastAsia="Times New Roman" w:hAnsi="Times New Roman"/>
          <w:sz w:val="17"/>
          <w:szCs w:val="17"/>
          <w:color w:val="auto"/>
        </w:rPr>
        <w:t>review, post-grant review proceeding, opposition or other comparable proceeding. However, there can be no assurance that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2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7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118"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1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330"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1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7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spacing w:after="0" w:line="11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Moreover, disputes may also arise between us and our licensor regarding intellectual property subject to a license agreement, including:</w:t>
      </w:r>
    </w:p>
    <w:p>
      <w:pPr>
        <w:spacing w:after="0" w:line="165"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or other obligations under the license agreement;</w:t>
      </w:r>
    </w:p>
    <w:p>
      <w:pPr>
        <w:spacing w:after="0" w:line="165" w:lineRule="exact"/>
        <w:rPr>
          <w:rFonts w:ascii="Times New Roman" w:cs="Times New Roman" w:eastAsia="Times New Roman" w:hAnsi="Times New Roman"/>
          <w:sz w:val="17"/>
          <w:szCs w:val="17"/>
          <w:color w:val="auto"/>
        </w:rPr>
      </w:pPr>
    </w:p>
    <w:p>
      <w:pPr>
        <w:ind w:left="620" w:right="64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the extent to which, our products, technology and processes infringe on intellectual property of the licensor that is not subject to the licensing agreement;</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 and what activities satisfy those diligence obligations;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inventorship and ownership of inventions and know-how resulting from the joint creation or use of intellectual property by our licensor(s);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16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2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7"/>
          <w:szCs w:val="17"/>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7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cannot license rights to use technologies on reasonable terms, we may not be able to commercialize new products in the future.</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122"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7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71"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0" w:lineRule="exact"/>
        <w:rPr>
          <w:sz w:val="20"/>
          <w:szCs w:val="20"/>
          <w:color w:val="auto"/>
        </w:rPr>
      </w:pPr>
    </w:p>
    <w:p>
      <w:pPr>
        <w:ind w:left="620" w:right="20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99"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might not have been the first to make the inventions covered by the issued patent or pending patent application that we license or may own in the future;</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might not have been the first to file patent applications covering certain of our or their inventions;</w:t>
      </w:r>
    </w:p>
    <w:p>
      <w:pPr>
        <w:spacing w:after="0" w:line="165"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spacing w:after="0" w:line="9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patent applications, and our licensed pending patent applications, or those that we may own or license in the future,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76"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hold rights to may be held invalid or unenforceable, including as a result of legal challenges by our competitors;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licensor(s), may not develop additional proprietary technologies that are patentable;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harm our business; and</w:t>
      </w:r>
    </w:p>
    <w:p>
      <w:pPr>
        <w:spacing w:after="0" w:line="165" w:lineRule="exact"/>
        <w:rPr>
          <w:rFonts w:ascii="Times New Roman" w:cs="Times New Roman" w:eastAsia="Times New Roman" w:hAnsi="Times New Roman"/>
          <w:sz w:val="17"/>
          <w:szCs w:val="17"/>
          <w:color w:val="auto"/>
        </w:rPr>
      </w:pPr>
    </w:p>
    <w:p>
      <w:pPr>
        <w:ind w:left="620" w:right="34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for certain trade secrets or know-how, and a third party may subsequently file a patent covering such intellectual property.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any of these events occur, they could materially adversely affect our business, financial condition, results of operations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Class A common stock may not be sustained.</w:t>
      </w:r>
    </w:p>
    <w:p>
      <w:pPr>
        <w:spacing w:after="0" w:line="171"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has been and may continue to be volatile.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 of the factors that may cause the market price of our Class A common stock to fluctuate include, but are not limited to:</w:t>
      </w:r>
    </w:p>
    <w:p>
      <w:pPr>
        <w:spacing w:after="0" w:line="165"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to which our launch and commercialization of our products meets the expectations of securities analysts and investors;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operating results, including fluctuations in our quarterly and annual results;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being less than anticipated or operating expenses being more than anticipated;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or discontinuation of any of our product development and research programs;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or funding of research at academic and research laboratories and institutions, including changes that would affect their ability to purchase our instruments or consumables;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existing or new competitive businesses or technologies;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about new research programs or products of our competitors;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and governmental investigations involving us, our industry or both;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7" w:name="page68"/>
    <w:bookmarkEnd w:id="67"/>
    <w:p>
      <w:pPr>
        <w:spacing w:after="0" w:line="76" w:lineRule="exact"/>
        <w:rPr>
          <w:sz w:val="20"/>
          <w:szCs w:val="20"/>
          <w:color w:val="auto"/>
        </w:rPr>
      </w:pPr>
    </w:p>
    <w:p>
      <w:pPr>
        <w:ind w:left="620" w:right="2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of us or our industry;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expenses related to any of our research and development programs or products;</w:t>
      </w:r>
    </w:p>
    <w:p>
      <w:pPr>
        <w:spacing w:after="0" w:line="165" w:lineRule="exact"/>
        <w:rPr>
          <w:rFonts w:ascii="Times New Roman" w:cs="Times New Roman" w:eastAsia="Times New Roman" w:hAnsi="Times New Roman"/>
          <w:sz w:val="17"/>
          <w:szCs w:val="17"/>
          <w:color w:val="auto"/>
        </w:rPr>
      </w:pPr>
    </w:p>
    <w:p>
      <w:pPr>
        <w:ind w:left="620" w:right="20" w:hanging="307"/>
        <w:spacing w:after="0" w:line="270"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financial results meet the expectations of securities analysts or investors;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announcement or expectation of additional financing efforts;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Class A common stock by us or sales of our Class A common stock or Class B common stock by our insiders or other stockholders;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natural disasters or major catastrophic events.</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1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Class A common stock, which is our publicly-traded class of stock, has one vote per share, and our Class B common stock has ten votes per share, except as otherwise required by law. Our Class B common stock is held by our founders and early investors. As of August 4, 2022, the holders of our Class B common stock hold in the aggregate 40.9% of the voting power of our capital stock.</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6"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17"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Class A common stock by our existing stockholders could cause the price of our Class A common stock to decline.</w:t>
      </w:r>
    </w:p>
    <w:p>
      <w:pPr>
        <w:spacing w:after="0" w:line="9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11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0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not paid dividends in the past and do not expect to pay dividends in the future, and, as a result, any return on investment may be limited to the value of our stock.</w:t>
      </w:r>
    </w:p>
    <w:p>
      <w:pPr>
        <w:spacing w:after="0" w:line="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16"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2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18"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9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0" w:lineRule="exact"/>
        <w:rPr>
          <w:sz w:val="20"/>
          <w:szCs w:val="20"/>
          <w:color w:val="auto"/>
        </w:rPr>
      </w:pPr>
    </w:p>
    <w:p>
      <w:pPr>
        <w:ind w:left="620" w:right="340" w:hanging="307"/>
        <w:spacing w:after="0" w:line="287"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would result in a change in control of our company requires the approval of a majority of our outstanding Class B common stock voting as a separate class;</w:t>
      </w:r>
    </w:p>
    <w:p>
      <w:pPr>
        <w:spacing w:after="0" w:line="99" w:lineRule="exact"/>
        <w:rPr>
          <w:rFonts w:ascii="Times New Roman" w:cs="Times New Roman" w:eastAsia="Times New Roman" w:hAnsi="Times New Roman"/>
          <w:sz w:val="17"/>
          <w:szCs w:val="17"/>
          <w:color w:val="auto"/>
        </w:rPr>
      </w:pPr>
    </w:p>
    <w:p>
      <w:pPr>
        <w:ind w:left="620" w:right="16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13"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99"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amendments to our amended and restated certificate of incorporation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76" w:lineRule="exact"/>
        <w:rPr>
          <w:sz w:val="20"/>
          <w:szCs w:val="20"/>
          <w:color w:val="auto"/>
        </w:rPr>
      </w:pPr>
    </w:p>
    <w:p>
      <w:pPr>
        <w:ind w:left="620" w:right="80" w:hanging="307"/>
        <w:spacing w:after="0" w:line="28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stockholder-proposed amendment to our amended and restated bylaws require the approval of stockholders holding two-thirds of the voting power of our then outstanding capital stock;</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stockholders may only be able to take action at a meeting of stockholders and may not be able to take action by written consent for any matter;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stockholders are be able to act by written consent only if the action is first recommended or approved by the board of directors;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on our board of directors may be filled only by our board of directors and not by stockholders;</w:t>
      </w:r>
    </w:p>
    <w:p>
      <w:pPr>
        <w:spacing w:after="0" w:line="165" w:lineRule="exact"/>
        <w:rPr>
          <w:rFonts w:ascii="Times New Roman" w:cs="Times New Roman" w:eastAsia="Times New Roman" w:hAnsi="Times New Roman"/>
          <w:sz w:val="17"/>
          <w:szCs w:val="17"/>
          <w:color w:val="auto"/>
        </w:rPr>
      </w:pPr>
    </w:p>
    <w:p>
      <w:pPr>
        <w:ind w:left="620" w:right="800" w:hanging="307"/>
        <w:spacing w:after="0" w:line="28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 of the board of directors, chief executive officer or a majority of the board of directors are authorized to call a special meeting of stockholders;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against us can only be brought in Delaware;</w:t>
      </w:r>
    </w:p>
    <w:p>
      <w:pPr>
        <w:spacing w:after="0" w:line="165" w:lineRule="exact"/>
        <w:rPr>
          <w:rFonts w:ascii="Times New Roman" w:cs="Times New Roman" w:eastAsia="Times New Roman" w:hAnsi="Times New Roman"/>
          <w:sz w:val="17"/>
          <w:szCs w:val="17"/>
          <w:color w:val="auto"/>
        </w:rPr>
      </w:pPr>
    </w:p>
    <w:p>
      <w:pPr>
        <w:ind w:left="620" w:right="480" w:hanging="307"/>
        <w:spacing w:after="0" w:line="28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restated certificate of incorporation authorizes undesignated preferred stock, the terms of which may be established and shares of which may be issued, without the approval of the holders of our capital stock; and</w:t>
      </w:r>
    </w:p>
    <w:p>
      <w:pPr>
        <w:spacing w:after="0" w:line="99" w:lineRule="exact"/>
        <w:rPr>
          <w:rFonts w:ascii="Times New Roman" w:cs="Times New Roman" w:eastAsia="Times New Roman" w:hAnsi="Times New Roman"/>
          <w:sz w:val="17"/>
          <w:szCs w:val="17"/>
          <w:color w:val="auto"/>
        </w:rPr>
      </w:pPr>
    </w:p>
    <w:p>
      <w:pPr>
        <w:ind w:left="620" w:right="640" w:hanging="307"/>
        <w:spacing w:after="0" w:line="28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1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As of December 31, 2021 we had U.S. federal and state net operating loss carryforwards (NOLs) of $94.0 million and $84.5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continue to incur significant increased costs and management resources as a result of operating as a public company.</w:t>
      </w:r>
    </w:p>
    <w:p>
      <w:pPr>
        <w:spacing w:after="0" w:line="17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As a public company, we continue to incur significant legal, accounting, compliance and other expenses that we did not incur as a private company. Our management and other personnel need to devote a substantial amount of time and incur significant expense in connection with compliance initiatives. As a public company, we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bear all of the internal and external costs of preparing and distributing periodic public reports in compliance with our obligations under the securities laws.</w:t>
      </w:r>
    </w:p>
    <w:p>
      <w:pPr>
        <w:spacing w:after="0" w:line="16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63"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22"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94"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11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facilities in Redwood City and those of our third-party manufacturers are vulnerable to natural disasters, public health crises, including the impact of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could result in the loss of some or all of such NPs, and we may not be able to replace them without disruption to our customers or at all.</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17"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3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The CPRA will restrict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takes effect on January 1, 2023, on June 8, 2021, Colorado enacted the Colorado Privacy Act, or CPA, which takes effect on July 1, 2023, and on March 24, 2022, Utah enacted the Utah Consumer Privacy Act, or UCPA, which takes effect on December 31, 2023. The CPA, CDPA and UCPA share similarities with and difference from the CCPA,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2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could also impair our efforts to maintain and expand our future customer base, and thereby decrease our revenue.</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3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 during the three months ended June 30,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13" w:lineRule="exact"/>
        <w:rPr>
          <w:sz w:val="20"/>
          <w:szCs w:val="20"/>
          <w:color w:val="auto"/>
        </w:rPr>
      </w:pPr>
    </w:p>
    <w:p>
      <w:pPr>
        <w:ind w:left="80"/>
        <w:spacing w:after="0"/>
        <w:tabs>
          <w:tab w:leader="none" w:pos="2860" w:val="left"/>
          <w:tab w:leader="none" w:pos="5840" w:val="left"/>
          <w:tab w:leader="none" w:pos="7480" w:val="left"/>
          <w:tab w:leader="none" w:pos="8860" w:val="left"/>
          <w:tab w:leader="none" w:pos="99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3"/>
          <w:szCs w:val="13"/>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33153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66"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960" w:type="dxa"/>
            <w:vAlign w:val="bottom"/>
          </w:tcPr>
          <w:p>
            <w:pPr>
              <w:jc w:val="center"/>
              <w:ind w:right="298"/>
              <w:spacing w:after="0"/>
              <w:rPr>
                <w:sz w:val="20"/>
                <w:szCs w:val="20"/>
                <w:color w:val="auto"/>
              </w:rPr>
            </w:pPr>
            <w:r>
              <w:rPr>
                <w:rFonts w:ascii="Times New Roman" w:cs="Times New Roman" w:eastAsia="Times New Roman" w:hAnsi="Times New Roman"/>
                <w:sz w:val="16"/>
                <w:szCs w:val="16"/>
                <w:color w:val="auto"/>
              </w:rPr>
              <w:t>10.1+</w:t>
            </w:r>
          </w:p>
        </w:tc>
        <w:tc>
          <w:tcPr>
            <w:tcW w:w="398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Outside Director Compensation Policy (as amended on June</w:t>
            </w:r>
          </w:p>
        </w:tc>
      </w:tr>
      <w:tr>
        <w:trPr>
          <w:trHeight w:val="173"/>
        </w:trPr>
        <w:tc>
          <w:tcPr>
            <w:tcW w:w="96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74" w:lineRule="exact"/>
              <w:rPr>
                <w:sz w:val="20"/>
                <w:szCs w:val="20"/>
                <w:color w:val="auto"/>
              </w:rPr>
            </w:pPr>
            <w:r>
              <w:rPr>
                <w:rFonts w:ascii="Times New Roman" w:cs="Times New Roman" w:eastAsia="Times New Roman" w:hAnsi="Times New Roman"/>
                <w:sz w:val="16"/>
                <w:szCs w:val="16"/>
                <w:color w:val="0000FF"/>
                <w:w w:val="97"/>
              </w:rPr>
              <w:t>15, 2022)</w:t>
            </w:r>
          </w:p>
        </w:tc>
        <w:tc>
          <w:tcPr>
            <w:tcW w:w="12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r>
      <w:tr>
        <w:trPr>
          <w:trHeight w:val="431"/>
        </w:trPr>
        <w:tc>
          <w:tcPr>
            <w:tcW w:w="960" w:type="dxa"/>
            <w:vAlign w:val="bottom"/>
          </w:tcPr>
          <w:p>
            <w:pPr>
              <w:jc w:val="center"/>
              <w:ind w:right="278"/>
              <w:spacing w:after="0"/>
              <w:rPr>
                <w:sz w:val="20"/>
                <w:szCs w:val="20"/>
                <w:color w:val="auto"/>
              </w:rPr>
            </w:pPr>
            <w:r>
              <w:rPr>
                <w:rFonts w:ascii="Times New Roman" w:cs="Times New Roman" w:eastAsia="Times New Roman" w:hAnsi="Times New Roman"/>
                <w:sz w:val="16"/>
                <w:szCs w:val="16"/>
                <w:color w:val="auto"/>
                <w:w w:val="99"/>
              </w:rPr>
              <w:t>31.1</w:t>
            </w:r>
          </w:p>
        </w:tc>
        <w:tc>
          <w:tcPr>
            <w:tcW w:w="3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w:t>
            </w:r>
          </w:p>
        </w:tc>
        <w:tc>
          <w:tcPr>
            <w:tcW w:w="360" w:type="dxa"/>
            <w:vAlign w:val="bottom"/>
            <w:gridSpan w:val="7"/>
          </w:tcPr>
          <w:p>
            <w:pPr>
              <w:spacing w:after="0"/>
              <w:rPr>
                <w:sz w:val="24"/>
                <w:szCs w:val="24"/>
                <w:color w:val="auto"/>
              </w:rPr>
            </w:pPr>
          </w:p>
        </w:tc>
      </w:tr>
      <w:tr>
        <w:trPr>
          <w:trHeight w:val="173"/>
        </w:trPr>
        <w:tc>
          <w:tcPr>
            <w:tcW w:w="960" w:type="dxa"/>
            <w:vAlign w:val="bottom"/>
          </w:tcPr>
          <w:p>
            <w:pPr>
              <w:spacing w:after="0"/>
              <w:rPr>
                <w:sz w:val="15"/>
                <w:szCs w:val="15"/>
                <w:color w:val="auto"/>
              </w:rPr>
            </w:pPr>
          </w:p>
        </w:tc>
        <w:tc>
          <w:tcPr>
            <w:tcW w:w="3360" w:type="dxa"/>
            <w:vAlign w:val="bottom"/>
            <w:tcBorders>
              <w:bottom w:val="single" w:sz="8" w:color="0000FF"/>
            </w:tcBorders>
            <w:gridSpan w:val="7"/>
          </w:tcPr>
          <w:p>
            <w:pPr>
              <w:spacing w:after="0" w:line="174" w:lineRule="exact"/>
              <w:rPr>
                <w:sz w:val="20"/>
                <w:szCs w:val="20"/>
                <w:color w:val="auto"/>
              </w:rPr>
            </w:pPr>
            <w:r>
              <w:rPr>
                <w:rFonts w:ascii="Times New Roman" w:cs="Times New Roman" w:eastAsia="Times New Roman" w:hAnsi="Times New Roman"/>
                <w:sz w:val="16"/>
                <w:szCs w:val="16"/>
                <w:color w:val="0000FF"/>
              </w:rPr>
              <w:t>Rules 13a-14(a) and 15d-14(a) under the Securities</w:t>
            </w:r>
          </w:p>
        </w:tc>
        <w:tc>
          <w:tcPr>
            <w:tcW w:w="620" w:type="dxa"/>
            <w:vAlign w:val="bottom"/>
            <w:gridSpan w:val="8"/>
          </w:tcPr>
          <w:p>
            <w:pPr>
              <w:spacing w:after="0"/>
              <w:rPr>
                <w:sz w:val="15"/>
                <w:szCs w:val="15"/>
                <w:color w:val="auto"/>
              </w:rPr>
            </w:pPr>
          </w:p>
        </w:tc>
      </w:tr>
      <w:tr>
        <w:trPr>
          <w:trHeight w:val="173"/>
        </w:trPr>
        <w:tc>
          <w:tcPr>
            <w:tcW w:w="960" w:type="dxa"/>
            <w:vAlign w:val="bottom"/>
          </w:tcPr>
          <w:p>
            <w:pPr>
              <w:spacing w:after="0"/>
              <w:rPr>
                <w:sz w:val="15"/>
                <w:szCs w:val="15"/>
                <w:color w:val="auto"/>
              </w:rPr>
            </w:pPr>
          </w:p>
        </w:tc>
        <w:tc>
          <w:tcPr>
            <w:tcW w:w="3880" w:type="dxa"/>
            <w:vAlign w:val="bottom"/>
            <w:tcBorders>
              <w:bottom w:val="single" w:sz="8" w:color="0000FF"/>
            </w:tcBorders>
            <w:gridSpan w:val="11"/>
          </w:tcPr>
          <w:p>
            <w:pPr>
              <w:spacing w:after="0" w:line="174" w:lineRule="exact"/>
              <w:rPr>
                <w:sz w:val="20"/>
                <w:szCs w:val="20"/>
                <w:color w:val="auto"/>
              </w:rPr>
            </w:pPr>
            <w:r>
              <w:rPr>
                <w:rFonts w:ascii="Times New Roman" w:cs="Times New Roman" w:eastAsia="Times New Roman" w:hAnsi="Times New Roman"/>
                <w:sz w:val="16"/>
                <w:szCs w:val="16"/>
                <w:color w:val="0000FF"/>
              </w:rPr>
              <w:t>Exchange Act of 1934, as Adopted Pursuant to Section 302</w:t>
            </w:r>
          </w:p>
        </w:tc>
        <w:tc>
          <w:tcPr>
            <w:tcW w:w="100" w:type="dxa"/>
            <w:vAlign w:val="bottom"/>
            <w:gridSpan w:val="4"/>
          </w:tcPr>
          <w:p>
            <w:pPr>
              <w:spacing w:after="0"/>
              <w:rPr>
                <w:sz w:val="15"/>
                <w:szCs w:val="15"/>
                <w:color w:val="auto"/>
              </w:rPr>
            </w:pPr>
          </w:p>
        </w:tc>
      </w:tr>
      <w:tr>
        <w:trPr>
          <w:trHeight w:val="186"/>
        </w:trPr>
        <w:tc>
          <w:tcPr>
            <w:tcW w:w="960" w:type="dxa"/>
            <w:vAlign w:val="bottom"/>
          </w:tcPr>
          <w:p>
            <w:pPr>
              <w:spacing w:after="0"/>
              <w:rPr>
                <w:sz w:val="16"/>
                <w:szCs w:val="16"/>
                <w:color w:val="auto"/>
              </w:rPr>
            </w:pPr>
          </w:p>
        </w:tc>
        <w:tc>
          <w:tcPr>
            <w:tcW w:w="2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of the Sarbanes-Oxley Act of 2002.</w:t>
            </w:r>
          </w:p>
        </w:tc>
        <w:tc>
          <w:tcPr>
            <w:tcW w:w="1660" w:type="dxa"/>
            <w:vAlign w:val="bottom"/>
            <w:gridSpan w:val="10"/>
          </w:tcPr>
          <w:p>
            <w:pPr>
              <w:spacing w:after="0"/>
              <w:rPr>
                <w:sz w:val="16"/>
                <w:szCs w:val="16"/>
                <w:color w:val="auto"/>
              </w:rPr>
            </w:pPr>
          </w:p>
        </w:tc>
      </w:tr>
      <w:tr>
        <w:trPr>
          <w:trHeight w:val="431"/>
        </w:trPr>
        <w:tc>
          <w:tcPr>
            <w:tcW w:w="960" w:type="dxa"/>
            <w:vAlign w:val="bottom"/>
          </w:tcPr>
          <w:p>
            <w:pPr>
              <w:jc w:val="center"/>
              <w:ind w:right="278"/>
              <w:spacing w:after="0"/>
              <w:rPr>
                <w:sz w:val="20"/>
                <w:szCs w:val="20"/>
                <w:color w:val="auto"/>
              </w:rPr>
            </w:pPr>
            <w:r>
              <w:rPr>
                <w:rFonts w:ascii="Times New Roman" w:cs="Times New Roman" w:eastAsia="Times New Roman" w:hAnsi="Times New Roman"/>
                <w:sz w:val="16"/>
                <w:szCs w:val="16"/>
                <w:color w:val="auto"/>
                <w:w w:val="99"/>
              </w:rPr>
              <w:t>31.2</w:t>
            </w:r>
          </w:p>
        </w:tc>
        <w:tc>
          <w:tcPr>
            <w:tcW w:w="3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w:t>
            </w:r>
          </w:p>
        </w:tc>
      </w:tr>
      <w:tr>
        <w:trPr>
          <w:trHeight w:val="173"/>
        </w:trPr>
        <w:tc>
          <w:tcPr>
            <w:tcW w:w="960" w:type="dxa"/>
            <w:vAlign w:val="bottom"/>
          </w:tcPr>
          <w:p>
            <w:pPr>
              <w:spacing w:after="0"/>
              <w:rPr>
                <w:sz w:val="15"/>
                <w:szCs w:val="15"/>
                <w:color w:val="auto"/>
              </w:rPr>
            </w:pPr>
          </w:p>
        </w:tc>
        <w:tc>
          <w:tcPr>
            <w:tcW w:w="3900" w:type="dxa"/>
            <w:vAlign w:val="bottom"/>
            <w:tcBorders>
              <w:bottom w:val="single" w:sz="8" w:color="0000FF"/>
            </w:tcBorders>
            <w:gridSpan w:val="12"/>
          </w:tcPr>
          <w:p>
            <w:pPr>
              <w:spacing w:after="0" w:line="174" w:lineRule="exact"/>
              <w:rPr>
                <w:sz w:val="20"/>
                <w:szCs w:val="20"/>
                <w:color w:val="auto"/>
              </w:rPr>
            </w:pPr>
            <w:r>
              <w:rPr>
                <w:rFonts w:ascii="Times New Roman" w:cs="Times New Roman" w:eastAsia="Times New Roman" w:hAnsi="Times New Roman"/>
                <w:sz w:val="16"/>
                <w:szCs w:val="16"/>
                <w:color w:val="0000FF"/>
              </w:rPr>
              <w:t>13a-14(a) and 15d-14(a) under the Securities Exchange Act</w:t>
            </w:r>
          </w:p>
        </w:tc>
        <w:tc>
          <w:tcPr>
            <w:tcW w:w="80" w:type="dxa"/>
            <w:vAlign w:val="bottom"/>
            <w:gridSpan w:val="3"/>
          </w:tcPr>
          <w:p>
            <w:pPr>
              <w:spacing w:after="0"/>
              <w:rPr>
                <w:sz w:val="15"/>
                <w:szCs w:val="15"/>
                <w:color w:val="auto"/>
              </w:rPr>
            </w:pPr>
          </w:p>
        </w:tc>
      </w:tr>
      <w:tr>
        <w:trPr>
          <w:trHeight w:val="173"/>
        </w:trPr>
        <w:tc>
          <w:tcPr>
            <w:tcW w:w="960" w:type="dxa"/>
            <w:vAlign w:val="bottom"/>
          </w:tcPr>
          <w:p>
            <w:pPr>
              <w:spacing w:after="0"/>
              <w:rPr>
                <w:sz w:val="15"/>
                <w:szCs w:val="15"/>
                <w:color w:val="auto"/>
              </w:rPr>
            </w:pPr>
          </w:p>
        </w:tc>
        <w:tc>
          <w:tcPr>
            <w:tcW w:w="3340" w:type="dxa"/>
            <w:vAlign w:val="bottom"/>
            <w:tcBorders>
              <w:bottom w:val="single" w:sz="8" w:color="0000FF"/>
            </w:tcBorders>
            <w:gridSpan w:val="6"/>
          </w:tcPr>
          <w:p>
            <w:pPr>
              <w:spacing w:after="0" w:line="174" w:lineRule="exact"/>
              <w:rPr>
                <w:sz w:val="20"/>
                <w:szCs w:val="20"/>
                <w:color w:val="auto"/>
              </w:rPr>
            </w:pPr>
            <w:r>
              <w:rPr>
                <w:rFonts w:ascii="Times New Roman" w:cs="Times New Roman" w:eastAsia="Times New Roman" w:hAnsi="Times New Roman"/>
                <w:sz w:val="16"/>
                <w:szCs w:val="16"/>
                <w:color w:val="0000FF"/>
              </w:rPr>
              <w:t>of 1934, as Adopted Pursuant to Section 302 of the</w:t>
            </w:r>
          </w:p>
        </w:tc>
        <w:tc>
          <w:tcPr>
            <w:tcW w:w="640" w:type="dxa"/>
            <w:vAlign w:val="bottom"/>
            <w:gridSpan w:val="9"/>
          </w:tcPr>
          <w:p>
            <w:pPr>
              <w:spacing w:after="0"/>
              <w:rPr>
                <w:sz w:val="15"/>
                <w:szCs w:val="15"/>
                <w:color w:val="auto"/>
              </w:rPr>
            </w:pPr>
          </w:p>
        </w:tc>
      </w:tr>
      <w:tr>
        <w:trPr>
          <w:trHeight w:val="186"/>
        </w:trPr>
        <w:tc>
          <w:tcPr>
            <w:tcW w:w="960" w:type="dxa"/>
            <w:vAlign w:val="bottom"/>
          </w:tcPr>
          <w:p>
            <w:pPr>
              <w:spacing w:after="0"/>
              <w:rPr>
                <w:sz w:val="16"/>
                <w:szCs w:val="16"/>
                <w:color w:val="auto"/>
              </w:rPr>
            </w:pPr>
          </w:p>
        </w:tc>
        <w:tc>
          <w:tcPr>
            <w:tcW w:w="398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Sarbanes-Oxley Act of 2002.</w:t>
            </w:r>
          </w:p>
        </w:tc>
      </w:tr>
      <w:tr>
        <w:trPr>
          <w:trHeight w:val="20"/>
        </w:trPr>
        <w:tc>
          <w:tcPr>
            <w:tcW w:w="96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1"/>
        </w:trPr>
        <w:tc>
          <w:tcPr>
            <w:tcW w:w="960" w:type="dxa"/>
            <w:vAlign w:val="bottom"/>
          </w:tcPr>
          <w:p>
            <w:pPr>
              <w:jc w:val="center"/>
              <w:ind w:right="278"/>
              <w:spacing w:after="0"/>
              <w:rPr>
                <w:sz w:val="20"/>
                <w:szCs w:val="20"/>
                <w:color w:val="auto"/>
              </w:rPr>
            </w:pPr>
            <w:r>
              <w:rPr>
                <w:rFonts w:ascii="Times New Roman" w:cs="Times New Roman" w:eastAsia="Times New Roman" w:hAnsi="Times New Roman"/>
                <w:sz w:val="16"/>
                <w:szCs w:val="16"/>
                <w:color w:val="auto"/>
                <w:w w:val="99"/>
              </w:rPr>
              <w:t>32.1†</w:t>
            </w:r>
          </w:p>
        </w:tc>
        <w:tc>
          <w:tcPr>
            <w:tcW w:w="3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w:t>
            </w:r>
          </w:p>
        </w:tc>
        <w:tc>
          <w:tcPr>
            <w:tcW w:w="160" w:type="dxa"/>
            <w:vAlign w:val="bottom"/>
            <w:gridSpan w:val="5"/>
          </w:tcPr>
          <w:p>
            <w:pPr>
              <w:spacing w:after="0"/>
              <w:rPr>
                <w:sz w:val="24"/>
                <w:szCs w:val="24"/>
                <w:color w:val="auto"/>
              </w:rPr>
            </w:pPr>
          </w:p>
        </w:tc>
      </w:tr>
      <w:tr>
        <w:trPr>
          <w:trHeight w:val="173"/>
        </w:trPr>
        <w:tc>
          <w:tcPr>
            <w:tcW w:w="960" w:type="dxa"/>
            <w:vAlign w:val="bottom"/>
          </w:tcPr>
          <w:p>
            <w:pPr>
              <w:spacing w:after="0"/>
              <w:rPr>
                <w:sz w:val="15"/>
                <w:szCs w:val="15"/>
                <w:color w:val="auto"/>
              </w:rPr>
            </w:pPr>
          </w:p>
        </w:tc>
        <w:tc>
          <w:tcPr>
            <w:tcW w:w="3980" w:type="dxa"/>
            <w:vAlign w:val="bottom"/>
            <w:gridSpan w:val="15"/>
          </w:tcPr>
          <w:p>
            <w:pPr>
              <w:spacing w:after="0" w:line="174" w:lineRule="exact"/>
              <w:rPr>
                <w:sz w:val="20"/>
                <w:szCs w:val="20"/>
                <w:color w:val="auto"/>
              </w:rPr>
            </w:pPr>
            <w:r>
              <w:rPr>
                <w:rFonts w:ascii="Times New Roman" w:cs="Times New Roman" w:eastAsia="Times New Roman" w:hAnsi="Times New Roman"/>
                <w:sz w:val="16"/>
                <w:szCs w:val="16"/>
                <w:color w:val="0000FF"/>
              </w:rPr>
              <w:t>U.S.C. Section 1350, as Adopted Pursuant to Section 906 of</w:t>
            </w:r>
          </w:p>
        </w:tc>
      </w:tr>
      <w:tr>
        <w:trPr>
          <w:trHeight w:val="173"/>
        </w:trPr>
        <w:tc>
          <w:tcPr>
            <w:tcW w:w="96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4"/>
          </w:tcPr>
          <w:p>
            <w:pPr>
              <w:spacing w:after="0" w:line="174"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1760" w:type="dxa"/>
            <w:vAlign w:val="bottom"/>
            <w:tcBorders>
              <w:top w:val="single" w:sz="8" w:color="0000FF"/>
            </w:tcBorders>
            <w:gridSpan w:val="9"/>
          </w:tcPr>
          <w:p>
            <w:pPr>
              <w:spacing w:after="0"/>
              <w:rPr>
                <w:sz w:val="15"/>
                <w:szCs w:val="15"/>
                <w:color w:val="auto"/>
              </w:rPr>
            </w:pPr>
          </w:p>
        </w:tc>
        <w:tc>
          <w:tcPr>
            <w:tcW w:w="60" w:type="dxa"/>
            <w:vAlign w:val="bottom"/>
            <w:gridSpan w:val="2"/>
          </w:tcPr>
          <w:p>
            <w:pPr>
              <w:spacing w:after="0"/>
              <w:rPr>
                <w:sz w:val="15"/>
                <w:szCs w:val="15"/>
                <w:color w:val="auto"/>
              </w:rPr>
            </w:pPr>
          </w:p>
        </w:tc>
      </w:tr>
      <w:tr>
        <w:trPr>
          <w:trHeight w:val="444"/>
        </w:trPr>
        <w:tc>
          <w:tcPr>
            <w:tcW w:w="960" w:type="dxa"/>
            <w:vAlign w:val="bottom"/>
          </w:tcPr>
          <w:p>
            <w:pPr>
              <w:jc w:val="center"/>
              <w:ind w:right="278"/>
              <w:spacing w:after="0"/>
              <w:rPr>
                <w:sz w:val="20"/>
                <w:szCs w:val="20"/>
                <w:color w:val="auto"/>
              </w:rPr>
            </w:pPr>
            <w:r>
              <w:rPr>
                <w:rFonts w:ascii="Times New Roman" w:cs="Times New Roman" w:eastAsia="Times New Roman" w:hAnsi="Times New Roman"/>
                <w:sz w:val="16"/>
                <w:szCs w:val="16"/>
                <w:color w:val="auto"/>
                <w:w w:val="99"/>
              </w:rPr>
              <w:t>32.2†</w:t>
            </w:r>
          </w:p>
        </w:tc>
        <w:tc>
          <w:tcPr>
            <w:tcW w:w="3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w:t>
            </w:r>
          </w:p>
        </w:tc>
        <w:tc>
          <w:tcPr>
            <w:tcW w:w="200" w:type="dxa"/>
            <w:vAlign w:val="bottom"/>
            <w:gridSpan w:val="6"/>
          </w:tcPr>
          <w:p>
            <w:pPr>
              <w:spacing w:after="0"/>
              <w:rPr>
                <w:sz w:val="24"/>
                <w:szCs w:val="24"/>
                <w:color w:val="auto"/>
              </w:rPr>
            </w:pPr>
          </w:p>
        </w:tc>
      </w:tr>
      <w:tr>
        <w:trPr>
          <w:trHeight w:val="173"/>
        </w:trPr>
        <w:tc>
          <w:tcPr>
            <w:tcW w:w="960" w:type="dxa"/>
            <w:vAlign w:val="bottom"/>
          </w:tcPr>
          <w:p>
            <w:pPr>
              <w:spacing w:after="0"/>
              <w:rPr>
                <w:sz w:val="15"/>
                <w:szCs w:val="15"/>
                <w:color w:val="auto"/>
              </w:rPr>
            </w:pPr>
          </w:p>
        </w:tc>
        <w:tc>
          <w:tcPr>
            <w:tcW w:w="3980" w:type="dxa"/>
            <w:vAlign w:val="bottom"/>
            <w:gridSpan w:val="15"/>
          </w:tcPr>
          <w:p>
            <w:pPr>
              <w:spacing w:after="0" w:line="174" w:lineRule="exact"/>
              <w:rPr>
                <w:sz w:val="20"/>
                <w:szCs w:val="20"/>
                <w:color w:val="auto"/>
              </w:rPr>
            </w:pPr>
            <w:r>
              <w:rPr>
                <w:rFonts w:ascii="Times New Roman" w:cs="Times New Roman" w:eastAsia="Times New Roman" w:hAnsi="Times New Roman"/>
                <w:sz w:val="16"/>
                <w:szCs w:val="16"/>
                <w:color w:val="0000FF"/>
              </w:rPr>
              <w:t>U.S.C. Section 1350, as Adopted Pursuant to Section 906 of</w:t>
            </w:r>
          </w:p>
        </w:tc>
      </w:tr>
      <w:tr>
        <w:trPr>
          <w:trHeight w:val="173"/>
        </w:trPr>
        <w:tc>
          <w:tcPr>
            <w:tcW w:w="960" w:type="dxa"/>
            <w:vAlign w:val="bottom"/>
          </w:tcPr>
          <w:p>
            <w:pPr>
              <w:spacing w:after="0"/>
              <w:rPr>
                <w:sz w:val="15"/>
                <w:szCs w:val="15"/>
                <w:color w:val="auto"/>
              </w:rPr>
            </w:pPr>
          </w:p>
        </w:tc>
        <w:tc>
          <w:tcPr>
            <w:tcW w:w="3920" w:type="dxa"/>
            <w:vAlign w:val="bottom"/>
            <w:tcBorders>
              <w:top w:val="single" w:sz="8" w:color="0000FF"/>
            </w:tcBorders>
            <w:gridSpan w:val="13"/>
          </w:tcPr>
          <w:p>
            <w:pPr>
              <w:spacing w:after="0" w:line="174"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60" w:type="dxa"/>
            <w:vAlign w:val="bottom"/>
            <w:gridSpan w:val="2"/>
          </w:tcPr>
          <w:p>
            <w:pPr>
              <w:spacing w:after="0"/>
              <w:rPr>
                <w:sz w:val="15"/>
                <w:szCs w:val="15"/>
                <w:color w:val="auto"/>
              </w:rPr>
            </w:pPr>
          </w:p>
        </w:tc>
      </w:tr>
      <w:tr>
        <w:trPr>
          <w:trHeight w:val="479"/>
        </w:trPr>
        <w:tc>
          <w:tcPr>
            <w:tcW w:w="960" w:type="dxa"/>
            <w:vAlign w:val="bottom"/>
          </w:tcPr>
          <w:p>
            <w:pPr>
              <w:jc w:val="center"/>
              <w:ind w:right="278"/>
              <w:spacing w:after="0"/>
              <w:rPr>
                <w:sz w:val="20"/>
                <w:szCs w:val="20"/>
                <w:color w:val="auto"/>
              </w:rPr>
            </w:pPr>
            <w:r>
              <w:rPr>
                <w:rFonts w:ascii="Times New Roman" w:cs="Times New Roman" w:eastAsia="Times New Roman" w:hAnsi="Times New Roman"/>
                <w:sz w:val="16"/>
                <w:szCs w:val="16"/>
                <w:color w:val="auto"/>
              </w:rPr>
              <w:t>101.INS</w:t>
            </w:r>
          </w:p>
        </w:tc>
        <w:tc>
          <w:tcPr>
            <w:tcW w:w="21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1840" w:type="dxa"/>
            <w:vAlign w:val="bottom"/>
            <w:gridSpan w:val="12"/>
          </w:tcPr>
          <w:p>
            <w:pPr>
              <w:spacing w:after="0"/>
              <w:rPr>
                <w:sz w:val="24"/>
                <w:szCs w:val="24"/>
                <w:color w:val="auto"/>
              </w:rPr>
            </w:pPr>
          </w:p>
        </w:tc>
      </w:tr>
      <w:tr>
        <w:trPr>
          <w:trHeight w:val="297"/>
        </w:trPr>
        <w:tc>
          <w:tcPr>
            <w:tcW w:w="960" w:type="dxa"/>
            <w:vAlign w:val="bottom"/>
          </w:tcPr>
          <w:p>
            <w:pPr>
              <w:jc w:val="center"/>
              <w:ind w:right="278"/>
              <w:spacing w:after="0"/>
              <w:rPr>
                <w:sz w:val="20"/>
                <w:szCs w:val="20"/>
                <w:color w:val="auto"/>
              </w:rPr>
            </w:pPr>
            <w:r>
              <w:rPr>
                <w:rFonts w:ascii="Times New Roman" w:cs="Times New Roman" w:eastAsia="Times New Roman" w:hAnsi="Times New Roman"/>
                <w:sz w:val="16"/>
                <w:szCs w:val="16"/>
                <w:color w:val="auto"/>
              </w:rPr>
              <w:t>101.SCH</w:t>
            </w:r>
          </w:p>
        </w:tc>
        <w:tc>
          <w:tcPr>
            <w:tcW w:w="39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78"/>
        </w:trPr>
        <w:tc>
          <w:tcPr>
            <w:tcW w:w="960" w:type="dxa"/>
            <w:vAlign w:val="bottom"/>
          </w:tcPr>
          <w:p>
            <w:pPr>
              <w:jc w:val="center"/>
              <w:ind w:right="278"/>
              <w:spacing w:after="0"/>
              <w:rPr>
                <w:sz w:val="20"/>
                <w:szCs w:val="20"/>
                <w:color w:val="auto"/>
              </w:rPr>
            </w:pPr>
            <w:r>
              <w:rPr>
                <w:rFonts w:ascii="Times New Roman" w:cs="Times New Roman" w:eastAsia="Times New Roman" w:hAnsi="Times New Roman"/>
                <w:sz w:val="16"/>
                <w:szCs w:val="16"/>
                <w:color w:val="auto"/>
                <w:w w:val="99"/>
              </w:rPr>
              <w:t>101.CAL</w:t>
            </w:r>
          </w:p>
        </w:tc>
        <w:tc>
          <w:tcPr>
            <w:tcW w:w="39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11"/>
        </w:trPr>
        <w:tc>
          <w:tcPr>
            <w:tcW w:w="960" w:type="dxa"/>
            <w:vAlign w:val="bottom"/>
          </w:tcPr>
          <w:p>
            <w:pPr>
              <w:spacing w:after="0"/>
              <w:rPr>
                <w:sz w:val="18"/>
                <w:szCs w:val="18"/>
                <w:color w:val="auto"/>
              </w:rPr>
            </w:pPr>
          </w:p>
        </w:tc>
        <w:tc>
          <w:tcPr>
            <w:tcW w:w="39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Document</w:t>
            </w: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73" w:lineRule="exact"/>
        <w:rPr>
          <w:sz w:val="20"/>
          <w:szCs w:val="20"/>
          <w:color w:val="auto"/>
        </w:rPr>
      </w:pPr>
    </w:p>
    <w:p>
      <w:pPr>
        <w:sectPr>
          <w:pgSz w:w="11900" w:h="16838" w:orient="portrait"/>
          <w:cols w:equalWidth="0" w:num="2">
            <w:col w:w="9660" w:space="720"/>
            <w:col w:w="840"/>
          </w:cols>
          <w:pgMar w:left="320" w:top="1440" w:right="359" w:bottom="1440" w:gutter="0" w:footer="0" w:header="0"/>
          <w:type w:val="continuous"/>
        </w:sectPr>
      </w:pPr>
    </w:p>
    <w:tbl>
      <w:tblPr>
        <w:tblLayout w:type="fixed"/>
        <w:tblInd w:w="260" w:type="dxa"/>
        <w:tblCellMar>
          <w:top w:w="0" w:type="dxa"/>
          <w:left w:w="0" w:type="dxa"/>
          <w:bottom w:w="0" w:type="dxa"/>
          <w:right w:w="0" w:type="dxa"/>
        </w:tblCellMar>
      </w:tblPr>
      <w:tr>
        <w:trPr>
          <w:trHeight w:val="211"/>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7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r>
        <w:trPr>
          <w:trHeight w:val="211"/>
        </w:trPr>
        <w:tc>
          <w:tcPr>
            <w:tcW w:w="780" w:type="dxa"/>
            <w:vAlign w:val="bottom"/>
          </w:tcPr>
          <w:p>
            <w:pPr>
              <w:spacing w:after="0"/>
              <w:rPr>
                <w:sz w:val="18"/>
                <w:szCs w:val="18"/>
                <w:color w:val="auto"/>
              </w:rPr>
            </w:pPr>
          </w:p>
        </w:tc>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Document</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w:t>
      </w:r>
    </w:p>
    <w:p>
      <w:pPr>
        <w:spacing w:after="0" w:line="28" w:lineRule="exact"/>
        <w:rPr>
          <w:sz w:val="20"/>
          <w:szCs w:val="20"/>
          <w:color w:val="auto"/>
        </w:rPr>
      </w:pPr>
    </w:p>
    <w:p>
      <w:pPr>
        <w:ind w:left="140" w:hanging="137"/>
        <w:spacing w:after="0"/>
        <w:tabs>
          <w:tab w:leader="none" w:pos="1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Indicates management contract or compensatory plan.</w:t>
      </w:r>
    </w:p>
    <w:p>
      <w:pPr>
        <w:spacing w:after="0" w:line="3" w:lineRule="exact"/>
        <w:rPr>
          <w:sz w:val="20"/>
          <w:szCs w:val="20"/>
          <w:color w:val="auto"/>
        </w:rPr>
      </w:pPr>
    </w:p>
    <w:p>
      <w:pPr>
        <w:ind w:left="320" w:hanging="317"/>
        <w:spacing w:after="0" w:line="241" w:lineRule="auto"/>
        <w:tabs>
          <w:tab w:leader="none" w:pos="11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168275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7" w:name="page78"/>
    <w:bookmarkEnd w:id="77"/>
    <w:p>
      <w:pPr>
        <w:spacing w:after="0" w:line="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b w:val="1"/>
          <w:bCs w:val="1"/>
          <w:color w:val="auto"/>
        </w:rPr>
        <w:t>SEER, INC.</w:t>
      </w:r>
    </w:p>
    <w:p>
      <w:pPr>
        <w:spacing w:after="0" w:line="324" w:lineRule="exact"/>
        <w:rPr>
          <w:sz w:val="20"/>
          <w:szCs w:val="20"/>
          <w:color w:val="auto"/>
        </w:rPr>
      </w:pPr>
    </w:p>
    <w:p>
      <w:pPr>
        <w:ind w:left="20"/>
        <w:spacing w:after="0"/>
        <w:tabs>
          <w:tab w:leader="none" w:pos="5840" w:val="left"/>
          <w:tab w:leader="none" w:pos="6440" w:val="left"/>
        </w:tabs>
        <w:rPr>
          <w:sz w:val="20"/>
          <w:szCs w:val="20"/>
          <w:color w:val="auto"/>
        </w:rPr>
      </w:pPr>
      <w:r>
        <w:rPr>
          <w:rFonts w:ascii="Times New Roman" w:cs="Times New Roman" w:eastAsia="Times New Roman" w:hAnsi="Times New Roman"/>
          <w:sz w:val="17"/>
          <w:szCs w:val="17"/>
          <w:color w:val="auto"/>
        </w:rPr>
        <w:t>Date: August 9,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33655</wp:posOffset>
            </wp:positionV>
            <wp:extent cx="30537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Omid Farokhzad, M.D.</w:t>
      </w:r>
    </w:p>
    <w:p>
      <w:pPr>
        <w:spacing w:after="0" w:line="6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Chief Executive Officer and</w:t>
      </w:r>
    </w:p>
    <w:p>
      <w:pPr>
        <w:spacing w:after="0" w:line="2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Chair of the Board of Directors</w:t>
      </w:r>
    </w:p>
    <w:p>
      <w:pPr>
        <w:spacing w:after="0" w:line="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840" w:val="left"/>
          <w:tab w:leader="none" w:pos="6440" w:val="left"/>
        </w:tabs>
        <w:rPr>
          <w:sz w:val="20"/>
          <w:szCs w:val="20"/>
          <w:color w:val="auto"/>
        </w:rPr>
      </w:pPr>
      <w:r>
        <w:rPr>
          <w:rFonts w:ascii="Times New Roman" w:cs="Times New Roman" w:eastAsia="Times New Roman" w:hAnsi="Times New Roman"/>
          <w:sz w:val="17"/>
          <w:szCs w:val="17"/>
          <w:color w:val="auto"/>
        </w:rPr>
        <w:t>Date: August 9,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33655</wp:posOffset>
            </wp:positionV>
            <wp:extent cx="30537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David R. Horn</w:t>
      </w:r>
    </w:p>
    <w:p>
      <w:pPr>
        <w:spacing w:after="0" w:line="6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 and Accounting Officer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700"/>
          </w:cols>
          <w:pgMar w:left="320" w:top="1440" w:right="879" w:bottom="1440" w:gutter="0" w:footer="0" w:header="0"/>
        </w:sectPr>
      </w:pPr>
    </w:p>
    <w:bookmarkStart w:id="78" w:name="page79"/>
    <w:bookmarkEnd w:id="78"/>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SEER,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OUTSIDE DIRECTOR COMPENSATION POLICY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 restated effective as of June 15, 2022 (the “Restatement Date”))</w:t>
      </w:r>
    </w:p>
    <w:p>
      <w:pPr>
        <w:spacing w:after="0" w:line="377"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Seer,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the granting of equity and cash compensation to members of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members of the Board,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represents an effective tool to attract, retain and reward Directors who are not employees of the Company (“</w:t>
      </w:r>
      <w:r>
        <w:rPr>
          <w:rFonts w:ascii="Times New Roman" w:cs="Times New Roman" w:eastAsia="Times New Roman" w:hAnsi="Times New Roman"/>
          <w:sz w:val="21"/>
          <w:szCs w:val="21"/>
          <w:b w:val="1"/>
          <w:bCs w:val="1"/>
          <w:color w:val="auto"/>
        </w:rPr>
        <w:t>Outside Directors</w:t>
      </w:r>
      <w:r>
        <w:rPr>
          <w:rFonts w:ascii="Times New Roman" w:cs="Times New Roman" w:eastAsia="Times New Roman" w:hAnsi="Times New Roman"/>
          <w:sz w:val="21"/>
          <w:szCs w:val="21"/>
          <w:color w:val="auto"/>
        </w:rPr>
        <w:t>”). This Outside Director Compensation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43" w:lineRule="exact"/>
        <w:rPr>
          <w:sz w:val="20"/>
          <w:szCs w:val="20"/>
          <w:color w:val="auto"/>
        </w:rPr>
      </w:pPr>
    </w:p>
    <w:p>
      <w:pPr>
        <w:jc w:val="both"/>
        <w:ind w:firstLine="622"/>
        <w:spacing w:after="0" w:line="218" w:lineRule="auto"/>
        <w:tabs>
          <w:tab w:leader="none" w:pos="100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This Policy, as initially adopted and prior to its amendment and restatement herein, became effective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cs="Times New Roman" w:eastAsia="Times New Roman" w:hAnsi="Times New Roman"/>
          <w:sz w:val="21"/>
          <w:szCs w:val="21"/>
          <w:b w:val="1"/>
          <w:bCs w:val="1"/>
          <w:color w:val="auto"/>
        </w:rPr>
        <w:t>Registration Date</w:t>
      </w:r>
      <w:r>
        <w:rPr>
          <w:rFonts w:ascii="Times New Roman" w:cs="Times New Roman" w:eastAsia="Times New Roman" w:hAnsi="Times New Roman"/>
          <w:sz w:val="21"/>
          <w:szCs w:val="21"/>
          <w:color w:val="auto"/>
        </w:rPr>
        <w:t>,” and the effective date of this Policy, the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This Policy, as amended and restated, is effective as of the Restatement Date.</w:t>
      </w:r>
    </w:p>
    <w:p>
      <w:pPr>
        <w:spacing w:after="0" w:line="140"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Cash Compensation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b w:val="1"/>
          <w:bCs w:val="1"/>
          <w:color w:val="auto"/>
        </w:rPr>
        <w:t>Board Member Annual Cash Retainer</w:t>
      </w:r>
      <w:r>
        <w:rPr>
          <w:rFonts w:ascii="Times New Roman" w:cs="Times New Roman" w:eastAsia="Times New Roman" w:hAnsi="Times New Roman"/>
          <w:sz w:val="21"/>
          <w:szCs w:val="21"/>
          <w:color w:val="auto"/>
        </w:rPr>
        <w:t>. On and following the Effective Date, each Outside Director will be paid an annual cash retainer of $40,000. There are no per meeting attendance fees for attending Board meetings or meetings of any committee of the Board.</w:t>
      </w:r>
    </w:p>
    <w:p>
      <w:pPr>
        <w:spacing w:after="0" w:line="143"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b w:val="1"/>
          <w:bCs w:val="1"/>
          <w:color w:val="auto"/>
        </w:rPr>
        <w:t>Additional Annual Cash Retainers</w:t>
      </w:r>
      <w:r>
        <w:rPr>
          <w:rFonts w:ascii="Times New Roman" w:cs="Times New Roman" w:eastAsia="Times New Roman" w:hAnsi="Times New Roman"/>
          <w:sz w:val="21"/>
          <w:szCs w:val="21"/>
          <w:color w:val="auto"/>
        </w:rPr>
        <w:t xml:space="preserve"> . On and following the Restatement Date, each Outside Director who serves as the Lead Independent Director, or the chair or a member of a committee of the Board, will be eligible to earn additional annual fees as follows:</w:t>
      </w:r>
    </w:p>
    <w:p>
      <w:pPr>
        <w:sectPr>
          <w:pgSz w:w="11900" w:h="16838" w:orient="portrait"/>
          <w:cols w:equalWidth="0" w:num="1">
            <w:col w:w="11240"/>
          </w:cols>
          <w:pgMar w:left="320" w:top="1440"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68"/>
        </w:trPr>
        <w:tc>
          <w:tcPr>
            <w:tcW w:w="7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Lead Independent Director:</w:t>
            </w:r>
          </w:p>
        </w:tc>
        <w:tc>
          <w:tcPr>
            <w:tcW w:w="382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$25,000</w:t>
            </w:r>
          </w:p>
        </w:tc>
      </w:tr>
      <w:tr>
        <w:trPr>
          <w:trHeight w:val="106"/>
        </w:trPr>
        <w:tc>
          <w:tcPr>
            <w:tcW w:w="7400" w:type="dxa"/>
            <w:vAlign w:val="bottom"/>
          </w:tcPr>
          <w:p>
            <w:pPr>
              <w:spacing w:after="0"/>
              <w:rPr>
                <w:sz w:val="9"/>
                <w:szCs w:val="9"/>
                <w:color w:val="auto"/>
              </w:rPr>
            </w:pPr>
          </w:p>
        </w:tc>
        <w:tc>
          <w:tcPr>
            <w:tcW w:w="3820" w:type="dxa"/>
            <w:vAlign w:val="bottom"/>
          </w:tcPr>
          <w:p>
            <w:pPr>
              <w:spacing w:after="0"/>
              <w:rPr>
                <w:sz w:val="9"/>
                <w:szCs w:val="9"/>
                <w:color w:val="auto"/>
              </w:rPr>
            </w:pPr>
          </w:p>
        </w:tc>
      </w:tr>
      <w:tr>
        <w:trPr>
          <w:trHeight w:val="268"/>
        </w:trPr>
        <w:tc>
          <w:tcPr>
            <w:tcW w:w="74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1"/>
                <w:szCs w:val="21"/>
                <w:color w:val="auto"/>
              </w:rPr>
              <w:t>Audit Committee Chair:</w:t>
            </w:r>
          </w:p>
        </w:tc>
        <w:tc>
          <w:tcPr>
            <w:tcW w:w="3820" w:type="dxa"/>
            <w:vAlign w:val="bottom"/>
            <w:shd w:val="clear" w:color="auto" w:fill="D9D9D9"/>
          </w:tcPr>
          <w:p>
            <w:pPr>
              <w:ind w:left="2380"/>
              <w:spacing w:after="0"/>
              <w:rPr>
                <w:sz w:val="20"/>
                <w:szCs w:val="20"/>
                <w:color w:val="auto"/>
              </w:rPr>
            </w:pPr>
            <w:r>
              <w:rPr>
                <w:rFonts w:ascii="Times New Roman" w:cs="Times New Roman" w:eastAsia="Times New Roman" w:hAnsi="Times New Roman"/>
                <w:sz w:val="21"/>
                <w:szCs w:val="21"/>
                <w:color w:val="auto"/>
              </w:rPr>
              <w:t>$20,000</w:t>
            </w:r>
          </w:p>
        </w:tc>
      </w:tr>
      <w:tr>
        <w:trPr>
          <w:trHeight w:val="93"/>
        </w:trPr>
        <w:tc>
          <w:tcPr>
            <w:tcW w:w="7400" w:type="dxa"/>
            <w:vAlign w:val="bottom"/>
            <w:shd w:val="clear" w:color="auto" w:fill="D9D9D9"/>
          </w:tcPr>
          <w:p>
            <w:pPr>
              <w:spacing w:after="0"/>
              <w:rPr>
                <w:sz w:val="8"/>
                <w:szCs w:val="8"/>
                <w:color w:val="auto"/>
              </w:rPr>
            </w:pPr>
          </w:p>
        </w:tc>
        <w:tc>
          <w:tcPr>
            <w:tcW w:w="3820" w:type="dxa"/>
            <w:vAlign w:val="bottom"/>
            <w:shd w:val="clear" w:color="auto" w:fill="D9D9D9"/>
          </w:tcPr>
          <w:p>
            <w:pPr>
              <w:spacing w:after="0"/>
              <w:rPr>
                <w:sz w:val="8"/>
                <w:szCs w:val="8"/>
                <w:color w:val="auto"/>
              </w:rPr>
            </w:pPr>
          </w:p>
        </w:tc>
      </w:tr>
      <w:tr>
        <w:trPr>
          <w:trHeight w:val="258"/>
        </w:trPr>
        <w:tc>
          <w:tcPr>
            <w:tcW w:w="7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Audit Committee Member:</w:t>
            </w:r>
          </w:p>
        </w:tc>
        <w:tc>
          <w:tcPr>
            <w:tcW w:w="3820" w:type="dxa"/>
            <w:vAlign w:val="bottom"/>
          </w:tcPr>
          <w:p>
            <w:pPr>
              <w:ind w:left="2320"/>
              <w:spacing w:after="0"/>
              <w:rPr>
                <w:sz w:val="20"/>
                <w:szCs w:val="20"/>
                <w:color w:val="auto"/>
              </w:rPr>
            </w:pPr>
            <w:r>
              <w:rPr>
                <w:rFonts w:ascii="Times New Roman" w:cs="Times New Roman" w:eastAsia="Times New Roman" w:hAnsi="Times New Roman"/>
                <w:sz w:val="21"/>
                <w:szCs w:val="21"/>
                <w:color w:val="auto"/>
              </w:rPr>
              <w:t>$10,000</w:t>
            </w:r>
          </w:p>
        </w:tc>
      </w:tr>
      <w:tr>
        <w:trPr>
          <w:trHeight w:val="268"/>
        </w:trPr>
        <w:tc>
          <w:tcPr>
            <w:tcW w:w="74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1"/>
                <w:szCs w:val="21"/>
                <w:color w:val="auto"/>
              </w:rPr>
              <w:t>Talent and Compensation Committee Chair:</w:t>
            </w:r>
          </w:p>
        </w:tc>
        <w:tc>
          <w:tcPr>
            <w:tcW w:w="3820" w:type="dxa"/>
            <w:vAlign w:val="bottom"/>
            <w:shd w:val="clear" w:color="auto" w:fill="D9D9D9"/>
          </w:tcPr>
          <w:p>
            <w:pPr>
              <w:ind w:left="2380"/>
              <w:spacing w:after="0"/>
              <w:rPr>
                <w:sz w:val="20"/>
                <w:szCs w:val="20"/>
                <w:color w:val="auto"/>
              </w:rPr>
            </w:pPr>
            <w:r>
              <w:rPr>
                <w:rFonts w:ascii="Times New Roman" w:cs="Times New Roman" w:eastAsia="Times New Roman" w:hAnsi="Times New Roman"/>
                <w:sz w:val="21"/>
                <w:szCs w:val="21"/>
                <w:color w:val="auto"/>
              </w:rPr>
              <w:t>$15,000</w:t>
            </w:r>
          </w:p>
        </w:tc>
      </w:tr>
      <w:tr>
        <w:trPr>
          <w:trHeight w:val="93"/>
        </w:trPr>
        <w:tc>
          <w:tcPr>
            <w:tcW w:w="7400" w:type="dxa"/>
            <w:vAlign w:val="bottom"/>
            <w:shd w:val="clear" w:color="auto" w:fill="D9D9D9"/>
          </w:tcPr>
          <w:p>
            <w:pPr>
              <w:spacing w:after="0"/>
              <w:rPr>
                <w:sz w:val="8"/>
                <w:szCs w:val="8"/>
                <w:color w:val="auto"/>
              </w:rPr>
            </w:pPr>
          </w:p>
        </w:tc>
        <w:tc>
          <w:tcPr>
            <w:tcW w:w="3820" w:type="dxa"/>
            <w:vAlign w:val="bottom"/>
            <w:shd w:val="clear" w:color="auto" w:fill="D9D9D9"/>
          </w:tcPr>
          <w:p>
            <w:pPr>
              <w:spacing w:after="0"/>
              <w:rPr>
                <w:sz w:val="8"/>
                <w:szCs w:val="8"/>
                <w:color w:val="auto"/>
              </w:rPr>
            </w:pPr>
          </w:p>
        </w:tc>
      </w:tr>
      <w:tr>
        <w:trPr>
          <w:trHeight w:val="268"/>
        </w:trPr>
        <w:tc>
          <w:tcPr>
            <w:tcW w:w="7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Talent and Compensation Committee Member:</w:t>
            </w:r>
          </w:p>
        </w:tc>
        <w:tc>
          <w:tcPr>
            <w:tcW w:w="382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$7,500</w:t>
            </w:r>
          </w:p>
        </w:tc>
      </w:tr>
      <w:tr>
        <w:trPr>
          <w:trHeight w:val="93"/>
        </w:trPr>
        <w:tc>
          <w:tcPr>
            <w:tcW w:w="7400" w:type="dxa"/>
            <w:vAlign w:val="bottom"/>
          </w:tcPr>
          <w:p>
            <w:pPr>
              <w:spacing w:after="0"/>
              <w:rPr>
                <w:sz w:val="8"/>
                <w:szCs w:val="8"/>
                <w:color w:val="auto"/>
              </w:rPr>
            </w:pPr>
          </w:p>
        </w:tc>
        <w:tc>
          <w:tcPr>
            <w:tcW w:w="3820" w:type="dxa"/>
            <w:vAlign w:val="bottom"/>
          </w:tcPr>
          <w:p>
            <w:pPr>
              <w:spacing w:after="0"/>
              <w:rPr>
                <w:sz w:val="8"/>
                <w:szCs w:val="8"/>
                <w:color w:val="auto"/>
              </w:rPr>
            </w:pPr>
          </w:p>
        </w:tc>
      </w:tr>
      <w:tr>
        <w:trPr>
          <w:trHeight w:val="268"/>
        </w:trPr>
        <w:tc>
          <w:tcPr>
            <w:tcW w:w="74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1"/>
                <w:szCs w:val="21"/>
                <w:color w:val="auto"/>
              </w:rPr>
              <w:t>Corporate Governance and Nominating Committee Chair:</w:t>
            </w:r>
          </w:p>
        </w:tc>
        <w:tc>
          <w:tcPr>
            <w:tcW w:w="3820" w:type="dxa"/>
            <w:vAlign w:val="bottom"/>
            <w:shd w:val="clear" w:color="auto" w:fill="D9D9D9"/>
          </w:tcPr>
          <w:p>
            <w:pPr>
              <w:ind w:left="2380"/>
              <w:spacing w:after="0"/>
              <w:rPr>
                <w:sz w:val="20"/>
                <w:szCs w:val="20"/>
                <w:color w:val="auto"/>
              </w:rPr>
            </w:pPr>
            <w:r>
              <w:rPr>
                <w:rFonts w:ascii="Times New Roman" w:cs="Times New Roman" w:eastAsia="Times New Roman" w:hAnsi="Times New Roman"/>
                <w:sz w:val="21"/>
                <w:szCs w:val="21"/>
                <w:color w:val="auto"/>
              </w:rPr>
              <w:t>$10,000</w:t>
            </w:r>
          </w:p>
        </w:tc>
      </w:tr>
      <w:tr>
        <w:trPr>
          <w:trHeight w:val="93"/>
        </w:trPr>
        <w:tc>
          <w:tcPr>
            <w:tcW w:w="7400" w:type="dxa"/>
            <w:vAlign w:val="bottom"/>
            <w:shd w:val="clear" w:color="auto" w:fill="D9D9D9"/>
          </w:tcPr>
          <w:p>
            <w:pPr>
              <w:spacing w:after="0"/>
              <w:rPr>
                <w:sz w:val="8"/>
                <w:szCs w:val="8"/>
                <w:color w:val="auto"/>
              </w:rPr>
            </w:pPr>
          </w:p>
        </w:tc>
        <w:tc>
          <w:tcPr>
            <w:tcW w:w="3820" w:type="dxa"/>
            <w:vAlign w:val="bottom"/>
            <w:shd w:val="clear" w:color="auto" w:fill="D9D9D9"/>
          </w:tcPr>
          <w:p>
            <w:pPr>
              <w:spacing w:after="0"/>
              <w:rPr>
                <w:sz w:val="8"/>
                <w:szCs w:val="8"/>
                <w:color w:val="auto"/>
              </w:rPr>
            </w:pPr>
          </w:p>
        </w:tc>
      </w:tr>
      <w:tr>
        <w:trPr>
          <w:trHeight w:val="268"/>
        </w:trPr>
        <w:tc>
          <w:tcPr>
            <w:tcW w:w="7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Corporate Governance and Nominating Committee Member:</w:t>
            </w:r>
          </w:p>
        </w:tc>
        <w:tc>
          <w:tcPr>
            <w:tcW w:w="382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$5,000</w:t>
            </w:r>
          </w:p>
        </w:tc>
      </w:tr>
      <w:tr>
        <w:trPr>
          <w:trHeight w:val="93"/>
        </w:trPr>
        <w:tc>
          <w:tcPr>
            <w:tcW w:w="7400" w:type="dxa"/>
            <w:vAlign w:val="bottom"/>
          </w:tcPr>
          <w:p>
            <w:pPr>
              <w:spacing w:after="0"/>
              <w:rPr>
                <w:sz w:val="8"/>
                <w:szCs w:val="8"/>
                <w:color w:val="auto"/>
              </w:rPr>
            </w:pPr>
          </w:p>
        </w:tc>
        <w:tc>
          <w:tcPr>
            <w:tcW w:w="3820" w:type="dxa"/>
            <w:vAlign w:val="bottom"/>
          </w:tcPr>
          <w:p>
            <w:pPr>
              <w:spacing w:after="0"/>
              <w:rPr>
                <w:sz w:val="8"/>
                <w:szCs w:val="8"/>
                <w:color w:val="auto"/>
              </w:rPr>
            </w:pPr>
          </w:p>
        </w:tc>
      </w:tr>
      <w:tr>
        <w:trPr>
          <w:trHeight w:val="258"/>
        </w:trPr>
        <w:tc>
          <w:tcPr>
            <w:tcW w:w="74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1"/>
                <w:szCs w:val="21"/>
                <w:color w:val="auto"/>
              </w:rPr>
              <w:t>Science and Technology Committee Chair:</w:t>
            </w:r>
          </w:p>
        </w:tc>
        <w:tc>
          <w:tcPr>
            <w:tcW w:w="3820" w:type="dxa"/>
            <w:vAlign w:val="bottom"/>
            <w:shd w:val="clear" w:color="auto" w:fill="D9D9D9"/>
          </w:tcPr>
          <w:p>
            <w:pPr>
              <w:ind w:left="2320"/>
              <w:spacing w:after="0"/>
              <w:rPr>
                <w:sz w:val="20"/>
                <w:szCs w:val="20"/>
                <w:color w:val="auto"/>
              </w:rPr>
            </w:pPr>
            <w:r>
              <w:rPr>
                <w:rFonts w:ascii="Times New Roman" w:cs="Times New Roman" w:eastAsia="Times New Roman" w:hAnsi="Times New Roman"/>
                <w:sz w:val="21"/>
                <w:szCs w:val="21"/>
                <w:color w:val="auto"/>
              </w:rPr>
              <w:t>$10,000</w:t>
            </w:r>
          </w:p>
        </w:tc>
      </w:tr>
      <w:tr>
        <w:trPr>
          <w:trHeight w:val="268"/>
        </w:trPr>
        <w:tc>
          <w:tcPr>
            <w:tcW w:w="74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Science and Technology Committee Member:</w:t>
            </w:r>
          </w:p>
        </w:tc>
        <w:tc>
          <w:tcPr>
            <w:tcW w:w="382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$5,000</w:t>
            </w:r>
          </w:p>
        </w:tc>
      </w:tr>
    </w:tbl>
    <w:p>
      <w:pPr>
        <w:spacing w:after="0" w:line="352"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Lead Independent Director will receive the annual fee for services provided in such role as well as the annual fee as an Outside Director.</w:t>
      </w:r>
    </w:p>
    <w:p>
      <w:pPr>
        <w:spacing w:after="0" w:line="142" w:lineRule="exact"/>
        <w:rPr>
          <w:sz w:val="20"/>
          <w:szCs w:val="20"/>
          <w:color w:val="auto"/>
        </w:rPr>
      </w:pPr>
    </w:p>
    <w:p>
      <w:pPr>
        <w:jc w:val="both"/>
        <w:ind w:firstLine="1238"/>
        <w:spacing w:after="0" w:line="214"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b w:val="1"/>
          <w:bCs w:val="1"/>
          <w:color w:val="auto"/>
        </w:rPr>
        <w:t>Payment Timing and Proration</w:t>
      </w:r>
      <w:r>
        <w:rPr>
          <w:rFonts w:ascii="Times New Roman" w:cs="Times New Roman" w:eastAsia="Times New Roman" w:hAnsi="Times New Roman"/>
          <w:sz w:val="21"/>
          <w:szCs w:val="21"/>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1"/>
          <w:szCs w:val="21"/>
          <w:b w:val="1"/>
          <w:bCs w:val="1"/>
          <w:color w:val="auto"/>
        </w:rPr>
        <w:t>Fiscal Quarter</w:t>
      </w:r>
      <w:r>
        <w:rPr>
          <w:rFonts w:ascii="Times New Roman" w:cs="Times New Roman" w:eastAsia="Times New Roman" w:hAnsi="Times New Roman"/>
          <w:sz w:val="21"/>
          <w:szCs w:val="21"/>
          <w:color w:val="auto"/>
        </w:rPr>
        <w:t>”), and such payment will be made no later than thirty (30) days following the end of such immediately preceding Fiscal Quarter. For clarity, an Outside Director who has served as an Outside Director, as a member of an applicable committee (or chair thereof), or as Lead Independent Director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w:t>
      </w:r>
    </w:p>
    <w:p>
      <w:pPr>
        <w:spacing w:after="0" w:line="143" w:lineRule="exact"/>
        <w:rPr>
          <w:sz w:val="20"/>
          <w:szCs w:val="20"/>
          <w:color w:val="auto"/>
        </w:rPr>
      </w:pPr>
    </w:p>
    <w:p>
      <w:pPr>
        <w:jc w:val="both"/>
        <w:ind w:firstLine="622"/>
        <w:spacing w:after="0" w:line="221" w:lineRule="auto"/>
        <w:tabs>
          <w:tab w:leader="none" w:pos="10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Compensation</w:t>
      </w:r>
      <w:r>
        <w:rPr>
          <w:rFonts w:ascii="Times New Roman" w:cs="Times New Roman" w:eastAsia="Times New Roman" w:hAnsi="Times New Roman"/>
          <w:sz w:val="21"/>
          <w:szCs w:val="21"/>
          <w:color w:val="auto"/>
        </w:rPr>
        <w:t>. Outside Directors will be eligible to receive all types of Awards (except Incentive Stock Options)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including discretionary Awards not covered under this Policy. All grants of Awards to Outside Directors pursuant to Sections 3.2 and 3.3 of this Policy will be automatic and nondiscretionary, except as otherwise provided herein, and will be made in accordance with the following provisions:</w:t>
      </w:r>
    </w:p>
    <w:p>
      <w:pPr>
        <w:spacing w:after="0" w:line="142"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color w:val="auto"/>
        </w:rPr>
        <w:t>No Discretion</w:t>
      </w:r>
      <w:r>
        <w:rPr>
          <w:rFonts w:ascii="Times New Roman" w:cs="Times New Roman" w:eastAsia="Times New Roman" w:hAnsi="Times New Roman"/>
          <w:sz w:val="21"/>
          <w:szCs w:val="21"/>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142"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color w:val="auto"/>
        </w:rPr>
        <w:t>Initial Awards</w:t>
      </w:r>
      <w:r>
        <w:rPr>
          <w:rFonts w:ascii="Times New Roman" w:cs="Times New Roman" w:eastAsia="Times New Roman" w:hAnsi="Times New Roman"/>
          <w:sz w:val="21"/>
          <w:szCs w:val="21"/>
          <w:color w:val="auto"/>
        </w:rPr>
        <w:t>. Each individual who first becomes an Outside Director on or following the Restatement Date automatically will be granted an award of Options (an “</w:t>
      </w:r>
      <w:r>
        <w:rPr>
          <w:rFonts w:ascii="Times New Roman" w:cs="Times New Roman" w:eastAsia="Times New Roman" w:hAnsi="Times New Roman"/>
          <w:sz w:val="21"/>
          <w:szCs w:val="21"/>
          <w:b w:val="1"/>
          <w:bCs w:val="1"/>
          <w:color w:val="auto"/>
        </w:rPr>
        <w:t>Initial Option Award</w:t>
      </w:r>
      <w:r>
        <w:rPr>
          <w:rFonts w:ascii="Times New Roman" w:cs="Times New Roman" w:eastAsia="Times New Roman" w:hAnsi="Times New Roman"/>
          <w:sz w:val="21"/>
          <w:szCs w:val="21"/>
          <w:color w:val="auto"/>
        </w:rPr>
        <w:t>”) and an award of Restricted Stock Units (an “</w:t>
      </w:r>
      <w:r>
        <w:rPr>
          <w:rFonts w:ascii="Times New Roman" w:cs="Times New Roman" w:eastAsia="Times New Roman" w:hAnsi="Times New Roman"/>
          <w:sz w:val="21"/>
          <w:szCs w:val="21"/>
          <w:b w:val="1"/>
          <w:bCs w:val="1"/>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RSU Award</w:t>
      </w:r>
      <w:r>
        <w:rPr>
          <w:rFonts w:ascii="Times New Roman" w:cs="Times New Roman" w:eastAsia="Times New Roman" w:hAnsi="Times New Roman"/>
          <w:sz w:val="21"/>
          <w:szCs w:val="21"/>
          <w:color w:val="auto"/>
        </w:rPr>
        <w:t>” and together with the Initial Option Award, the “</w:t>
      </w:r>
      <w:r>
        <w:rPr>
          <w:rFonts w:ascii="Times New Roman" w:cs="Times New Roman" w:eastAsia="Times New Roman" w:hAnsi="Times New Roman"/>
          <w:sz w:val="21"/>
          <w:szCs w:val="21"/>
          <w:b w:val="1"/>
          <w:bCs w:val="1"/>
          <w:color w:val="auto"/>
        </w:rPr>
        <w:t>Initial Awards</w:t>
      </w:r>
      <w:r>
        <w:rPr>
          <w:rFonts w:ascii="Times New Roman" w:cs="Times New Roman" w:eastAsia="Times New Roman" w:hAnsi="Times New Roman"/>
          <w:sz w:val="21"/>
          <w:szCs w:val="21"/>
          <w:color w:val="auto"/>
        </w:rPr>
        <w:t>”) together having an aggregate Value as of the Initial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Awards’ grant date equal to $495,489, with the Initial Option Award having a Value equal to sixty-seven percent (67%) of such dollar amount, and the Initial RSU Award having a Value equal to thirty-three percent (33%) of such dollar amount, subject to Section 3.4 below. The grant date of the Initial Awards will be the first Trading Day on or after the date on which</w:t>
      </w:r>
    </w:p>
    <w:p>
      <w:pPr>
        <w:sectPr>
          <w:pgSz w:w="11900" w:h="16838" w:orient="portrait"/>
          <w:cols w:equalWidth="0" w:num="1">
            <w:col w:w="11240"/>
          </w:cols>
          <w:pgMar w:left="320" w:top="1390" w:right="339" w:bottom="1440" w:gutter="0" w:footer="0" w:header="0"/>
        </w:sectPr>
      </w:pPr>
    </w:p>
    <w:bookmarkStart w:id="80" w:name="page81"/>
    <w:bookmarkEnd w:id="80"/>
    <w:p>
      <w:pPr>
        <w:spacing w:after="0" w:line="10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such individual first becomes an Outside Director (such first date as an Outside Director, the “</w:t>
      </w:r>
      <w:r>
        <w:rPr>
          <w:rFonts w:ascii="Times New Roman" w:cs="Times New Roman" w:eastAsia="Times New Roman" w:hAnsi="Times New Roman"/>
          <w:sz w:val="21"/>
          <w:szCs w:val="21"/>
          <w:b w:val="1"/>
          <w:bCs w:val="1"/>
          <w:color w:val="auto"/>
        </w:rPr>
        <w:t>Initial Start Date</w:t>
      </w:r>
      <w:r>
        <w:rPr>
          <w:rFonts w:ascii="Times New Roman" w:cs="Times New Roman" w:eastAsia="Times New Roman" w:hAnsi="Times New Roman"/>
          <w:sz w:val="21"/>
          <w:szCs w:val="21"/>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any Initial Awards. Each Initial Award will be scheduled to vest as to one-third (1/3rd) of the Shares subject to the Initial Award on each of the one (1), two (2) and three (3) year anniversaries of the Initial Start Date, subject to the Outside Director remaining a Service Provider through the applicable vesting date.</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color w:val="auto"/>
        </w:rPr>
        <w:t>Annual Award</w:t>
      </w:r>
      <w:r>
        <w:rPr>
          <w:rFonts w:ascii="Times New Roman" w:cs="Times New Roman" w:eastAsia="Times New Roman" w:hAnsi="Times New Roman"/>
          <w:sz w:val="20"/>
          <w:szCs w:val="20"/>
          <w:color w:val="auto"/>
        </w:rPr>
        <w:t>. On the date of each Annual Meeting of the Company’s stockholders (an “</w:t>
      </w:r>
      <w:r>
        <w:rPr>
          <w:rFonts w:ascii="Times New Roman" w:cs="Times New Roman" w:eastAsia="Times New Roman" w:hAnsi="Times New Roman"/>
          <w:sz w:val="20"/>
          <w:szCs w:val="20"/>
          <w:b w:val="1"/>
          <w:bCs w:val="1"/>
          <w:color w:val="auto"/>
        </w:rPr>
        <w:t>Annual Meeting</w:t>
      </w:r>
      <w:r>
        <w:rPr>
          <w:rFonts w:ascii="Times New Roman" w:cs="Times New Roman" w:eastAsia="Times New Roman" w:hAnsi="Times New Roman"/>
          <w:sz w:val="20"/>
          <w:szCs w:val="20"/>
          <w:color w:val="auto"/>
        </w:rPr>
        <w:t>”) that occurs on or after the Restatement Date, each Outside Director automatically will be granted an award of Options (the “</w:t>
      </w:r>
      <w:r>
        <w:rPr>
          <w:rFonts w:ascii="Times New Roman" w:cs="Times New Roman" w:eastAsia="Times New Roman" w:hAnsi="Times New Roman"/>
          <w:sz w:val="20"/>
          <w:szCs w:val="20"/>
          <w:b w:val="1"/>
          <w:bCs w:val="1"/>
          <w:color w:val="auto"/>
        </w:rPr>
        <w:t>Annual 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and an award of Restricted Stock Units (an “</w:t>
      </w:r>
      <w:r>
        <w:rPr>
          <w:rFonts w:ascii="Times New Roman" w:cs="Times New Roman" w:eastAsia="Times New Roman" w:hAnsi="Times New Roman"/>
          <w:sz w:val="20"/>
          <w:szCs w:val="20"/>
          <w:b w:val="1"/>
          <w:bCs w:val="1"/>
          <w:color w:val="auto"/>
        </w:rPr>
        <w:t>Annual RSU Award</w:t>
      </w:r>
      <w:r>
        <w:rPr>
          <w:rFonts w:ascii="Times New Roman" w:cs="Times New Roman" w:eastAsia="Times New Roman" w:hAnsi="Times New Roman"/>
          <w:sz w:val="20"/>
          <w:szCs w:val="20"/>
          <w:color w:val="auto"/>
        </w:rPr>
        <w:t>” and together with the Annual Option Award, the “</w:t>
      </w:r>
      <w:r>
        <w:rPr>
          <w:rFonts w:ascii="Times New Roman" w:cs="Times New Roman" w:eastAsia="Times New Roman" w:hAnsi="Times New Roman"/>
          <w:sz w:val="20"/>
          <w:szCs w:val="20"/>
          <w:b w:val="1"/>
          <w:bCs w:val="1"/>
          <w:color w:val="auto"/>
        </w:rPr>
        <w:t>Annual Awards</w:t>
      </w:r>
      <w:r>
        <w:rPr>
          <w:rFonts w:ascii="Times New Roman" w:cs="Times New Roman" w:eastAsia="Times New Roman" w:hAnsi="Times New Roman"/>
          <w:sz w:val="20"/>
          <w:szCs w:val="20"/>
          <w:color w:val="auto"/>
        </w:rPr>
        <w:t>”) together having an aggregate Value as of the Annual Awards’ grant date equal to $247,745, with the Annual Option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having a Value equal to sixty-seven percent (67%) of such dollar amount, and the Annual RSU Award having a Value equal to thirty-three percent (33%) of such dollar amount, subject to Section 3.4 below; provided that any Outside Director who is not continuing as an Outside Director following the applicable Annual Meeting will not receive an Annual Award with respect to such Annual Meeting; provided, further, however, that if an individual commenced service as an Outside Director after the date of the Annual Meeting that occurred immediately prior to such Annual Meeting, then the Annual Award granted to such Outside Director will be prorated based on the number of whole months that the individual served as an Outside Director prior to the Annual Award’s grant date during the twelve</w:t>
      </w:r>
    </w:p>
    <w:p>
      <w:pPr>
        <w:spacing w:after="0" w:line="9" w:lineRule="exact"/>
        <w:rPr>
          <w:sz w:val="20"/>
          <w:szCs w:val="20"/>
          <w:color w:val="auto"/>
        </w:rPr>
      </w:pPr>
    </w:p>
    <w:p>
      <w:pPr>
        <w:jc w:val="both"/>
        <w:ind w:firstLine="3"/>
        <w:spacing w:after="0" w:line="212" w:lineRule="auto"/>
        <w:tabs>
          <w:tab w:leader="none" w:pos="39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 period immediately preceding such Annual Meeting (with any resulting fractional Share rounded down to the nearest whole Share). Each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45"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b w:val="1"/>
          <w:bCs w:val="1"/>
          <w:color w:val="auto"/>
        </w:rPr>
        <w:t>Value</w:t>
      </w:r>
      <w:r>
        <w:rPr>
          <w:rFonts w:ascii="Times New Roman" w:cs="Times New Roman" w:eastAsia="Times New Roman" w:hAnsi="Times New Roman"/>
          <w:sz w:val="21"/>
          <w:szCs w:val="21"/>
          <w:color w:val="auto"/>
        </w:rPr>
        <w:t>. For purposes of this Policy, “</w:t>
      </w:r>
      <w:r>
        <w:rPr>
          <w:rFonts w:ascii="Times New Roman" w:cs="Times New Roman" w:eastAsia="Times New Roman" w:hAnsi="Times New Roman"/>
          <w:sz w:val="21"/>
          <w:szCs w:val="21"/>
          <w:b w:val="1"/>
          <w:bCs w:val="1"/>
          <w:color w:val="auto"/>
        </w:rPr>
        <w:t>Value</w:t>
      </w:r>
      <w:r>
        <w:rPr>
          <w:rFonts w:ascii="Times New Roman" w:cs="Times New Roman" w:eastAsia="Times New Roman" w:hAnsi="Times New Roman"/>
          <w:sz w:val="21"/>
          <w:szCs w:val="21"/>
          <w:color w:val="auto"/>
        </w:rPr>
        <w:t>” means, with respect to (i) each Initial Option Award and Annual Option Award (each, an “</w:t>
      </w:r>
      <w:r>
        <w:rPr>
          <w:rFonts w:ascii="Times New Roman" w:cs="Times New Roman" w:eastAsia="Times New Roman" w:hAnsi="Times New Roman"/>
          <w:sz w:val="21"/>
          <w:szCs w:val="21"/>
          <w:b w:val="1"/>
          <w:bCs w:val="1"/>
          <w:color w:val="auto"/>
        </w:rPr>
        <w:t>Option Award</w:t>
      </w:r>
      <w:r>
        <w:rPr>
          <w:rFonts w:ascii="Times New Roman" w:cs="Times New Roman" w:eastAsia="Times New Roman" w:hAnsi="Times New Roman"/>
          <w:sz w:val="21"/>
          <w:szCs w:val="21"/>
          <w:color w:val="auto"/>
        </w:rPr>
        <w:t>”), its grant date fair value calculated in accordance with U.S. generally accepted accounting principles (“</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except that solely for purposes of the fair market value of a share of the Company’s Common Stock as of the date of grant assumed in determining such grant date fair value (provided that exercise price to be used will be as determined in accordance with Section 3.5.2), the average of the closing prices of the Company’s Common Stock in each trading day occurring during the consecutive, 30 trailing calendar day period ending on (and inclusive of) the Friday immediately preceding the grant date of the Award (the “30-Day Average”) will be used, or such other methodology the Board or its Committee may determine prior to the grant of the Option Award becoming effective, as applicable, and (ii) each Initial RSU Award and Annual RSU Award (each, an “</w:t>
      </w:r>
      <w:r>
        <w:rPr>
          <w:rFonts w:ascii="Times New Roman" w:cs="Times New Roman" w:eastAsia="Times New Roman" w:hAnsi="Times New Roman"/>
          <w:sz w:val="21"/>
          <w:szCs w:val="21"/>
          <w:b w:val="1"/>
          <w:bCs w:val="1"/>
          <w:color w:val="auto"/>
        </w:rPr>
        <w:t>RSU Award</w:t>
      </w:r>
      <w:r>
        <w:rPr>
          <w:rFonts w:ascii="Times New Roman" w:cs="Times New Roman" w:eastAsia="Times New Roman" w:hAnsi="Times New Roman"/>
          <w:sz w:val="21"/>
          <w:szCs w:val="21"/>
          <w:color w:val="auto"/>
        </w:rPr>
        <w:t>”), the 30-Day Average of the Shares subject thereto, or such other methodology the Board or its Committee may determine prior to the grant of the RSU Award becoming effective, as applicable; provided, however, that any Option Award and RSU Award will cover only a whole number of Shares, such that any fractional Share that otherwise would result from a given Value will be rounded down and will not become subject to such Option Award or RSU Award.</w:t>
      </w:r>
    </w:p>
    <w:p>
      <w:pPr>
        <w:spacing w:after="0" w:line="146"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b w:val="1"/>
          <w:bCs w:val="1"/>
          <w:color w:val="auto"/>
        </w:rPr>
        <w:t>Additional Terms of Initial Awards and Annual Awards</w:t>
      </w:r>
      <w:r>
        <w:rPr>
          <w:rFonts w:ascii="Times New Roman" w:cs="Times New Roman" w:eastAsia="Times New Roman" w:hAnsi="Times New Roman"/>
          <w:sz w:val="21"/>
          <w:szCs w:val="21"/>
          <w:color w:val="auto"/>
        </w:rPr>
        <w:t>. The terms and conditions of each Option Award and RSU Award will be as follows.</w:t>
      </w:r>
    </w:p>
    <w:p>
      <w:pPr>
        <w:spacing w:after="0" w:line="133" w:lineRule="exact"/>
        <w:rPr>
          <w:sz w:val="20"/>
          <w:szCs w:val="20"/>
          <w:color w:val="auto"/>
        </w:rPr>
      </w:pPr>
    </w:p>
    <w:p>
      <w:pPr>
        <w:ind w:left="2480"/>
        <w:spacing w:after="0"/>
        <w:tabs>
          <w:tab w:leader="none" w:pos="3080" w:val="left"/>
        </w:tabs>
        <w:rPr>
          <w:sz w:val="20"/>
          <w:szCs w:val="20"/>
          <w:color w:val="auto"/>
        </w:rPr>
      </w:pPr>
      <w:r>
        <w:rPr>
          <w:rFonts w:ascii="Times New Roman" w:cs="Times New Roman" w:eastAsia="Times New Roman" w:hAnsi="Times New Roman"/>
          <w:sz w:val="21"/>
          <w:szCs w:val="21"/>
          <w:color w:val="auto"/>
        </w:rPr>
        <w:t>3.5.1</w:t>
      </w:r>
      <w:r>
        <w:rPr>
          <w:sz w:val="20"/>
          <w:szCs w:val="20"/>
          <w:color w:val="auto"/>
        </w:rPr>
        <w:tab/>
      </w:r>
      <w:r>
        <w:rPr>
          <w:rFonts w:ascii="Times New Roman" w:cs="Times New Roman" w:eastAsia="Times New Roman" w:hAnsi="Times New Roman"/>
          <w:sz w:val="20"/>
          <w:szCs w:val="20"/>
          <w:color w:val="auto"/>
        </w:rPr>
        <w:t>The term of each Option Award will be ten (10) years, subject to earlier termination as provided in</w:t>
      </w:r>
    </w:p>
    <w:p>
      <w:pPr>
        <w:spacing w:after="0"/>
        <w:rPr>
          <w:sz w:val="20"/>
          <w:szCs w:val="20"/>
          <w:color w:val="auto"/>
        </w:rPr>
      </w:pPr>
      <w:r>
        <w:rPr>
          <w:rFonts w:ascii="Times New Roman" w:cs="Times New Roman" w:eastAsia="Times New Roman" w:hAnsi="Times New Roman"/>
          <w:sz w:val="21"/>
          <w:szCs w:val="21"/>
          <w:color w:val="auto"/>
        </w:rPr>
        <w:t>the Plan.</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06" w:lineRule="exact"/>
        <w:rPr>
          <w:sz w:val="20"/>
          <w:szCs w:val="20"/>
          <w:color w:val="auto"/>
        </w:rPr>
      </w:pPr>
    </w:p>
    <w:p>
      <w:pPr>
        <w:jc w:val="both"/>
        <w:ind w:firstLine="2475"/>
        <w:spacing w:after="0" w:line="235" w:lineRule="auto"/>
        <w:rPr>
          <w:sz w:val="20"/>
          <w:szCs w:val="20"/>
          <w:color w:val="auto"/>
        </w:rPr>
      </w:pPr>
      <w:r>
        <w:rPr>
          <w:rFonts w:ascii="Times New Roman" w:cs="Times New Roman" w:eastAsia="Times New Roman" w:hAnsi="Times New Roman"/>
          <w:sz w:val="21"/>
          <w:szCs w:val="21"/>
          <w:color w:val="auto"/>
        </w:rPr>
        <w:t>3.5.2 The per Share exercise price of each Option Award will be equal to one hundred percent (100%) of the Fair Market Value per Share on such Option Award’s grant date.</w:t>
      </w:r>
    </w:p>
    <w:p>
      <w:pPr>
        <w:spacing w:after="0" w:line="146" w:lineRule="exact"/>
        <w:rPr>
          <w:sz w:val="20"/>
          <w:szCs w:val="20"/>
          <w:color w:val="auto"/>
        </w:rPr>
      </w:pPr>
    </w:p>
    <w:p>
      <w:pPr>
        <w:jc w:val="both"/>
        <w:ind w:firstLine="2475"/>
        <w:spacing w:after="0" w:line="225" w:lineRule="auto"/>
        <w:rPr>
          <w:sz w:val="20"/>
          <w:szCs w:val="20"/>
          <w:color w:val="auto"/>
        </w:rPr>
      </w:pPr>
      <w:r>
        <w:rPr>
          <w:rFonts w:ascii="Times New Roman" w:cs="Times New Roman" w:eastAsia="Times New Roman" w:hAnsi="Times New Roman"/>
          <w:sz w:val="21"/>
          <w:szCs w:val="21"/>
          <w:color w:val="auto"/>
        </w:rPr>
        <w:t>3.5.3 Each Option Award and RSU Award will be granted under and subject to the terms and conditions of the Plan and the applicable form of Award Agreement previously approved by the Board or its Committee (as defined below), as applicable, for use thereunder.</w:t>
      </w:r>
    </w:p>
    <w:p>
      <w:pPr>
        <w:spacing w:after="0" w:line="146" w:lineRule="exact"/>
        <w:rPr>
          <w:sz w:val="20"/>
          <w:szCs w:val="20"/>
          <w:color w:val="auto"/>
        </w:rPr>
      </w:pPr>
    </w:p>
    <w:p>
      <w:pPr>
        <w:jc w:val="both"/>
        <w:ind w:firstLine="2475"/>
        <w:spacing w:after="0" w:line="225" w:lineRule="auto"/>
        <w:rPr>
          <w:sz w:val="20"/>
          <w:szCs w:val="20"/>
          <w:color w:val="auto"/>
        </w:rPr>
      </w:pPr>
      <w:r>
        <w:rPr>
          <w:rFonts w:ascii="Times New Roman" w:cs="Times New Roman" w:eastAsia="Times New Roman" w:hAnsi="Times New Roman"/>
          <w:sz w:val="21"/>
          <w:szCs w:val="21"/>
          <w:color w:val="auto"/>
        </w:rPr>
        <w:t>3.5.4 The Board or its Committee, as applicable and in its discretion, may change and otherwise revise the terms of Option Awards and RSU Awards to be granted in the future pursuant to this Policy, including without limitation the number of Shares subject thereto and type of Award.</w:t>
      </w:r>
    </w:p>
    <w:p>
      <w:pPr>
        <w:spacing w:after="0" w:line="142" w:lineRule="exact"/>
        <w:rPr>
          <w:sz w:val="20"/>
          <w:szCs w:val="20"/>
          <w:color w:val="auto"/>
        </w:rPr>
      </w:pPr>
    </w:p>
    <w:p>
      <w:pPr>
        <w:jc w:val="both"/>
        <w:ind w:firstLine="622"/>
        <w:spacing w:after="0" w:line="221" w:lineRule="auto"/>
        <w:tabs>
          <w:tab w:leader="none" w:pos="104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In the event of a Change in Control, each Outside Director will fully vest in his or her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equity awards that were granted to him or her while an Outside Director, as of immediately prior to the Change in Control, including any Option Award and RSU Award, provided that the Outside Director continues to be an Outside Director through the date of such Change in Control.</w:t>
      </w:r>
    </w:p>
    <w:p>
      <w:pPr>
        <w:spacing w:after="0" w:line="141" w:lineRule="exact"/>
        <w:rPr>
          <w:rFonts w:ascii="Times New Roman" w:cs="Times New Roman" w:eastAsia="Times New Roman" w:hAnsi="Times New Roman"/>
          <w:sz w:val="21"/>
          <w:szCs w:val="21"/>
          <w:color w:val="auto"/>
        </w:rPr>
      </w:pPr>
    </w:p>
    <w:p>
      <w:pPr>
        <w:jc w:val="both"/>
        <w:ind w:firstLine="622"/>
        <w:spacing w:after="0" w:line="215" w:lineRule="auto"/>
        <w:tabs>
          <w:tab w:leader="none" w:pos="9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Compensation Limit</w:t>
      </w:r>
      <w:r>
        <w:rPr>
          <w:rFonts w:ascii="Times New Roman" w:cs="Times New Roman" w:eastAsia="Times New Roman" w:hAnsi="Times New Roman"/>
          <w:sz w:val="21"/>
          <w:szCs w:val="21"/>
          <w:color w:val="auto"/>
        </w:rPr>
        <w:t>. No Outside Director may be granted, in any Fiscal Year, Awards with values (based on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date fair value determined in accordance with U.S. GAAP) and be provided any other compensation (including without limitation any cash retainers or fees) in amounts that, in any Fiscal Year,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45" w:lineRule="exact"/>
        <w:rPr>
          <w:rFonts w:ascii="Times New Roman" w:cs="Times New Roman" w:eastAsia="Times New Roman" w:hAnsi="Times New Roman"/>
          <w:sz w:val="21"/>
          <w:szCs w:val="21"/>
          <w:color w:val="auto"/>
        </w:rPr>
      </w:pPr>
    </w:p>
    <w:p>
      <w:pPr>
        <w:ind w:firstLine="622"/>
        <w:spacing w:after="0" w:line="237" w:lineRule="auto"/>
        <w:tabs>
          <w:tab w:leader="none" w:pos="100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Travel Expenses</w:t>
      </w:r>
      <w:r>
        <w:rPr>
          <w:rFonts w:ascii="Times New Roman" w:cs="Times New Roman" w:eastAsia="Times New Roman" w:hAnsi="Times New Roman"/>
          <w:sz w:val="21"/>
          <w:szCs w:val="21"/>
          <w:color w:val="auto"/>
        </w:rPr>
        <w:t>. Each Outside Director’s reasonable, customary and properly documented travel expenses to meetings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and any of its committees, as applicable, will be reimbursed by the Company.</w:t>
      </w:r>
    </w:p>
    <w:p>
      <w:pPr>
        <w:spacing w:after="0" w:line="141" w:lineRule="exact"/>
        <w:rPr>
          <w:rFonts w:ascii="Times New Roman" w:cs="Times New Roman" w:eastAsia="Times New Roman" w:hAnsi="Times New Roman"/>
          <w:sz w:val="21"/>
          <w:szCs w:val="21"/>
          <w:color w:val="auto"/>
        </w:rPr>
      </w:pPr>
    </w:p>
    <w:p>
      <w:pPr>
        <w:jc w:val="both"/>
        <w:ind w:firstLine="622"/>
        <w:spacing w:after="0" w:line="214" w:lineRule="auto"/>
        <w:tabs>
          <w:tab w:leader="none" w:pos="101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Adjustments</w:t>
      </w:r>
      <w:r>
        <w:rPr>
          <w:rFonts w:ascii="Times New Roman" w:cs="Times New Roman" w:eastAsia="Times New Roman" w:hAnsi="Times New Roman"/>
          <w:sz w:val="21"/>
          <w:szCs w:val="21"/>
          <w:color w:val="auto"/>
        </w:rPr>
        <w:t>. In the event that any dividend or other distribution (whether in the form of cash, Shares, other securities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shares of stock that may be delivered pursuant to Option Awards and RSU Awards and/or the number, class, and price of shares of stock covered by each outstanding Option Award and RSU Award.</w:t>
      </w:r>
    </w:p>
    <w:p>
      <w:pPr>
        <w:spacing w:after="0" w:line="142" w:lineRule="exact"/>
        <w:rPr>
          <w:rFonts w:ascii="Times New Roman" w:cs="Times New Roman" w:eastAsia="Times New Roman" w:hAnsi="Times New Roman"/>
          <w:sz w:val="21"/>
          <w:szCs w:val="21"/>
          <w:color w:val="auto"/>
        </w:rPr>
      </w:pPr>
    </w:p>
    <w:p>
      <w:pPr>
        <w:jc w:val="both"/>
        <w:ind w:firstLine="622"/>
        <w:spacing w:after="0" w:line="214" w:lineRule="auto"/>
        <w:tabs>
          <w:tab w:leader="none" w:pos="100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In no event will cash compensation or expense reimbursement payments under this Policy be paid after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0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42" w:lineRule="exact"/>
        <w:rPr>
          <w:sz w:val="20"/>
          <w:szCs w:val="20"/>
          <w:color w:val="auto"/>
        </w:rPr>
      </w:pPr>
    </w:p>
    <w:p>
      <w:pPr>
        <w:jc w:val="both"/>
        <w:ind w:firstLine="622"/>
        <w:spacing w:after="0" w:line="221" w:lineRule="auto"/>
        <w:tabs>
          <w:tab w:leader="none" w:pos="104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Stockholder Approval</w:t>
      </w:r>
      <w:r>
        <w:rPr>
          <w:rFonts w:ascii="Times New Roman" w:cs="Times New Roman" w:eastAsia="Times New Roman" w:hAnsi="Times New Roman"/>
          <w:sz w:val="21"/>
          <w:szCs w:val="21"/>
          <w:color w:val="auto"/>
        </w:rPr>
        <w:t>. This Policy as initially adopted was approved by the Company’s stockholders prior to its initial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41" w:lineRule="exact"/>
        <w:rPr>
          <w:rFonts w:ascii="Times New Roman" w:cs="Times New Roman" w:eastAsia="Times New Roman" w:hAnsi="Times New Roman"/>
          <w:sz w:val="21"/>
          <w:szCs w:val="21"/>
          <w:color w:val="auto"/>
        </w:rPr>
      </w:pPr>
    </w:p>
    <w:p>
      <w:pPr>
        <w:jc w:val="both"/>
        <w:ind w:firstLine="622"/>
        <w:spacing w:after="0" w:line="212" w:lineRule="auto"/>
        <w:tabs>
          <w:tab w:leader="none" w:pos="119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Revisions</w:t>
      </w:r>
      <w:r>
        <w:rPr>
          <w:rFonts w:ascii="Times New Roman" w:cs="Times New Roman" w:eastAsia="Times New Roman" w:hAnsi="Times New Roman"/>
          <w:sz w:val="21"/>
          <w:szCs w:val="21"/>
          <w:color w:val="auto"/>
        </w:rPr>
        <w:t>. The Board or any committee of the Board that has been designated appropriate authority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Outside Director compensation (or with respect to any applicable element or elements thereof, authority with respect to such element or elements)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43" w:lineRule="exact"/>
        <w:rPr>
          <w:rFonts w:ascii="Times New Roman" w:cs="Times New Roman" w:eastAsia="Times New Roman" w:hAnsi="Times New Roman"/>
          <w:sz w:val="21"/>
          <w:szCs w:val="21"/>
          <w:color w:val="auto"/>
        </w:rPr>
      </w:pPr>
    </w:p>
    <w:p>
      <w:pPr>
        <w:ind w:left="54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w:t>
      </w:r>
    </w:p>
    <w:p>
      <w:pPr>
        <w:sectPr>
          <w:pgSz w:w="11900" w:h="16838" w:orient="portrait"/>
          <w:cols w:equalWidth="0" w:num="1">
            <w:col w:w="11240"/>
          </w:cols>
          <w:pgMar w:left="320" w:top="144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Ex. 31.1</w:t>
      </w:r>
    </w:p>
    <w:p>
      <w:pPr>
        <w:spacing w:after="0" w:line="200" w:lineRule="exact"/>
        <w:rPr>
          <w:sz w:val="20"/>
          <w:szCs w:val="20"/>
          <w:color w:val="auto"/>
        </w:rPr>
      </w:pPr>
    </w:p>
    <w:p>
      <w:pPr>
        <w:spacing w:after="0" w:line="378" w:lineRule="exact"/>
        <w:rPr>
          <w:sz w:val="20"/>
          <w:szCs w:val="20"/>
          <w:color w:val="auto"/>
        </w:rPr>
      </w:pPr>
    </w:p>
    <w:p>
      <w:pPr>
        <w:jc w:val="center"/>
        <w:ind w:left="360" w:right="280"/>
        <w:spacing w:after="0" w:line="292" w:lineRule="auto"/>
        <w:rPr>
          <w:sz w:val="20"/>
          <w:szCs w:val="20"/>
          <w:color w:val="auto"/>
        </w:rPr>
      </w:pPr>
      <w:r>
        <w:rPr>
          <w:rFonts w:ascii="Times New Roman" w:cs="Times New Roman" w:eastAsia="Times New Roman" w:hAnsi="Times New Roman"/>
          <w:sz w:val="17"/>
          <w:szCs w:val="17"/>
          <w:b w:val="1"/>
          <w:bCs w:val="1"/>
          <w:color w:val="auto"/>
        </w:rPr>
        <w:t>CERTIFICATION PURSUANT TO RULES 13a-14(a) AND 15d-14(a) UNDER THE SECURITIES EXCHANGE ACT OF 1934, AS ADOPTED PURSUANT TO SECTION 302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Omid Farokhzad, certify that:</w:t>
      </w:r>
    </w:p>
    <w:p>
      <w:pPr>
        <w:spacing w:after="0" w:line="243"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Seer, Inc.;</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4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40" w:hanging="307"/>
        <w:spacing w:after="0" w:line="270"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940" w:right="40" w:hanging="318"/>
        <w:spacing w:after="0" w:line="270" w:lineRule="auto"/>
        <w:tabs>
          <w:tab w:leader="none" w:pos="9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940" w:right="20" w:hanging="318"/>
        <w:spacing w:after="0" w:line="270" w:lineRule="auto"/>
        <w:tabs>
          <w:tab w:leader="none" w:pos="9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940" w:right="100" w:hanging="318"/>
        <w:spacing w:after="0" w:line="270" w:lineRule="auto"/>
        <w:tabs>
          <w:tab w:leader="none" w:pos="9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48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940" w:hanging="318"/>
        <w:spacing w:after="0" w:line="287" w:lineRule="auto"/>
        <w:tabs>
          <w:tab w:leader="none" w:pos="93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583"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Ex. 31.1</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14878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17"/>
          <w:szCs w:val="17"/>
          <w:color w:val="auto"/>
        </w:rPr>
        <w:t>Omid Farokhzad</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Chief Executive Officer and Chair of the Board of Directors</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0139"/>
          </w:cols>
          <w:pgMar w:left="320" w:top="583"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Ex. 31.2</w:t>
      </w:r>
    </w:p>
    <w:p>
      <w:pPr>
        <w:spacing w:after="0" w:line="200" w:lineRule="exact"/>
        <w:rPr>
          <w:sz w:val="20"/>
          <w:szCs w:val="20"/>
          <w:color w:val="auto"/>
        </w:rPr>
      </w:pPr>
    </w:p>
    <w:p>
      <w:pPr>
        <w:spacing w:after="0" w:line="378" w:lineRule="exact"/>
        <w:rPr>
          <w:sz w:val="20"/>
          <w:szCs w:val="20"/>
          <w:color w:val="auto"/>
        </w:rPr>
      </w:pPr>
    </w:p>
    <w:p>
      <w:pPr>
        <w:jc w:val="center"/>
        <w:ind w:left="360" w:right="280"/>
        <w:spacing w:after="0" w:line="292" w:lineRule="auto"/>
        <w:rPr>
          <w:sz w:val="20"/>
          <w:szCs w:val="20"/>
          <w:color w:val="auto"/>
        </w:rPr>
      </w:pPr>
      <w:r>
        <w:rPr>
          <w:rFonts w:ascii="Times New Roman" w:cs="Times New Roman" w:eastAsia="Times New Roman" w:hAnsi="Times New Roman"/>
          <w:sz w:val="17"/>
          <w:szCs w:val="17"/>
          <w:b w:val="1"/>
          <w:bCs w:val="1"/>
          <w:color w:val="auto"/>
        </w:rPr>
        <w:t>CERTIFICATION PURSUANT TO RULES 13a-14(a) AND 15d-14(a) UNDER THE SECURITIES EXCHANGE ACT OF 1934, AS ADOPTED PURSUANT TO SECTION 302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Horn, certify that:</w:t>
      </w:r>
    </w:p>
    <w:p>
      <w:pPr>
        <w:spacing w:after="0" w:line="243" w:lineRule="exact"/>
        <w:rPr>
          <w:sz w:val="20"/>
          <w:szCs w:val="20"/>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Seer, Inc.;</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620" w:right="540" w:hanging="307"/>
        <w:spacing w:after="0" w:line="28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620" w:right="40" w:hanging="307"/>
        <w:spacing w:after="0" w:line="270"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ind w:left="940" w:right="40" w:hanging="318"/>
        <w:spacing w:after="0" w:line="270" w:lineRule="auto"/>
        <w:tabs>
          <w:tab w:leader="none" w:pos="93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940" w:right="20" w:hanging="318"/>
        <w:spacing w:after="0" w:line="270" w:lineRule="auto"/>
        <w:tabs>
          <w:tab w:leader="none" w:pos="934"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3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940" w:right="100" w:hanging="318"/>
        <w:spacing w:after="0" w:line="270" w:lineRule="auto"/>
        <w:tabs>
          <w:tab w:leader="none" w:pos="934"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left="620" w:right="480" w:hanging="307"/>
        <w:spacing w:after="0" w:line="263"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40" w:hanging="318"/>
        <w:spacing w:after="0" w:line="266" w:lineRule="auto"/>
        <w:tabs>
          <w:tab w:leader="none" w:pos="93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4"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00"/>
          </w:cols>
          <w:pgMar w:left="320" w:top="583"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Ex. 31.2</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12700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17"/>
          <w:szCs w:val="17"/>
          <w:color w:val="auto"/>
        </w:rPr>
        <w:t>David Horn</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0139"/>
          </w:cols>
          <w:pgMar w:left="320" w:top="58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color w:val="auto"/>
        </w:rPr>
        <w:t>Ex.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18 U.S.C. SECTION 1350, AS ADOPTED PURSUANT TO SECTION 906 OF THE SARBANES-OXLEY ACT OF 2002</w:t>
      </w:r>
    </w:p>
    <w:p>
      <w:pPr>
        <w:spacing w:after="0" w:line="1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Seer, Inc. (the “Company”) on Form 10-Q for the period ended June 30, 2022 as filed with the Securities and Exchange Commission on the date hereof (the “Report”), I, Omid Farokhzad, hereby certify, pursuant to 18 U.S.C. § 1350, as adopted pursuant to § 906 of the Sarbanes-Oxley Act of 2002, that:</w:t>
      </w:r>
    </w:p>
    <w:p>
      <w:pPr>
        <w:spacing w:after="0" w:line="191"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14878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87805"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17"/>
          <w:szCs w:val="17"/>
          <w:color w:val="auto"/>
        </w:rPr>
        <w:t>Omid Farokhzad</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Chief Executive Officer and Chair of the Board of Directors</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00"/>
          </w:cols>
          <w:pgMar w:left="320" w:top="35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color w:val="auto"/>
        </w:rPr>
        <w:t>Ex.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18 U.S.C. SECTION 1350, AS ADOPTED PURSUANT TO SECTION 906 OF THE SARBANES-OXLEY ACT OF 2002</w:t>
      </w:r>
    </w:p>
    <w:p>
      <w:pPr>
        <w:spacing w:after="0" w:line="1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Seer, Inc. (the “Company”) on Form 10-Q for the period ended June 30, 2022 as filed with the Securities and Exchange Commission on the date hereof (the “Report”), I, David Horn, hereby certify, pursuant to 18 U.S.C. § 1350, as adopted pursuant to § 906 of the Sarbanes-Oxley Act of 2002, that:</w:t>
      </w:r>
    </w:p>
    <w:p>
      <w:pPr>
        <w:spacing w:after="0" w:line="191" w:lineRule="exact"/>
        <w:rPr>
          <w:sz w:val="20"/>
          <w:szCs w:val="20"/>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2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12700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17"/>
          <w:szCs w:val="17"/>
          <w:color w:val="auto"/>
        </w:rPr>
        <w:t>David Horn</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(Principal Financial Officer and Accounting Officer)</w:t>
      </w:r>
    </w:p>
    <w:sectPr>
      <w:pgSz w:w="11900" w:h="16838" w:orient="portrait"/>
      <w:cols w:equalWidth="0" w:num="1">
        <w:col w:w="11200"/>
      </w:cols>
      <w:pgMar w:left="320" w:top="35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3"/>
    </w:lvl>
  </w:abstractNum>
  <w:abstractNum w:abstractNumId="4">
    <w:nsid w:val="189A769B"/>
    <w:multiLevelType w:val="hybridMultilevel"/>
    <w:lvl w:ilvl="0">
      <w:lvlJc w:val="left"/>
      <w:lvlText w:val="%1."/>
      <w:numFmt w:val="decimal"/>
      <w:start w:val="5"/>
    </w:lvl>
  </w:abstractNum>
  <w:abstractNum w:abstractNumId="5">
    <w:nsid w:val="54E49EB4"/>
    <w:multiLevelType w:val="hybridMultilevel"/>
    <w:lvl w:ilvl="0">
      <w:lvlJc w:val="left"/>
      <w:lvlText w:val="%1."/>
      <w:numFmt w:val="decimal"/>
      <w:start w:val="6"/>
    </w:lvl>
  </w:abstractNum>
  <w:abstractNum w:abstractNumId="6">
    <w:nsid w:val="71F32454"/>
    <w:multiLevelType w:val="hybridMultilevel"/>
    <w:lvl w:ilvl="0">
      <w:lvlJc w:val="left"/>
      <w:lvlText w:val="%1."/>
      <w:numFmt w:val="decimal"/>
      <w:start w:val="7"/>
    </w:lvl>
  </w:abstractNum>
  <w:abstractNum w:abstractNumId="7">
    <w:nsid w:val="2CA88611"/>
    <w:multiLevelType w:val="hybridMultilevel"/>
    <w:lvl w:ilvl="0">
      <w:lvlJc w:val="left"/>
      <w:lvlText w:val="%1."/>
      <w:numFmt w:val="decimal"/>
      <w:start w:val="8"/>
    </w:lvl>
  </w:abstractNum>
  <w:abstractNum w:abstractNumId="8">
    <w:nsid w:val="836C40E"/>
    <w:multiLevelType w:val="hybridMultilevel"/>
    <w:lvl w:ilvl="0">
      <w:lvlJc w:val="left"/>
      <w:lvlText w:val="%1."/>
      <w:numFmt w:val="decimal"/>
      <w:start w:val="9"/>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3"/>
    </w:lvl>
  </w:abstractNum>
  <w:abstractNum w:abstractNumId="41">
    <w:nsid w:val="57E4CCAF"/>
    <w:multiLevelType w:val="hybridMultilevel"/>
    <w:lvl w:ilvl="0">
      <w:lvlJc w:val="left"/>
      <w:lvlText w:val="(%1)"/>
      <w:numFmt w:val="decimal"/>
      <w:start w:val="12"/>
    </w:lvl>
  </w:abstractNum>
  <w:abstractNum w:abstractNumId="42">
    <w:nsid w:val="7A6D8D3C"/>
    <w:multiLevelType w:val="hybridMultilevel"/>
    <w:lvl w:ilvl="0">
      <w:lvlJc w:val="left"/>
      <w:lvlText w:val="%1."/>
      <w:numFmt w:val="decimal"/>
      <w:start w:val="4"/>
    </w:lvl>
  </w:abstractNum>
  <w:abstractNum w:abstractNumId="43">
    <w:nsid w:val="4B588F54"/>
    <w:multiLevelType w:val="hybridMultilevel"/>
    <w:lvl w:ilvl="0">
      <w:lvlJc w:val="left"/>
      <w:lvlText w:val="%1."/>
      <w:numFmt w:val="decimal"/>
      <w:start w:val="9"/>
    </w:lvl>
    <w:lvl w:ilvl="1">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2022-08-09T18:56:14Z</dcterms:created>
  <dcterms:modified xsi:type="dcterms:W3CDTF">2022-08-09T18:56:14Z</dcterms:modified>
</cp:coreProperties>
</file>