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50513.htm"/>
      <w:bookmarkStart w:id="1" w:name="ksck000172644520250513"/>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May 13, 2025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2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13, 2025, Seer, Inc. issued a press release (the “Press Release”) announcing results for the quarter ended March 31, 2025. A copy of the Press Release is attached as Exhibit 99.1 to this current report on Form 8-K and is incorporated by reference 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1081"/>
        <w:gridCol w:w="146"/>
        <w:gridCol w:w="6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ck0001726445-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May 13, 2025.</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590" w:type="dxa"/>
        <w:jc w:val="left"/>
        <w:tblInd w:w="0" w:type="dxa"/>
        <w:tblLayout w:type="fixed"/>
        <w:tblCellMar>
          <w:top w:w="28" w:type="dxa"/>
          <w:left w:w="28" w:type="dxa"/>
          <w:bottom w:w="28" w:type="dxa"/>
          <w:right w:w="28" w:type="dxa"/>
        </w:tblCellMar>
      </w:tblPr>
      <w:tblGrid>
        <w:gridCol w:w="1741"/>
        <w:gridCol w:w="146"/>
        <w:gridCol w:w="406"/>
        <w:gridCol w:w="146"/>
        <w:gridCol w:w="315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May 13,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Horn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ck0001726445-ex99_1.htm"/>
      <w:bookmarkStart w:id="4" w:name="ksck0001726445ex99_1"/>
      <w:bookmarkEnd w:id="3"/>
      <w:bookmarkEnd w:id="4"/>
      <w:r>
        <w:rPr/>
        <w:t> </w:t>
      </w:r>
      <w:r>
        <w:br w:type="page"/>
      </w:r>
    </w:p>
    <w:p>
      <w:pPr>
        <w:pStyle w:val="TextBody"/>
        <w:bidi w:val="0"/>
        <w:spacing w:before="0" w:after="120"/>
        <w:jc w:val="center"/>
        <w:rPr>
          <w:rFonts w:ascii="Arial" w:hAnsi="Arial"/>
          <w:b/>
          <w:color w:val="000000"/>
          <w:sz w:val="24"/>
        </w:rPr>
      </w:pPr>
      <w:r>
        <w:rPr>
          <w:rFonts w:ascii="Arial" w:hAnsi="Arial"/>
          <w:b/>
          <w:color w:val="000000"/>
          <w:sz w:val="24"/>
        </w:rPr>
        <w:t>Seer Reports First Quarter 2025 Financial Results and Reiterates Full Year 2025 Outlook</w:t>
      </w:r>
    </w:p>
    <w:p>
      <w:pPr>
        <w:pStyle w:val="TextBody"/>
        <w:bidi w:val="0"/>
        <w:spacing w:before="0" w:after="120"/>
        <w:jc w:val="center"/>
        <w:rPr>
          <w:rFonts w:ascii="Arial" w:hAnsi="Arial"/>
          <w:i/>
          <w:color w:val="000000"/>
          <w:sz w:val="20"/>
        </w:rPr>
      </w:pPr>
      <w:r>
        <w:rPr>
          <w:rFonts w:ascii="Arial" w:hAnsi="Arial"/>
          <w:i/>
          <w:color w:val="000000"/>
          <w:sz w:val="20"/>
        </w:rPr>
        <w:t>Revenue grew 37%, driven by increased product sales and service revenue</w:t>
      </w:r>
    </w:p>
    <w:p>
      <w:pPr>
        <w:pStyle w:val="TextBody"/>
        <w:bidi w:val="0"/>
        <w:jc w:val="both"/>
        <w:rPr>
          <w:rFonts w:ascii="Times New Roman" w:hAnsi="Times New Roman"/>
          <w:sz w:val="20"/>
        </w:rPr>
      </w:pPr>
      <w:r>
        <w:rPr>
          <w:rFonts w:ascii="Arial" w:hAnsi="Arial"/>
          <w:b/>
          <w:color w:val="000000"/>
          <w:sz w:val="20"/>
        </w:rPr>
        <w:t xml:space="preserve">REDWOOD CITY, Calif. </w:t>
      </w:r>
      <w:r>
        <w:rPr>
          <w:rFonts w:ascii="Arial" w:hAnsi="Arial"/>
          <w:color w:val="000000"/>
          <w:sz w:val="20"/>
        </w:rPr>
        <w:t>May 13, 2025 – Seer, Inc. (Nasdaq: SEER), a leading life sciences company commercializing a disruptive new platform for proteomics, today reported financial results for the first quarter ended March 31, 2025.</w:t>
      </w:r>
    </w:p>
    <w:p>
      <w:pPr>
        <w:pStyle w:val="TextBody"/>
        <w:bidi w:val="0"/>
        <w:jc w:val="left"/>
        <w:rPr/>
      </w:pPr>
      <w:r>
        <w:rPr/>
        <w:t> </w:t>
      </w:r>
    </w:p>
    <w:p>
      <w:pPr>
        <w:pStyle w:val="TextBody"/>
        <w:bidi w:val="0"/>
        <w:spacing w:before="120" w:after="120"/>
        <w:jc w:val="both"/>
        <w:rPr>
          <w:rFonts w:ascii="Times New Roman" w:hAnsi="Times New Roman"/>
          <w:sz w:val="20"/>
        </w:rPr>
      </w:pPr>
      <w:r>
        <w:rPr>
          <w:rFonts w:ascii="Arial" w:hAnsi="Arial"/>
          <w:b/>
          <w:color w:val="000000"/>
          <w:sz w:val="20"/>
        </w:rPr>
        <w:t>Recent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Achieved revenue of $4.2 million for the first quarter of 2025</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Secured a significant contract with a new customer to run a 10,000-sample study in collaboration with Discovery Life Sciences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Accelerated third-party validation of platform through increasing number of customer publications, webinars, preprints and reviews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Ended the quarter with approximately $285 million of cash, cash equivalents and investments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We are proud of our strong first quarter performance, especially in light of the persistent macroeconomic headwinds impacting the life sciences industry,” said Omid Farokhzad, Chair and CEO of Seer. “Momentum around the Proteograph Product Suite continues to build, and we shipped as many instruments in the first quarter of 2025 as we did in all of 2024. Our mission has always been to enable deep, unbiased proteomics at population scale, driven by our belief that the biological insights unlocked would have a meaningful impact on human health. While we expect near-term volatility to persist until the broader macro environment stabilizes, our long-term vision remains unchanged.”</w:t>
      </w:r>
    </w:p>
    <w:p>
      <w:pPr>
        <w:pStyle w:val="TextBody"/>
        <w:bidi w:val="0"/>
        <w:jc w:val="left"/>
        <w:rPr/>
      </w:pPr>
      <w:r>
        <w:rPr/>
        <w:t> </w:t>
      </w:r>
    </w:p>
    <w:p>
      <w:pPr>
        <w:pStyle w:val="TextBody"/>
        <w:bidi w:val="0"/>
        <w:spacing w:before="120" w:after="120"/>
        <w:jc w:val="both"/>
        <w:rPr>
          <w:rFonts w:ascii="Times New Roman" w:hAnsi="Times New Roman"/>
          <w:sz w:val="20"/>
        </w:rPr>
      </w:pPr>
      <w:r>
        <w:rPr>
          <w:rFonts w:ascii="Arial" w:hAnsi="Arial"/>
          <w:b/>
          <w:color w:val="000000"/>
          <w:sz w:val="20"/>
        </w:rPr>
        <w:t>First Quarter 2025 Financial Results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Revenue was $4.2 million for the first quarter of 2025, a 37% increase from $3.1 million for the corresponding prior year period, primarily due to higher product sales and service revenue in the quarter. Product revenue for the first quarter of 2025 was $2.9 million, including $5 thousand of related party revenue, and consisted of sales of Proteograph instruments and consumable kits. Service revenue was $1.2 million for the first quarter of 2025, including $47 thousand of related party revenue, and primarily consisted of revenue related to Seer Technology Access Center service projects. Other revenue was $60 thousand for the first quarter of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Gross profit was $2.1 million and gross margin was 49% for the first quarter of 2025.</w:t>
      </w:r>
      <w:r>
        <w:rPr>
          <w:rFonts w:ascii="Times New Roman" w:hAnsi="Times New Roman"/>
          <w:color w:val="000000"/>
          <w:sz w:val="20"/>
        </w:rPr>
        <w:t xml:space="preserve"> </w:t>
      </w:r>
    </w:p>
    <w:p>
      <w:pPr>
        <w:pStyle w:val="TextBody"/>
        <w:bidi w:val="0"/>
        <w:jc w:val="right"/>
        <w:rPr/>
      </w:pPr>
      <w:r>
        <w:rPr/>
        <w:t> </w:t>
      </w:r>
    </w:p>
    <w:p>
      <w:pPr>
        <w:pStyle w:val="TextBody"/>
        <w:bidi w:val="0"/>
        <w:jc w:val="both"/>
        <w:rPr>
          <w:rFonts w:ascii="Times New Roman" w:hAnsi="Times New Roman"/>
          <w:sz w:val="20"/>
        </w:rPr>
      </w:pPr>
      <w:r>
        <w:rPr>
          <w:rFonts w:ascii="Arial" w:hAnsi="Arial"/>
          <w:color w:val="000000"/>
          <w:sz w:val="20"/>
        </w:rPr>
        <w:t>Operating expenses were $22.8 million for the first quarter of 2025, including $4.5 million of stock-based compensation, a decrease of 14% compared to $26.6 million for the corresponding prior year period, including $7.2 million of stock-based compensation. The decrease in operating expenses was primarily driven by a decrease in stock-based compensation and laboratory expenses.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Net loss was $19.9 million for the first quarter of 2025, compared to $20.7 million for the corresponding prior year period.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Cash, cash equivalents and investments were approximately $285 million as of March 31,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2025 Guidance</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Seer continues to expect full year 2025 revenue to be in the range of $17 million to $18 million, representing growth of 24% at the midpoint over full year 2024.</w:t>
      </w:r>
    </w:p>
    <w:p>
      <w:pPr>
        <w:pStyle w:val="TextBody"/>
        <w:bidi w:val="0"/>
        <w:spacing w:before="120" w:after="120"/>
        <w:jc w:val="both"/>
        <w:rPr>
          <w:rFonts w:ascii="Arial" w:hAnsi="Arial"/>
          <w:b/>
          <w:color w:val="000000"/>
          <w:sz w:val="20"/>
        </w:rPr>
      </w:pPr>
      <w:r>
        <w:rPr>
          <w:rFonts w:ascii="Arial" w:hAnsi="Arial"/>
          <w:b/>
          <w:color w:val="000000"/>
          <w:sz w:val="20"/>
        </w:rPr>
        <w:t>Webcast Information</w:t>
      </w:r>
    </w:p>
    <w:p>
      <w:pPr>
        <w:pStyle w:val="TextBody"/>
        <w:bidi w:val="0"/>
        <w:jc w:val="both"/>
        <w:rPr>
          <w:rFonts w:ascii="Times New Roman" w:hAnsi="Times New Roman"/>
          <w:sz w:val="20"/>
        </w:rPr>
      </w:pPr>
      <w:r>
        <w:rPr>
          <w:rFonts w:ascii="Arial" w:hAnsi="Arial"/>
          <w:color w:val="000000"/>
          <w:sz w:val="20"/>
        </w:rPr>
        <w:t>Seer will host a conference call to discuss the first quarter 2025 financial results on Tuesday, May 13, 2025 at 1:30 pm Pacific Time / 4:30 pm Eastern Time. A webcast of the conference call can be accessed at https://investor.seer.bio. The webcast will be archived and available for replay for at least 90 days after the event.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0"/>
        </w:rPr>
        <w:t>About Seer</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www.seer.bio.</w:t>
      </w:r>
    </w:p>
    <w:p>
      <w:pPr>
        <w:pStyle w:val="TextBody"/>
        <w:bidi w:val="0"/>
        <w:spacing w:before="120" w:after="120"/>
        <w:jc w:val="both"/>
        <w:rPr>
          <w:rFonts w:ascii="Times New Roman" w:hAnsi="Times New Roman"/>
          <w:sz w:val="20"/>
        </w:rPr>
      </w:pPr>
      <w:r>
        <w:rPr>
          <w:rFonts w:ascii="Arial" w:hAnsi="Arial"/>
          <w:b/>
          <w:color w:val="000000"/>
          <w:sz w:val="20"/>
        </w:rPr>
        <w:t>Forward Looking Statements</w:t>
      </w:r>
      <w:r>
        <w:rPr>
          <w:rFonts w:ascii="Times New Roman" w:hAnsi="Times New Roman"/>
          <w:color w:val="FF0000"/>
          <w:sz w:val="20"/>
        </w:rPr>
        <w:t xml:space="preserve"> </w:t>
      </w:r>
    </w:p>
    <w:p>
      <w:pPr>
        <w:pStyle w:val="TextBody"/>
        <w:bidi w:val="0"/>
        <w:jc w:val="left"/>
        <w:rPr>
          <w:rFonts w:ascii="Arial" w:hAnsi="Arial"/>
          <w:color w:val="000000"/>
          <w:sz w:val="20"/>
        </w:rPr>
      </w:pPr>
      <w:r>
        <w:rPr>
          <w:rFonts w:ascii="Arial" w:hAnsi="Arial"/>
          <w:color w:val="000000"/>
          <w:sz w:val="20"/>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expectations for future results of operations and its financial position, business strategy, partnerships, adoption of our products and outlook for fiscal year 2025.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TextBody"/>
        <w:bidi w:val="0"/>
        <w:jc w:val="both"/>
        <w:rPr>
          <w:rFonts w:ascii="Arial" w:hAnsi="Arial"/>
          <w:color w:val="000000"/>
          <w:sz w:val="20"/>
          <w:u w:val="single"/>
        </w:rPr>
      </w:pPr>
      <w:r>
        <w:rPr>
          <w:rFonts w:ascii="Arial" w:hAnsi="Arial"/>
          <w:color w:val="000000"/>
          <w:sz w:val="20"/>
          <w:u w:val="single"/>
        </w:rPr>
        <w:t>Investor Contact:</w:t>
      </w:r>
    </w:p>
    <w:p>
      <w:pPr>
        <w:pStyle w:val="TextBody"/>
        <w:bidi w:val="0"/>
        <w:jc w:val="left"/>
        <w:rPr>
          <w:rFonts w:ascii="Arial" w:hAnsi="Arial"/>
          <w:color w:val="000000"/>
          <w:sz w:val="20"/>
        </w:rPr>
      </w:pPr>
      <w:r>
        <w:rPr>
          <w:rFonts w:ascii="Arial" w:hAnsi="Arial"/>
          <w:color w:val="000000"/>
          <w:sz w:val="20"/>
        </w:rPr>
        <w:t>Carrie Mendivil</w:t>
      </w:r>
    </w:p>
    <w:p>
      <w:pPr>
        <w:pStyle w:val="TextBody"/>
        <w:bidi w:val="0"/>
        <w:jc w:val="left"/>
        <w:rPr>
          <w:rFonts w:ascii="Arial" w:hAnsi="Arial"/>
          <w:color w:val="000000"/>
          <w:sz w:val="20"/>
        </w:rPr>
      </w:pPr>
      <w:r>
        <w:rPr>
          <w:rFonts w:ascii="Arial" w:hAnsi="Arial"/>
          <w:color w:val="000000"/>
          <w:sz w:val="20"/>
        </w:rPr>
        <w:t>investor@seer.bio</w:t>
      </w:r>
    </w:p>
    <w:p>
      <w:pPr>
        <w:pStyle w:val="TextBody"/>
        <w:bidi w:val="0"/>
        <w:jc w:val="left"/>
        <w:rPr/>
      </w:pPr>
      <w:r>
        <w:rPr/>
        <w:t> </w:t>
      </w:r>
    </w:p>
    <w:p>
      <w:pPr>
        <w:pStyle w:val="TextBody"/>
        <w:bidi w:val="0"/>
        <w:jc w:val="left"/>
        <w:rPr>
          <w:rFonts w:ascii="Arial" w:hAnsi="Arial"/>
          <w:color w:val="000000"/>
          <w:sz w:val="20"/>
          <w:u w:val="single"/>
        </w:rPr>
      </w:pPr>
      <w:r>
        <w:rPr>
          <w:rFonts w:ascii="Arial" w:hAnsi="Arial"/>
          <w:color w:val="000000"/>
          <w:sz w:val="20"/>
          <w:u w:val="single"/>
        </w:rPr>
        <w:t>Media Contact:</w:t>
      </w:r>
    </w:p>
    <w:p>
      <w:pPr>
        <w:pStyle w:val="TextBody"/>
        <w:bidi w:val="0"/>
        <w:jc w:val="left"/>
        <w:rPr>
          <w:rFonts w:ascii="Arial" w:hAnsi="Arial"/>
          <w:color w:val="000000"/>
          <w:sz w:val="20"/>
        </w:rPr>
      </w:pPr>
      <w:r>
        <w:rPr>
          <w:rFonts w:ascii="Arial" w:hAnsi="Arial"/>
          <w:color w:val="000000"/>
          <w:sz w:val="20"/>
        </w:rPr>
        <w:t>Patrick Schmidt</w:t>
      </w:r>
    </w:p>
    <w:p>
      <w:pPr>
        <w:pStyle w:val="TextBody"/>
        <w:bidi w:val="0"/>
        <w:jc w:val="left"/>
        <w:rPr>
          <w:rFonts w:ascii="Arial" w:hAnsi="Arial"/>
          <w:color w:val="000000"/>
          <w:sz w:val="20"/>
        </w:rPr>
      </w:pPr>
      <w:r>
        <w:rPr>
          <w:rFonts w:ascii="Arial" w:hAnsi="Arial"/>
          <w:color w:val="000000"/>
          <w:sz w:val="20"/>
        </w:rPr>
        <w:t>pr@seer.bio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left"/>
        <w:rPr/>
      </w:pPr>
      <w:r>
        <w:rPr/>
        <w:t> </w:t>
      </w:r>
    </w:p>
    <w:tbl>
      <w:tblPr>
        <w:tblW w:w="9793" w:type="dxa"/>
        <w:jc w:val="left"/>
        <w:tblInd w:w="0" w:type="dxa"/>
        <w:tblLayout w:type="fixed"/>
        <w:tblCellMar>
          <w:top w:w="28" w:type="dxa"/>
          <w:left w:w="28" w:type="dxa"/>
          <w:bottom w:w="28" w:type="dxa"/>
          <w:right w:w="28" w:type="dxa"/>
        </w:tblCellMar>
      </w:tblPr>
      <w:tblGrid>
        <w:gridCol w:w="6376"/>
        <w:gridCol w:w="211"/>
        <w:gridCol w:w="1036"/>
        <w:gridCol w:w="166"/>
        <w:gridCol w:w="146"/>
        <w:gridCol w:w="211"/>
        <w:gridCol w:w="1036"/>
        <w:gridCol w:w="611"/>
      </w:tblGrid>
      <w:tr>
        <w:trPr/>
        <w:tc>
          <w:tcPr>
            <w:tcW w:w="6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Class A and Class B common stockholders, </w:t>
              <w:br/>
              <w:t>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in computing net loss per share attributable to </w:t>
              <w:br/>
              <w:t>  Class A and Class B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59,408,711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64,586,056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left"/>
        <w:rPr/>
      </w:pPr>
      <w:r>
        <w:rPr/>
        <w:t> </w:t>
      </w:r>
    </w:p>
    <w:p>
      <w:pPr>
        <w:pStyle w:val="TextBody"/>
        <w:bidi w:val="0"/>
        <w:jc w:val="center"/>
        <w:rPr/>
      </w:pPr>
      <w:r>
        <w:rPr/>
        <w:t> </w:t>
      </w:r>
    </w:p>
    <w:tbl>
      <w:tblPr>
        <w:tblW w:w="9537" w:type="dxa"/>
        <w:jc w:val="left"/>
        <w:tblInd w:w="0" w:type="dxa"/>
        <w:tblLayout w:type="fixed"/>
        <w:tblCellMar>
          <w:top w:w="28" w:type="dxa"/>
          <w:left w:w="28" w:type="dxa"/>
          <w:bottom w:w="28" w:type="dxa"/>
          <w:right w:w="28" w:type="dxa"/>
        </w:tblCellMar>
      </w:tblPr>
      <w:tblGrid>
        <w:gridCol w:w="6321"/>
        <w:gridCol w:w="146"/>
        <w:gridCol w:w="211"/>
        <w:gridCol w:w="841"/>
        <w:gridCol w:w="166"/>
        <w:gridCol w:w="146"/>
        <w:gridCol w:w="219"/>
        <w:gridCol w:w="876"/>
        <w:gridCol w:w="611"/>
      </w:tblGrid>
      <w:tr>
        <w:trPr/>
        <w:tc>
          <w:tcPr>
            <w:tcW w:w="6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$0.00001 par value; 5,000,000 shares authorized as of</w:t>
              <w:br/>
              <w:t xml:space="preserve">    March 31, 2025 and December 31, 2024; zero shares issued and </w:t>
              <w:br/>
              <w:t>    outstanding as of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$0.00001 par value; 94,000,000 shares authorized</w:t>
              <w:br/>
              <w:t xml:space="preserve">    as of March 31, 2025 and December 31, 2024; 55,385,066 and </w:t>
              <w:br/>
              <w:t xml:space="preserve">    55,083,123 shares issued and outstanding as of March 31, 2025 and </w:t>
              <w:br/>
              <w:t>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$0.00001 par value; 6,000,000 shares authorized</w:t>
              <w:br/>
              <w:t>   as of March 31, 2025 and December 31, 2024; 4,044,969 shares</w:t>
              <w:br/>
              <w:t>   issued and outstanding as of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1849</Words>
  <Characters>10191</Characters>
  <CharactersWithSpaces>12215</CharactersWithSpaces>
  <Paragraphs>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