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bookmarkStart w:id="0" w:name="ck0001726445-20231231.htm"/>
      <w:bookmarkStart w:id="1" w:name="ksck000172644520231231"/>
      <w:bookmarkEnd w:id="0"/>
      <w:bookmarkEnd w:id="1"/>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10-K</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ANNUAL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fiscal year ended December 31, 2023</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vAlign w:val="center"/>
          </w:tcPr>
          <w:p>
            <w:pPr>
              <w:pStyle w:val="TableContents"/>
              <w:bidi w:val="0"/>
              <w:spacing w:before="60" w:after="283"/>
              <w:jc w:val="left"/>
              <w:rPr/>
            </w:pPr>
            <w:r>
              <w:rPr/>
              <w:t> </w:t>
            </w:r>
          </w:p>
        </w:tc>
        <w:tc>
          <w:tcPr>
            <w:tcW w:w="3076"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12(g)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the shares of common stock on The Nasdaq Stock Market on June 30, 2023, was approximately $232.1</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As of March 1, 2024, the registrant had 60,728,211</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and 4,044,969</w:t>
      </w:r>
      <w:r>
        <w:rPr>
          <w:rFonts w:ascii="Times New Roman" w:hAnsi="Times New Roman"/>
          <w:color w:val="000000"/>
          <w:sz w:val="20"/>
        </w:rPr>
        <w:t xml:space="preserve"> </w:t>
      </w:r>
      <w:r>
        <w:rPr>
          <w:rFonts w:ascii="Times New Roman" w:hAnsi="Times New Roman"/>
          <w:color w:val="000000"/>
          <w:sz w:val="16"/>
        </w:rPr>
        <w:t>of Class B common stock, $0.00001 par value per share, outstanding.</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2024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2023.</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8936"/>
        <w:gridCol w:w="467"/>
      </w:tblGrid>
      <w:tr>
        <w:trPr/>
        <w:tc>
          <w:tcPr>
            <w:tcW w:w="802"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
              <w:r>
                <w:rPr>
                  <w:rStyle w:val="InternetLink"/>
                  <w:rFonts w:ascii="Times New Roman" w:hAnsi="Times New Roman"/>
                  <w:color w:val="0000FF"/>
                  <w:sz w:val="20"/>
                  <w:u w:val="single"/>
                </w:rPr>
                <w:t>Part 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_business">
              <w:r>
                <w:rPr>
                  <w:rStyle w:val="InternetLink"/>
                  <w:rFonts w:ascii="Times New Roman" w:hAnsi="Times New Roman"/>
                  <w:color w:val="0000FF"/>
                  <w:sz w:val="20"/>
                  <w:u w:val="single"/>
                </w:rPr>
                <w:t>Business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_business">
              <w:r>
                <w:rPr>
                  <w:rStyle w:val="InternetLink"/>
                  <w:rFonts w:ascii="Times New Roman" w:hAnsi="Times New Roman"/>
                  <w:color w:val="0000FF"/>
                  <w:sz w:val="20"/>
                  <w:u w:val="single"/>
                </w:rPr>
                <w:t>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a_risk_factors">
              <w:r>
                <w:rPr>
                  <w:rStyle w:val="InternetLink"/>
                  <w:rFonts w:ascii="Times New Roman" w:hAnsi="Times New Roman"/>
                  <w:color w:val="0000FF"/>
                  <w:sz w:val="20"/>
                  <w:u w:val="single"/>
                </w:rPr>
                <w:t>Risk Factors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Times New Roman" w:hAnsi="Times New Roman"/>
                  <w:color w:val="0000FF"/>
                  <w:sz w:val="20"/>
                  <w:u w:val="single"/>
                </w:rPr>
                <w:t>38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1B.</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b_unresolved_staff_comments">
              <w:r>
                <w:rPr>
                  <w:rStyle w:val="InternetLink"/>
                  <w:rFonts w:ascii="Times New Roman" w:hAnsi="Times New Roman"/>
                  <w:color w:val="0000FF"/>
                  <w:sz w:val="20"/>
                  <w:u w:val="single"/>
                </w:rPr>
                <w:t>Unresolved Staff Comments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b_unresolved_staff_comments">
              <w:r>
                <w:rPr>
                  <w:rStyle w:val="InternetLink"/>
                  <w:rFonts w:ascii="Times New Roman" w:hAnsi="Times New Roman"/>
                  <w:color w:val="0000FF"/>
                  <w:sz w:val="20"/>
                  <w:u w:val="single"/>
                </w:rPr>
                <w:t>87</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1C.</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c_cybersecurity">
              <w:r>
                <w:rPr>
                  <w:rStyle w:val="InternetLink"/>
                  <w:rFonts w:ascii="Times New Roman" w:hAnsi="Times New Roman"/>
                  <w:color w:val="0000FF"/>
                  <w:sz w:val="20"/>
                  <w:u w:val="single"/>
                </w:rPr>
                <w:t>Cybersecurity</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c_cybersecurity">
              <w:r>
                <w:rPr>
                  <w:rStyle w:val="InternetLink"/>
                  <w:rFonts w:ascii="Times New Roman" w:hAnsi="Times New Roman"/>
                  <w:color w:val="0000FF"/>
                  <w:sz w:val="20"/>
                  <w:u w:val="single"/>
                </w:rPr>
                <w:t>87</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2.</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2_properties">
              <w:r>
                <w:rPr>
                  <w:rStyle w:val="InternetLink"/>
                  <w:rFonts w:ascii="Times New Roman" w:hAnsi="Times New Roman"/>
                  <w:color w:val="0000FF"/>
                  <w:sz w:val="20"/>
                  <w:u w:val="single"/>
                </w:rPr>
                <w:t>Properties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2_properties">
              <w:r>
                <w:rPr>
                  <w:rStyle w:val="InternetLink"/>
                  <w:rFonts w:ascii="Times New Roman" w:hAnsi="Times New Roman"/>
                  <w:color w:val="0000FF"/>
                  <w:sz w:val="20"/>
                  <w:u w:val="single"/>
                </w:rPr>
                <w:t>88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3.</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3_legal_proceedings">
              <w:r>
                <w:rPr>
                  <w:rStyle w:val="InternetLink"/>
                  <w:rFonts w:ascii="Times New Roman" w:hAnsi="Times New Roman"/>
                  <w:color w:val="0000FF"/>
                  <w:sz w:val="20"/>
                  <w:u w:val="single"/>
                </w:rPr>
                <w:t>Legal Proceedings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3_legal_proceedings">
              <w:r>
                <w:rPr>
                  <w:rStyle w:val="InternetLink"/>
                  <w:rFonts w:ascii="Times New Roman" w:hAnsi="Times New Roman"/>
                  <w:color w:val="0000FF"/>
                  <w:sz w:val="20"/>
                  <w:u w:val="single"/>
                </w:rPr>
                <w:t>88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4.</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4_mine_safety_disclosures">
              <w:r>
                <w:rPr>
                  <w:rStyle w:val="InternetLink"/>
                  <w:rFonts w:ascii="Times New Roman" w:hAnsi="Times New Roman"/>
                  <w:color w:val="0000FF"/>
                  <w:sz w:val="20"/>
                  <w:u w:val="single"/>
                </w:rPr>
                <w:t>88</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i">
              <w:r>
                <w:rPr>
                  <w:rStyle w:val="InternetLink"/>
                  <w:rFonts w:ascii="Times New Roman" w:hAnsi="Times New Roman"/>
                  <w:color w:val="0000FF"/>
                  <w:sz w:val="20"/>
                  <w:u w:val="single"/>
                </w:rPr>
                <w:t>Part II.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5.</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5_market_for_registrants_common_equ">
              <w:r>
                <w:rPr>
                  <w:rStyle w:val="InternetLink"/>
                  <w:rFonts w:ascii="Times New Roman" w:hAnsi="Times New Roman"/>
                  <w:color w:val="0000FF"/>
                  <w:sz w:val="20"/>
                  <w:u w:val="single"/>
                </w:rPr>
                <w:t>89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6.</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6_reserved">
              <w:r>
                <w:rPr>
                  <w:rStyle w:val="InternetLink"/>
                  <w:rFonts w:ascii="Times New Roman" w:hAnsi="Times New Roman"/>
                  <w:color w:val="0000FF"/>
                  <w:sz w:val="20"/>
                  <w:u w:val="single"/>
                </w:rPr>
                <w:t>[Reserved]</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6_reserved">
              <w:r>
                <w:rPr>
                  <w:rStyle w:val="InternetLink"/>
                  <w:rFonts w:ascii="Times New Roman" w:hAnsi="Times New Roman"/>
                  <w:color w:val="0000FF"/>
                  <w:sz w:val="20"/>
                  <w:u w:val="single"/>
                </w:rPr>
                <w:t>89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7.</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7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7_managements_discussion_and_analys">
              <w:r>
                <w:rPr>
                  <w:rStyle w:val="InternetLink"/>
                  <w:rFonts w:ascii="Times New Roman" w:hAnsi="Times New Roman"/>
                  <w:color w:val="0000FF"/>
                  <w:sz w:val="20"/>
                  <w:u w:val="single"/>
                </w:rPr>
                <w:t>90</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7A.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7a_quantitative_and_qualitative_dis">
              <w:r>
                <w:rPr>
                  <w:rStyle w:val="InternetLink"/>
                  <w:rFonts w:ascii="Times New Roman" w:hAnsi="Times New Roman"/>
                  <w:color w:val="0000FF"/>
                  <w:sz w:val="20"/>
                  <w:u w:val="single"/>
                </w:rPr>
                <w:t>99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8.</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8_financial_statements_and_suppleme">
              <w:r>
                <w:rPr>
                  <w:rStyle w:val="InternetLink"/>
                  <w:rFonts w:ascii="Times New Roman" w:hAnsi="Times New Roman"/>
                  <w:color w:val="0000FF"/>
                  <w:sz w:val="20"/>
                  <w:u w:val="single"/>
                </w:rPr>
                <w:t>Financial Statements and Supplementary Data</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8_financial_statements_and_suppleme">
              <w:r>
                <w:rPr>
                  <w:rStyle w:val="InternetLink"/>
                  <w:rFonts w:ascii="Times New Roman" w:hAnsi="Times New Roman"/>
                  <w:color w:val="0000FF"/>
                  <w:sz w:val="20"/>
                  <w:u w:val="single"/>
                </w:rPr>
                <w:t>99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_changes_in_and_disagreements">
              <w:r>
                <w:rPr>
                  <w:rStyle w:val="InternetLink"/>
                  <w:rFonts w:ascii="Times New Roman" w:hAnsi="Times New Roman"/>
                  <w:color w:val="0000FF"/>
                  <w:sz w:val="20"/>
                  <w:u w:val="single"/>
                </w:rPr>
                <w:t>129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a_controls_and_procedures">
              <w:r>
                <w:rPr>
                  <w:rStyle w:val="InternetLink"/>
                  <w:rFonts w:ascii="Times New Roman" w:hAnsi="Times New Roman"/>
                  <w:color w:val="0000FF"/>
                  <w:sz w:val="20"/>
                  <w:u w:val="single"/>
                </w:rPr>
                <w:t>Controls and Procedures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a_controls_and_procedures">
              <w:r>
                <w:rPr>
                  <w:rStyle w:val="InternetLink"/>
                  <w:rFonts w:ascii="Times New Roman" w:hAnsi="Times New Roman"/>
                  <w:color w:val="0000FF"/>
                  <w:sz w:val="20"/>
                  <w:u w:val="single"/>
                </w:rPr>
                <w:t>129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9B.</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b_other_information">
              <w:r>
                <w:rPr>
                  <w:rStyle w:val="InternetLink"/>
                  <w:rFonts w:ascii="Times New Roman" w:hAnsi="Times New Roman"/>
                  <w:color w:val="0000FF"/>
                  <w:sz w:val="20"/>
                  <w:u w:val="single"/>
                </w:rPr>
                <w:t>Other Information</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b_other_information">
              <w:r>
                <w:rPr>
                  <w:rStyle w:val="InternetLink"/>
                  <w:rFonts w:ascii="Times New Roman" w:hAnsi="Times New Roman"/>
                  <w:color w:val="0000FF"/>
                  <w:sz w:val="20"/>
                  <w:u w:val="single"/>
                </w:rPr>
                <w:t>130</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9C.</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c_disclosure_regarding_foreign">
              <w:r>
                <w:rPr>
                  <w:rStyle w:val="InternetLink"/>
                  <w:rFonts w:ascii="Times New Roman" w:hAnsi="Times New Roman"/>
                  <w:color w:val="0000FF"/>
                  <w:sz w:val="20"/>
                  <w:u w:val="single"/>
                </w:rPr>
                <w:t>130</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ii">
              <w:r>
                <w:rPr>
                  <w:rStyle w:val="InternetLink"/>
                  <w:rFonts w:ascii="Times New Roman" w:hAnsi="Times New Roman"/>
                  <w:color w:val="0000FF"/>
                  <w:sz w:val="20"/>
                  <w:u w:val="single"/>
                </w:rPr>
                <w:t>Part III.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10.</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0_directors_executive">
              <w:r>
                <w:rPr>
                  <w:rStyle w:val="InternetLink"/>
                  <w:rFonts w:ascii="Times New Roman" w:hAnsi="Times New Roman"/>
                  <w:color w:val="0000FF"/>
                  <w:sz w:val="20"/>
                  <w:u w:val="single"/>
                </w:rPr>
                <w:t>Directors, Executive Officers and Corporate Governance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0_directors_executive">
              <w:r>
                <w:rPr>
                  <w:rStyle w:val="InternetLink"/>
                  <w:rFonts w:ascii="Times New Roman" w:hAnsi="Times New Roman"/>
                  <w:color w:val="0000FF"/>
                  <w:sz w:val="20"/>
                  <w:u w:val="single"/>
                </w:rPr>
                <w:t>131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11.</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1_executive_compensation">
              <w:r>
                <w:rPr>
                  <w:rStyle w:val="InternetLink"/>
                  <w:rFonts w:ascii="Times New Roman" w:hAnsi="Times New Roman"/>
                  <w:color w:val="0000FF"/>
                  <w:sz w:val="20"/>
                  <w:u w:val="single"/>
                </w:rPr>
                <w:t>Executive Compensation</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1_executive_compensation">
              <w:r>
                <w:rPr>
                  <w:rStyle w:val="InternetLink"/>
                  <w:rFonts w:ascii="Times New Roman" w:hAnsi="Times New Roman"/>
                  <w:color w:val="0000FF"/>
                  <w:sz w:val="20"/>
                  <w:u w:val="single"/>
                </w:rPr>
                <w:t>131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12.</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2_security_ownership_of_certain">
              <w:r>
                <w:rPr>
                  <w:rStyle w:val="InternetLink"/>
                  <w:rFonts w:ascii="Times New Roman" w:hAnsi="Times New Roman"/>
                  <w:color w:val="0000FF"/>
                  <w:sz w:val="20"/>
                  <w:u w:val="single"/>
                </w:rPr>
                <w:t>131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13.</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3_certain_relationships">
              <w:r>
                <w:rPr>
                  <w:rStyle w:val="InternetLink"/>
                  <w:rFonts w:ascii="Times New Roman" w:hAnsi="Times New Roman"/>
                  <w:color w:val="0000FF"/>
                  <w:sz w:val="20"/>
                  <w:u w:val="single"/>
                </w:rPr>
                <w:t>131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14.</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4_principal_accounting">
              <w:r>
                <w:rPr>
                  <w:rStyle w:val="InternetLink"/>
                  <w:rFonts w:ascii="Times New Roman" w:hAnsi="Times New Roman"/>
                  <w:color w:val="0000FF"/>
                  <w:sz w:val="20"/>
                  <w:u w:val="single"/>
                </w:rPr>
                <w:t>Principal Accounting Fees and Services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4_principal_accounting">
              <w:r>
                <w:rPr>
                  <w:rStyle w:val="InternetLink"/>
                  <w:rFonts w:ascii="Times New Roman" w:hAnsi="Times New Roman"/>
                  <w:color w:val="0000FF"/>
                  <w:sz w:val="20"/>
                  <w:u w:val="single"/>
                </w:rPr>
                <w:t>131</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v">
              <w:r>
                <w:rPr>
                  <w:rStyle w:val="InternetLink"/>
                  <w:rFonts w:ascii="Times New Roman" w:hAnsi="Times New Roman"/>
                  <w:color w:val="0000FF"/>
                  <w:sz w:val="20"/>
                  <w:u w:val="single"/>
                </w:rPr>
                <w:t>Part IV.</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15.</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5_exhibits_and_financial">
              <w:r>
                <w:rPr>
                  <w:rStyle w:val="InternetLink"/>
                  <w:rFonts w:ascii="Times New Roman" w:hAnsi="Times New Roman"/>
                  <w:color w:val="0000FF"/>
                  <w:sz w:val="20"/>
                  <w:u w:val="single"/>
                </w:rPr>
                <w:t>Exhibits and Financial Statement Schedules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5_exhibits_and_financial">
              <w:r>
                <w:rPr>
                  <w:rStyle w:val="InternetLink"/>
                  <w:rFonts w:ascii="Times New Roman" w:hAnsi="Times New Roman"/>
                  <w:color w:val="0000FF"/>
                  <w:sz w:val="20"/>
                  <w:u w:val="single"/>
                </w:rPr>
                <w:t>132</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16.</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6_form">
              <w:r>
                <w:rPr>
                  <w:rStyle w:val="InternetLink"/>
                  <w:rFonts w:ascii="Times New Roman" w:hAnsi="Times New Roman"/>
                  <w:color w:val="0000FF"/>
                  <w:sz w:val="20"/>
                  <w:u w:val="single"/>
                </w:rPr>
                <w:t>Form 10–K Summary</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6_form">
              <w:r>
                <w:rPr>
                  <w:rStyle w:val="InternetLink"/>
                  <w:rFonts w:ascii="Times New Roman" w:hAnsi="Times New Roman"/>
                  <w:color w:val="0000FF"/>
                  <w:sz w:val="20"/>
                  <w:u w:val="single"/>
                </w:rPr>
                <w:t>134</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pPr>
            <w:r>
              <w:rPr/>
              <w:t> </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signatures">
              <w:r>
                <w:rPr>
                  <w:rStyle w:val="InternetLink"/>
                  <w:rFonts w:ascii="Times New Roman" w:hAnsi="Times New Roman"/>
                  <w:color w:val="0000FF"/>
                  <w:sz w:val="20"/>
                  <w:u w:val="single"/>
                </w:rPr>
                <w:t>Signatures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Times New Roman" w:hAnsi="Times New Roman"/>
                  <w:color w:val="0000FF"/>
                  <w:sz w:val="20"/>
                  <w:u w:val="single"/>
                </w:rPr>
                <w:t>135</w:t>
              </w:r>
            </w:hyperlink>
          </w:p>
        </w:tc>
      </w:tr>
    </w:tbl>
    <w:p>
      <w:pPr>
        <w:pStyle w:val="TextBody"/>
        <w:bidi w:val="0"/>
        <w:spacing w:before="180" w:after="180"/>
        <w:jc w:val="left"/>
        <w:rPr/>
      </w:pPr>
      <w:r>
        <w:rPr/>
        <w:t> </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implement our commercialization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expected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and risks of our investment in PrognomiQ, Inc.;</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18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left"/>
        <w:rPr>
          <w:rFonts w:ascii="Times New Roman" w:hAnsi="Times New Roman"/>
          <w:sz w:val="20"/>
        </w:rPr>
      </w:pPr>
      <w:r>
        <w:rPr>
          <w:rFonts w:ascii="Times New Roman" w:hAnsi="Times New Roman"/>
          <w:color w:val="000000"/>
          <w:sz w:val="20"/>
        </w:rPr>
        <w:t>Our mission is to imagine and pioneer new ways to decode the biology of the proteome to improve human health. Our product, the Proteograph</w:t>
      </w:r>
      <w:r>
        <w:rPr>
          <w:rFonts w:ascii="Times New Roman" w:hAnsi="Times New Roman"/>
          <w:color w:val="000000"/>
          <w:sz w:val="13"/>
        </w:rPr>
        <w:t>TM</w:t>
      </w:r>
      <w:r>
        <w:rPr>
          <w:rFonts w:ascii="Times New Roman" w:hAnsi="Times New Roman"/>
          <w:color w:val="000000"/>
          <w:sz w:val="20"/>
        </w:rPr>
        <w:t xml:space="preserve"> Product Suite (Proteograph), leverages our proprietary engineered nanoparticle (NP) technology to provide unbiased, deep, rapid and large-scale access to the proteome. The Proteograph Product Suite is an integrated solution that includes consumables, an automation instrument and software.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human proteome is incredibly complex, with multiple protein variants derived from each gene. This complexity arises from multiple biological steps required to create the functional proteome, including transcription, translation, post-translational modifications (PTMs) and protein interactions. While many protein variants may be benign, others can severely disrupt protein function and contribute to disease. The complexity of the proteome at a population level is huge. For example, a study by the UK Biobank published in late 2021 in </w:t>
      </w:r>
      <w:r>
        <w:rPr>
          <w:rFonts w:ascii="Times New Roman" w:hAnsi="Times New Roman"/>
          <w:i/>
          <w:color w:val="000000"/>
          <w:sz w:val="20"/>
        </w:rPr>
        <w:t>Nature</w:t>
      </w:r>
      <w:r>
        <w:rPr>
          <w:rFonts w:ascii="Times New Roman" w:hAnsi="Times New Roman"/>
          <w:color w:val="000000"/>
          <w:sz w:val="20"/>
        </w:rPr>
        <w:t xml:space="preserve"> identified over 900,000 potential protein loss-of-function variants in a cohort of approximately 455,000 individuals, with each individual having an average of more than 200 such variants (Backman </w:t>
      </w:r>
      <w:r>
        <w:rPr>
          <w:rFonts w:ascii="Times New Roman" w:hAnsi="Times New Roman"/>
          <w:i/>
          <w:color w:val="000000"/>
          <w:sz w:val="20"/>
        </w:rPr>
        <w:t>et al.</w:t>
      </w:r>
      <w:r>
        <w:rPr>
          <w:rFonts w:ascii="Times New Roman" w:hAnsi="Times New Roman"/>
          <w:color w:val="000000"/>
          <w:sz w:val="20"/>
        </w:rPr>
        <w:t>). It is essential to catalog the complexity of the proteome and understand the functions of protein variants to decode the links between the proteome, the genome and disease. This deeper understanding can lead to novel insights into disease mechanisms, the discovery of new biomarkers and the identification of potential therapeutic targets.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Before the commercial launch of the Proteograph, we believe that the largest published deep unbiased plasma proteomics study, which measured at least 600 proteins, was conducted on just 48 samples. However, today, multiple customers have successfully completed, or are planning, deep unbiased plasma proteomics studies with thousands of proteins quantitatively measured across thousands of samples. This breadth and depth of unbiased plasma proteomics coverage was not previously achievable at scale.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Proteins play a critical role in most biological processes and provide dynamic indicators of physiological changes across health, disease progression, and therapeutic response. However, compared to the genome, the discovered and cataloged body of proteomic data remains limited. Current proteomics approaches have not facilitated deep exploration at scale in samples with high dynamic range, because they are either: (i) unbiased but not scalable; or (ii) scalable but biased. Current deep, unbiased approaches require complex, lengthy, labor- and capital-intensive workflows that limit their application to small, under-powered studies. Targeted or biased methods are scalable but are limited to a specific number of predetermined proteins. These methods cannot distinguish between variants of the same proteins often present in the same biological samples, because they lack the necessary peptide-level resolution and accuracy needed to characterize the proteome. These limitations force a trade-off between the number of samples and the depth of protein coverage in a study. We believe that a more complete understanding of biology requires deep, unbiased, large-scale proteomic analysis with the peptide-level resolution and accuracy needed to distinguish protein variants.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are focused on driving adoption of the Proteograph by customers in the proteomics and genomics markets who recognize the value of large-scale, unbiased, and deep proteomics. Allied Market Research estimated the global proteomics market to be approximately $27 billion in 2022. The Proteograph’s unique capabilities now enable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researchers to undertake first-of-their-kind, large-scale unbiased studies, which complement genomics studies by adding critical missing information that can provide functional context to genomic variation. With the advent of next-generation sequencing and improvement in cost and throughput, researchers have sequenced the equivalent of several million human genomes and human exomes. Across these studies, according to the dbSNP database, more than one billion individual genetic variants have been identified to date; however, less than 0.2% of those variants have been cataloged in the ClinVar database with a reported relationship between variation and phenotype. This gap in functional annotation is in part due to the gross impedance mismatch between access to the proteome and genome. We believe that the Proteograph Product Suite will bridge this gap.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Just as large-scale access to genomics has dramatically impacted that field, we believe large-scale access will do the same for proteomics, revealing new content, enabling mapping and cataloging of new protein variants, and driving new disease insights, diagnostics and treatments. Importantly, by impedance-matching researchers’ access to unbiased genomics content at the nucleotide level with proteomics content at the peptide and amino acid level, researchers can better connect genotype to phenotype. In this way, we believe customers will be able to develop more accurate biomarkers of disease for diagnostic and therapeutic applications, accelerating multi-omics driven precision medicine. We believe these capabilities will have broad appeal to researchers and entities undertaking large-scale genomics studies and should attract spending from the genomics market, which was estimated by Technavio to be approximately $28 billion in 2022. Additionally, we believe that the Proteograph will enable the discovery of novel content that will lead to the creation of value that will promote entirely new applications and market opportunities.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The Importance of Proteomics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Detailed and complex biological information resides within the proteome. Nearly all functions of an organism require the interaction of one or more proteins with each other and with other biological molecules. Proteins serve as dynamic indicators of health status, disease progression and therapeutic response. As depicted in Figure 1 below, the genome is a static indicator of an individual’s baseline physiology, while the proteome reveals the current physiological state. Despite its importance, the human proteome is relatively unexplored compared to the human genome.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link genomic information with phenotypes, understanding the functional context of proteins is critical. However, this connection is currently limited because the vast majority of genetic variants lack functional context at the protein level. We believe that enabling researchers to generate large-scale, integrated proteomic and genomic data will equip them to comprehend the relationship between variation, function and biology.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Protein quantitative trait loci (pQTLs) are genomic variants that are associated with the levels or abundance of specific proteins. Because they influence protein expression or regulation, they are a genetic source of variation in the proteome. The term “protein quantitative trait loci” is used because protein abundance level is viewed as quantitative traits.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identify pQTLs, genome-wide association studies (GWAS) compare genetic variants across large populations and their association with differences in protein levels. These studies can provide valuable insights into the genetic basis of complex diseases, the molecular mechanisms that regulate protein expression, and the identification of potential therapeutic targets for drug development. However, the study of pQTLs requires large-scale acquisition of proteomic data, which is a challenge for traditional unbiased approaches. We believe that the Proteograph will bridge this gap. Moreover, the Proteograph allows for pQTL analysis at the peptide level, thus enabling the association of genomic variants with specific protein variants.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pPr>
      <w:r>
        <w:rPr/>
        <w:drawing>
          <wp:inline distT="0" distB="0" distL="0" distR="0">
            <wp:extent cx="6019800" cy="2171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19800" cy="2171700"/>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 Utility of genomic vs. proteomic information. Over one million human genomes have been highly characterized with over one billion variants, but they have low utility and represent a static indicator of risk. The human proteome is far less characterized, but has a much higher utility as a dynamic indicator of health status.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Complexity of the Proteome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70,000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hAnsi="Times New Roman"/>
          <w:i/>
          <w:color w:val="000000"/>
          <w:sz w:val="20"/>
        </w:rPr>
        <w:t>et al.</w:t>
      </w:r>
      <w:r>
        <w:rPr>
          <w:rFonts w:ascii="Times New Roman" w:hAnsi="Times New Roman"/>
          <w:color w:val="000000"/>
          <w:sz w:val="20"/>
        </w:rPr>
        <w:t>). An example of a protein that has tissue-specific isoform abundance is FOX1, which has differential isoform presence in muscle and brain tissue (Nakahata and Kawamoto). Therefore, it is essential to study and understand proteins at the level of protein variants in the appropriate biosample, and this can be achieved only through large-scale analysis of the proteome at the peptide level.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pPr>
      <w:r>
        <w:rPr/>
        <w:drawing>
          <wp:inline distT="0" distB="0" distL="0" distR="0">
            <wp:extent cx="6019800" cy="3209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19800" cy="3209925"/>
                    </a:xfrm>
                    <a:prstGeom prst="rect">
                      <a:avLst/>
                    </a:prstGeom>
                  </pic:spPr>
                </pic:pic>
              </a:graphicData>
            </a:graphic>
          </wp:inline>
        </w:drawing>
      </w: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 xml:space="preserve">Figure 2: Functional diversity exists through modifications and interactions of different molecules, from static indicators like the genome to increasingly numerous and complex indicators like the proteome and interactome. Modified from Bludau </w:t>
      </w:r>
      <w:r>
        <w:rPr>
          <w:rFonts w:ascii="Times New Roman" w:hAnsi="Times New Roman"/>
          <w:i/>
          <w:color w:val="000000"/>
          <w:sz w:val="16"/>
        </w:rPr>
        <w:t>et al</w:t>
      </w:r>
      <w:r>
        <w:rPr>
          <w:rFonts w:ascii="Times New Roman" w:hAnsi="Times New Roman"/>
          <w:color w:val="000000"/>
          <w:sz w:val="16"/>
        </w:rPr>
        <w:t>.</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study by Backman </w:t>
      </w:r>
      <w:r>
        <w:rPr>
          <w:rFonts w:ascii="Times New Roman" w:hAnsi="Times New Roman"/>
          <w:i/>
          <w:color w:val="000000"/>
          <w:sz w:val="20"/>
        </w:rPr>
        <w:t>et al.</w:t>
      </w:r>
      <w:r>
        <w:rPr>
          <w:rFonts w:ascii="Times New Roman" w:hAnsi="Times New Roman"/>
          <w:color w:val="000000"/>
          <w:sz w:val="20"/>
        </w:rPr>
        <w:t xml:space="preserve"> published in </w:t>
      </w:r>
      <w:r>
        <w:rPr>
          <w:rFonts w:ascii="Times New Roman" w:hAnsi="Times New Roman"/>
          <w:i/>
          <w:color w:val="000000"/>
          <w:sz w:val="20"/>
        </w:rPr>
        <w:t>Nature</w:t>
      </w:r>
      <w:r>
        <w:rPr>
          <w:rFonts w:ascii="Times New Roman" w:hAnsi="Times New Roman"/>
          <w:color w:val="000000"/>
          <w:sz w:val="20"/>
        </w:rPr>
        <w:t xml:space="preserv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findings emphasize the unmet need to understand protein variants at the peptide level and underscore how little is currently known about the complexity of the proteome. We believe understanding protein variation at this level could revolutionize how we diagnose, treat, and monitor diseases.</w:t>
      </w:r>
    </w:p>
    <w:p>
      <w:pPr>
        <w:pStyle w:val="TextBody"/>
        <w:bidi w:val="0"/>
        <w:spacing w:before="0" w:after="180"/>
        <w:jc w:val="center"/>
        <w:rPr/>
      </w:pPr>
      <w:r>
        <w:rPr/>
        <w:drawing>
          <wp:inline distT="0" distB="0" distL="0" distR="0">
            <wp:extent cx="5943600" cy="990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990600"/>
                    </a:xfrm>
                    <a:prstGeom prst="rect">
                      <a:avLst/>
                    </a:prstGeom>
                  </pic:spPr>
                </pic:pic>
              </a:graphicData>
            </a:graphic>
          </wp:inline>
        </w:drawing>
      </w: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 xml:space="preserve">Figure 3: Summary of genetic variation across a population of approximately 455,000 participants of the UK Biobank (Backman </w:t>
      </w:r>
      <w:r>
        <w:rPr>
          <w:rFonts w:ascii="Times New Roman" w:hAnsi="Times New Roman"/>
          <w:i/>
          <w:color w:val="000000"/>
          <w:sz w:val="16"/>
        </w:rPr>
        <w:t>et al.</w:t>
      </w:r>
      <w:r>
        <w:rPr>
          <w:rFonts w:ascii="Times New Roman" w:hAnsi="Times New Roman"/>
          <w:color w:val="000000"/>
          <w:sz w:val="16"/>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Importance of Unbiased, Peptide-level Resolution Proteomics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Importance of an Unbiased Approach in the Discovery of Novel Content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to perform unbiased sampling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While there is no guarantee that the Proteograph Product Suite will have the same impact on proteomics that NGS had on genomics, we believe there is a significant market opportunity to provide unbiased, deep, rapid, and scalable access to the proteome. Figure 4 illustrates how content discovery increases as sample cohorts increase in size with an unbiased approach.</w:t>
      </w:r>
    </w:p>
    <w:p>
      <w:pPr>
        <w:pStyle w:val="TextBody"/>
        <w:bidi w:val="0"/>
        <w:spacing w:before="0" w:after="180"/>
        <w:jc w:val="center"/>
        <w:rPr/>
      </w:pPr>
      <w:r>
        <w:rPr/>
        <w:drawing>
          <wp:inline distT="0" distB="0" distL="0" distR="0">
            <wp:extent cx="4572000" cy="258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0" cy="2581275"/>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4: Unbiased approaches increase the identification of protein variants arising from genomic variants, isoforms and post-translational modifications as sample numbers increase, resulting in new biological insights, applications and utility. Targeted approaches are inherently unable to discover new protein variants.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Importance of Peptide-Level Resolution in the Understanding of Biology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peptide-level resolution is crucial to the discovery of novel content and new biological insights. One example is alternative protein isoforms arising from the same gene locus. At the transcriptome level, these alternative transcripts are known as spliceforms. The majority of human genes can produce more than one protein spliceform and, according to the Ensembl genome database project, as many as 70,000 protein spliceforms are generated by more than 23,000 human genes through alternative splicing. If we account for additional spliceforms at the population level, arising from genetic variants and somatic variants including those responsible for cancers (which affect RNA processing), the number is much larger. Affinity-based approaches generally cannot differentiate between spliceforms, whereas unbiased MS-based approaches survey proteins at the peptide level, enabling differentiation between spliceforms.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Peptide-level resolution is critical for identifying biologically important novel cancer biomarkers, as we demonstrated in our </w:t>
      </w:r>
      <w:r>
        <w:rPr>
          <w:rFonts w:ascii="Times New Roman" w:hAnsi="Times New Roman"/>
          <w:i/>
          <w:color w:val="000000"/>
          <w:sz w:val="20"/>
        </w:rPr>
        <w:t>Nature Communications</w:t>
      </w:r>
      <w:r>
        <w:rPr>
          <w:rFonts w:ascii="Times New Roman" w:hAnsi="Times New Roman"/>
          <w:color w:val="000000"/>
          <w:sz w:val="20"/>
        </w:rPr>
        <w:t xml:space="preserve"> paper (Blume </w:t>
      </w:r>
      <w:r>
        <w:rPr>
          <w:rFonts w:ascii="Times New Roman" w:hAnsi="Times New Roman"/>
          <w:i/>
          <w:color w:val="000000"/>
          <w:sz w:val="20"/>
        </w:rPr>
        <w:t>et al.</w:t>
      </w:r>
      <w:r>
        <w:rPr>
          <w:rFonts w:ascii="Times New Roman" w:hAnsi="Times New Roman"/>
          <w:color w:val="000000"/>
          <w:sz w:val="20"/>
        </w:rPr>
        <w:t xml:space="preserve">). Using data from that paper, we identified several biomarkers at the peptide level that would have been missed if we had only focused on overall protein expression, including bone morphogenic protein 1 (BMP1). In </w:t>
      </w:r>
      <w:r>
        <w:rPr>
          <w:rFonts w:ascii="Times New Roman" w:hAnsi="Times New Roman"/>
          <w:i/>
          <w:color w:val="000000"/>
          <w:sz w:val="20"/>
        </w:rPr>
        <w:t>PLOS One,</w:t>
      </w:r>
      <w:r>
        <w:rPr>
          <w:rFonts w:ascii="Times New Roman" w:hAnsi="Times New Roman"/>
          <w:color w:val="000000"/>
          <w:sz w:val="20"/>
        </w:rPr>
        <w:t xml:space="preserve"> Donovan </w:t>
      </w:r>
      <w:r>
        <w:rPr>
          <w:rFonts w:ascii="Times New Roman" w:hAnsi="Times New Roman"/>
          <w:i/>
          <w:color w:val="000000"/>
          <w:sz w:val="20"/>
        </w:rPr>
        <w:t xml:space="preserve">et al. </w:t>
      </w:r>
      <w:r>
        <w:rPr>
          <w:rFonts w:ascii="Times New Roman" w:hAnsi="Times New Roman"/>
          <w:color w:val="000000"/>
          <w:sz w:val="20"/>
        </w:rPr>
        <w:t>find that the known spliceforms of BMP1 exhibit differential abundance in cases and controls; the single short form is more abundant in cancer cases, while the long forms are more abundant in controls. In that paper, we propose a mechanism to explain the differential abundance based on lack of domains in the short form. This highlights the importance of generating data at the peptide level, which is made possible by the Proteograph Product Suite.</w:t>
      </w:r>
    </w:p>
    <w:p>
      <w:pPr>
        <w:pStyle w:val="TextBody"/>
        <w:bidi w:val="0"/>
        <w:spacing w:before="0" w:after="180"/>
        <w:jc w:val="center"/>
        <w:rPr/>
      </w:pPr>
      <w:r>
        <w:rPr/>
        <w:drawing>
          <wp:inline distT="0" distB="0" distL="0" distR="0">
            <wp:extent cx="5181600" cy="2628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81600" cy="2628900"/>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5: Identification of peptide-level variants of BMP1 enabled by an unbiased approach. Peptide-level identification reveals individual BMP1 variants, showing an opposite pattern of differential expression in the short vs. long variants of BMP1 in individuals with non-small-cell lung cancer (NSCLC) compared to normal controls.</w:t>
      </w:r>
    </w:p>
    <w:p>
      <w:pPr>
        <w:pStyle w:val="TextBody"/>
        <w:bidi w:val="0"/>
        <w:spacing w:before="0" w:after="180"/>
        <w:jc w:val="left"/>
        <w:rPr>
          <w:rFonts w:ascii="Times New Roman" w:hAnsi="Times New Roman"/>
          <w:sz w:val="20"/>
        </w:rPr>
      </w:pPr>
      <w:r>
        <w:rPr>
          <w:rFonts w:ascii="Times New Roman" w:hAnsi="Times New Roman"/>
          <w:b/>
          <w:color w:val="000000"/>
          <w:sz w:val="20"/>
        </w:rPr>
        <w:t>Our Proprietary Engineered Nanoparticle Technology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leverages our proprietary engineered NP technology to overcome the limitations of existing methods, and enable an easy-to-use workflow for unbiased, deep, rapid and scalable proteomic analysis. Our proprietary engineered NPs provide unbiased sampling of intact proteins across the dynamic range of the proteome, capturing molecular information at the peptide-level, including protein variants. The NPs eliminate the need for complex workflows required by other unbiased approaches, which we believe will make proteomics more accessible to the broader scientific community.</w:t>
      </w:r>
    </w:p>
    <w:p>
      <w:pPr>
        <w:pStyle w:val="TextBody"/>
        <w:bidi w:val="0"/>
        <w:jc w:val="left"/>
        <w:rPr>
          <w:rFonts w:ascii="Times New Roman" w:hAnsi="Times New Roman"/>
          <w:color w:val="000000"/>
          <w:sz w:val="20"/>
        </w:rPr>
      </w:pPr>
      <w:r>
        <w:rPr>
          <w:rFonts w:ascii="Times New Roman" w:hAnsi="Times New Roman"/>
          <w:color w:val="000000"/>
          <w:sz w:val="20"/>
        </w:rPr>
        <w:t>Typically, nanoparticles have a diameter in the tens to hundreds of nanometers, much smaller than a human hair, which has a diameter of 80,000 nanometers. When nanoparticles come into contact with a biological sample, a thin layer of intact proteins rapidly, selectively and reproducibly adsorbs onto their surface, forming what is called a protein “corona.” Additional intact proteins can also bind directly to proteins already attached to the nanoparticle through protein-protein interactions (PPIs), and intact protein complexes may also attach to the nanoparticle directly. Our engineered NPs capture intact proteins across the dynamic range without requiring prior knowledge of proteome composition or designing the assay for specific protein targets. In combination with an unbiased mass spectrometry readout, they reveal molecular information at the peptide level revealing protein variants. At binding equilibrium, which occurs within minutes after our NPs encounter a biosample, the selective sampling of proteins by our NPs is robust and highly reproducible.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019800" cy="1800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19800" cy="1800225"/>
                    </a:xfrm>
                    <a:prstGeom prst="rect">
                      <a:avLst/>
                    </a:prstGeom>
                  </pic:spPr>
                </pic:pic>
              </a:graphicData>
            </a:graphic>
          </wp:inline>
        </w:drawing>
      </w:r>
      <w:r>
        <w:rPr/>
        <w:t> </w:t>
      </w:r>
    </w:p>
    <w:p>
      <w:pPr>
        <w:pStyle w:val="TextBody"/>
        <w:bidi w:val="0"/>
        <w:jc w:val="center"/>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6: Nanoparticles allow unbiased interrogation of proteoform diversity. Our nanoparticle technology leverages engineered physicochemical properties to reproducibly bind to proteins without prior knowledge, forming a protein corona.</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binding of proteins to the nanoparticle surface and protein sampling are primarily driven by three factors: (i) the affinity of a particular protein for the physicochemical surface of a specific nanoparticle; (ii) the concentration of a specific protein in a biological sample; and (iii) the affinity of the proteins for other proteins on the surface of the nanoparticle, forming PPIs. A variety of materials and methods are used to create different nanoparticles with distinct physicochemical properties, which generate a unique protein corona pattern and a unique proteomic fingerprint. As the amount of proteomic data increases, we will continue to refine the unique physicochemical properties of our NPs with advanced machine learning.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By combining nanoparticles in an assay, we can achieve a representative and thorough sampling across the dynamic range of the proteome, from high- to low-abundance proteins. In this way, we can replace complex biochemical laboratory workflows for the preparation of samples for deep, unbiased MS, enabling the capture of thousands of proteins from biofluids for large-scale proteomics studies. Nanoparticles can interrogate almost any solubilized biological sample, including cell or tissue homogenates, blood or blood components (such as plasma or serum), urine, saliva, cerebrospinal fluid and synovial fluid. This versatility, we believe, strongly suggests that a vast universe of different nanoparticles with different physicochemical properties could be employed across a broad range of sample types, to selectively, reproducibly and deeply sample the proteome in an unbiased way.</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validated our NP technology and the principle of protein corona formation as a robust and reproducible method to deeply and broadly profile the proteome in a high-throughput manner. We have characterized our technology and its performance in three peer-reviewed publications: </w:t>
      </w:r>
      <w:r>
        <w:rPr>
          <w:rFonts w:ascii="Times New Roman" w:hAnsi="Times New Roman"/>
          <w:i/>
          <w:color w:val="000000"/>
          <w:sz w:val="20"/>
        </w:rPr>
        <w:t>Nature Communications</w:t>
      </w:r>
      <w:r>
        <w:rPr>
          <w:rFonts w:ascii="Times New Roman" w:hAnsi="Times New Roman"/>
          <w:color w:val="000000"/>
          <w:sz w:val="20"/>
        </w:rPr>
        <w:t xml:space="preserve"> (Blume </w:t>
      </w:r>
      <w:r>
        <w:rPr>
          <w:rFonts w:ascii="Times New Roman" w:hAnsi="Times New Roman"/>
          <w:i/>
          <w:color w:val="000000"/>
          <w:sz w:val="20"/>
        </w:rPr>
        <w:t>et al.</w:t>
      </w:r>
      <w:r>
        <w:rPr>
          <w:rFonts w:ascii="Times New Roman" w:hAnsi="Times New Roman"/>
          <w:color w:val="000000"/>
          <w:sz w:val="20"/>
        </w:rPr>
        <w:t xml:space="preserve">), </w:t>
      </w:r>
      <w:r>
        <w:rPr>
          <w:rFonts w:ascii="Times New Roman" w:hAnsi="Times New Roman"/>
          <w:i/>
          <w:color w:val="000000"/>
          <w:sz w:val="20"/>
        </w:rPr>
        <w:t>PNAS</w:t>
      </w:r>
      <w:r>
        <w:rPr>
          <w:rFonts w:ascii="Times New Roman" w:hAnsi="Times New Roman"/>
          <w:color w:val="000000"/>
          <w:sz w:val="20"/>
        </w:rPr>
        <w:t xml:space="preserve"> (Ferdosi </w:t>
      </w:r>
      <w:r>
        <w:rPr>
          <w:rFonts w:ascii="Times New Roman" w:hAnsi="Times New Roman"/>
          <w:i/>
          <w:color w:val="000000"/>
          <w:sz w:val="20"/>
        </w:rPr>
        <w:t>et al.</w:t>
      </w:r>
      <w:r>
        <w:rPr>
          <w:rFonts w:ascii="Times New Roman" w:hAnsi="Times New Roman"/>
          <w:color w:val="000000"/>
          <w:sz w:val="20"/>
        </w:rPr>
        <w:t xml:space="preserve">), and </w:t>
      </w:r>
      <w:r>
        <w:rPr>
          <w:rFonts w:ascii="Times New Roman" w:hAnsi="Times New Roman"/>
          <w:i/>
          <w:color w:val="000000"/>
          <w:sz w:val="20"/>
        </w:rPr>
        <w:t>Advanced Materials</w:t>
      </w:r>
      <w:r>
        <w:rPr>
          <w:rFonts w:ascii="Times New Roman" w:hAnsi="Times New Roman"/>
          <w:color w:val="000000"/>
          <w:sz w:val="20"/>
        </w:rPr>
        <w:t xml:space="preserve"> (Ferdosi </w:t>
      </w:r>
      <w:r>
        <w:rPr>
          <w:rFonts w:ascii="Times New Roman" w:hAnsi="Times New Roman"/>
          <w:i/>
          <w:color w:val="000000"/>
          <w:sz w:val="20"/>
        </w:rPr>
        <w:t>et al.</w:t>
      </w:r>
      <w:r>
        <w:rPr>
          <w:rFonts w:ascii="Times New Roman" w:hAnsi="Times New Roman"/>
          <w:color w:val="000000"/>
          <w:sz w:val="20"/>
        </w:rPr>
        <w: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consisting of consumables, an automation instrument, and software to perform unbiased, deep proteomic analysis at scale in a matter of hours. We designed the Proteograph workflow to be efficient and easy-to-use, and to leverage common laboratory instrumentation to enable adoption in both centralized and decentralized settings, making deep, unbiased proteomics accessible to nearly any lab.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consumables consist of our NPs and all other consumables necessary to assay samples in an automated workflow on our SP100 automation instrument. Our automated workflow is custom configured for researchers to assay samples in approximately eight hours, which includes approximately 30 minutes of hands-on time and seven and a half hours of automated instrument time. The output from the Proteograph workflow consists of peptides ready to be processed and evaluated on an MS instrument. The Proteograph Product Suite is detector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agnostic and, we believe, will be adaptable to other protein detection instruments in the future. The MS component of the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to researchers. The Proteograph Analysis Suite, a data analytics software suite, provides quality control and allows researchers to analyze and interpret the output from the system to gain insights from their data.</w:t>
      </w:r>
    </w:p>
    <w:p>
      <w:pPr>
        <w:pStyle w:val="TextBody"/>
        <w:bidi w:val="0"/>
        <w:spacing w:before="0" w:after="180"/>
        <w:jc w:val="center"/>
        <w:rPr/>
      </w:pPr>
      <w:r>
        <w:rPr/>
        <w:drawing>
          <wp:inline distT="0" distB="0" distL="0" distR="0">
            <wp:extent cx="6019800" cy="1743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19800" cy="1743075"/>
                    </a:xfrm>
                    <a:prstGeom prst="rect">
                      <a:avLst/>
                    </a:prstGeom>
                  </pic:spPr>
                </pic:pic>
              </a:graphicData>
            </a:graphic>
          </wp:inline>
        </w:drawing>
      </w: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7: Proteograph Product Suite comprises consumables, an automation instrument, and software.</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Consumables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launched our second assay, Proteograph XT, in June 2023, which significantly enhanced the sample throughput of the Proteograph Product Suite and MS instrument, while also improving performance as measured by protein group identification.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XT assay employs two wells of NPs, assay buffers and reagents for protein lysis and digestion, peptide purification, peptide quantification and the reconstitution of lyophilized materials. We designed the performance specifications of the Proteograph Product Suite to meet the core needs of the market in terms of protein coverage and sample throughput required for proteomic experiments that are unbiased and at-scale. The current product allows for the interrogation and processing of up to 40 samples in parallel on a single 96-well plate in approximately eight hours. Each sample incubates separately in two wells, yielding 80 wells of peptides in a 96-well plate. The remaining 16 wells are reserved for integrated quality control samples to ensure consistent process performance and to aid in troubleshooting.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ready availability of non-particle reagents, combined with our ability to efficiently design and fabricate different NPs with different chemical properties, greatly facilitates the development and production of future iterations or additional versions of the Proteograph assays to address potential customer needs, such as expanded protein coverage or specialized assays, including potential assays that can be used with clinical products.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Automation Instrument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Proteograph assay to be run in a robust and automated manner on our SP100 automation instrument, which is a custom-configured, industry-standard, liquid handling workstation. Our SP100 instrument is designed to enable studies of hundreds to thousands of samples, with an automated workflow that allows for rapid, highly-parallel sample processing with approximately 30 minutes of set-up time. We believe the flexibility of our instrument, coupled with the inherent diversity of our NP technology, provides a runway for many future potential applications and workflows.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workflow is driven by the Instrument Control Software (ICS) on the SP100 automation instrument. The workflow has been configured to process one full 96-well plate at a time, in just eight hours, processing 40 samples in parallel. The output of the Proteograph workflow consists of peptides that are quantified, dried, and can be reconstituted when ready for injection into a mass spectrometer. MS provides quantitative unbiased detection, either on an instrument provided by the user, or sent out for MS analysis to a third-party provider.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Analysis Suite (PAS) is designed for ease-of-use and efficiency to help users arrive at insights quickly. To accommodate varying customer needs, we have designed the PAS to be cloud-based and, in the future, to be available via more localized solutions that accommodate different customer types and geographies. The PAS offers a predefined workflow for data management and analysis, leveraging publicly available MS data analysis tools as well as our own proprietary analysis tools. Without the PAS, proteomics analysis requires expert knowledge and a scalable high-performance computer infrastructure. We believe that the PAS can accelerate adoption of the Proteograph among non-experts by providing an intuitive user interface that automates data handling, simplifies processing and analysis and provides access to a scalable infrastructure that can be used by any lab.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PAS also includes a dedicated proteogenomics workflow that maps peptide-level data to genomic data to identify sample-specific variant peptides not captured in canonical reference databases. The workflow provides interactive tables and plots, enables visualization of identified peptides’ relationship to gene structure, protein domain information and functional regions, and creates amino acid-level browsable peptide data maps.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Currently, one potential roadblock for researchers is understanding and evaluating the quality of their results. The Proteograph Assay Kit incorporates a series of controls for monitoring assay performance, and an integrated view of the results of these control runs via the PAS. Customers can evaluate trends over time and implement performance boundaries around the expected values that flag unexpected outcomes in the data. We believe providing a simple, consistent interface to evaluate the control data and generate a quality control (QC) report will help customers understand our approach to QC in the Proteograph workflow, simplifying support.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Through a series of updates in 2023, the latest version of our PAS introduces significant improvements in the core MS analysis workflow that increase the depth of proteome information users can derive from their data. The improved analysis workflow also includes a new proprietary data processing method that enables the use of higher quality analysis methods at scale, which is valuable for population-scale research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improve and extend our product portfolio, we expect to continue to expand the capabilities and features in the PAS.</w:t>
      </w:r>
    </w:p>
    <w:p>
      <w:pPr>
        <w:pStyle w:val="TextBody"/>
        <w:bidi w:val="0"/>
        <w:spacing w:before="0" w:after="180"/>
        <w:jc w:val="left"/>
        <w:rPr>
          <w:rFonts w:ascii="Times New Roman" w:hAnsi="Times New Roman"/>
          <w:sz w:val="20"/>
        </w:rPr>
      </w:pPr>
      <w:r>
        <w:rPr>
          <w:rFonts w:ascii="Times New Roman" w:hAnsi="Times New Roman"/>
          <w:b/>
          <w:color w:val="000000"/>
          <w:sz w:val="20"/>
        </w:rPr>
        <w:t>Proteograph Product Suite Performance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these technical and operational capabilities. Furthermore, we rigorously measure and evaluate each of these technical attributes, as we describe below. </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Breadth of protein sampling</w:t>
      </w:r>
      <w:r>
        <w:rPr>
          <w:rFonts w:ascii="Times New Roman" w:hAnsi="Times New Roman"/>
          <w:color w:val="000000"/>
          <w:sz w:val="20"/>
        </w:rPr>
        <w:t>. This capability refers to conducting unbiased, highly parallel sampling of the proteome. Each well of the XT assay contains uniquely engineered NPs that selectively capture thousands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In a head-to-head experiment, Thermo Scientific</w:t>
      </w:r>
      <w:r>
        <w:rPr>
          <w:rFonts w:ascii="Times New Roman" w:hAnsi="Times New Roman"/>
          <w:color w:val="000000"/>
          <w:sz w:val="13"/>
        </w:rPr>
        <w:t>TM</w:t>
      </w:r>
      <w:r>
        <w:rPr>
          <w:rFonts w:ascii="Times New Roman" w:hAnsi="Times New Roman"/>
          <w:color w:val="000000"/>
          <w:sz w:val="20"/>
        </w:rPr>
        <w:t xml:space="preserve"> directly compared the breadth of the Proteograph Product Suite to other unbiased proteomics methods using the same biological sample. Neat plasma, which represents the simplest form of unbiased proteomic analysis requiring minimal processing time using another method, resulted in a depth of coverage of 767 proteins. Using the Proteograph Product Suite, Thermo Scientific</w:t>
      </w:r>
      <w:r>
        <w:rPr>
          <w:rFonts w:ascii="Times New Roman" w:hAnsi="Times New Roman"/>
          <w:color w:val="000000"/>
          <w:sz w:val="13"/>
        </w:rPr>
        <w:t>TM</w:t>
      </w:r>
      <w:r>
        <w:rPr>
          <w:rFonts w:ascii="Times New Roman" w:hAnsi="Times New Roman"/>
          <w:color w:val="000000"/>
          <w:sz w:val="20"/>
        </w:rPr>
        <w:t xml:space="preserve"> detected 6,033 proteins in plasma, representing 7.5x expansion in depth of protein coverage.</w:t>
      </w:r>
    </w:p>
    <w:p>
      <w:pPr>
        <w:pStyle w:val="TextBody"/>
        <w:bidi w:val="0"/>
        <w:jc w:val="left"/>
        <w:rPr>
          <w:rFonts w:ascii="Times New Roman" w:hAnsi="Times New Roman"/>
          <w:color w:val="000000"/>
          <w:sz w:val="20"/>
        </w:rPr>
      </w:pPr>
      <w:r>
        <w:rPr>
          <w:rFonts w:ascii="Times New Roman" w:hAnsi="Times New Roman"/>
          <w:color w:val="000000"/>
          <w:sz w:val="20"/>
        </w:rPr>
        <w:t>Across a set of 2,428 plasma samples, we identified over 10,600 proteins.</w:t>
      </w:r>
    </w:p>
    <w:p>
      <w:pPr>
        <w:pStyle w:val="TextBody"/>
        <w:bidi w:val="0"/>
        <w:jc w:val="left"/>
        <w:rPr/>
      </w:pPr>
      <w:r>
        <w:rPr/>
        <w:t> </w:t>
      </w:r>
    </w:p>
    <w:p>
      <w:pPr>
        <w:pStyle w:val="TextBody"/>
        <w:bidi w:val="0"/>
        <w:jc w:val="center"/>
        <w:rPr/>
      </w:pPr>
      <w:r>
        <w:rPr/>
        <w:drawing>
          <wp:inline distT="0" distB="0" distL="0" distR="0">
            <wp:extent cx="3438525" cy="3257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38525" cy="3257550"/>
                    </a:xfrm>
                    <a:prstGeom prst="rect">
                      <a:avLst/>
                    </a:prstGeom>
                  </pic:spPr>
                </pic:pic>
              </a:graphicData>
            </a:graphic>
          </wp:inline>
        </w:drawing>
      </w:r>
      <w:r>
        <w:rPr/>
        <w:t> </w:t>
      </w:r>
    </w:p>
    <w:p>
      <w:pPr>
        <w:pStyle w:val="TextBody"/>
        <w:bidi w:val="0"/>
        <w:jc w:val="center"/>
        <w:rPr/>
      </w:pP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8: Proteograph XT demonstrates a 7.5x expansion in depth of coverage compared to neat plasma. Across 2,428 plasma samples, over 10,600 proteins were identified.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5276850" cy="332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76850" cy="3324225"/>
                    </a:xfrm>
                    <a:prstGeom prst="rect">
                      <a:avLst/>
                    </a:prstGeom>
                  </pic:spPr>
                </pic:pic>
              </a:graphicData>
            </a:graphic>
          </wp:inline>
        </w:drawing>
      </w:r>
      <w:r>
        <w:rPr/>
        <w:t> </w:t>
      </w:r>
    </w:p>
    <w:p>
      <w:pPr>
        <w:pStyle w:val="TextBody"/>
        <w:bidi w:val="0"/>
        <w:jc w:val="left"/>
        <w:rPr/>
      </w:pP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9. Proteograph XT consistently demonstrates an improvement in depth of coverage for each new mass spectrometer technologies released since 2020.</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Importantly, the Proteograph protein data is obtained using an MS detector, which is the gold standard for proteomics, and data is conventionally reported with a one percent False Discovery Rate (FDR). This means that the reported proteins are identified with 99% confidence.</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Depth of coverage</w:t>
      </w:r>
      <w:r>
        <w:rPr>
          <w:rFonts w:ascii="Times New Roman" w:hAnsi="Times New Roman"/>
          <w:color w:val="000000"/>
          <w:sz w:val="20"/>
        </w:rPr>
        <w:t>. The Proteograph can quantify the proteome across a wide dynamic range of protein abundance. Figure 10 compares the depth of coverage of our assay with that of plasma. Figure 10 below demonstrates that the Proteograph assay samples proteins across the entire dynamic range of the plasma proteome, as defined in the Human Plasma Proteome Project database (Schwenk et al.), whereas neat plasma samples only the most abundant proteins.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80"/>
        <w:jc w:val="center"/>
        <w:rPr/>
      </w:pPr>
      <w:r>
        <w:rPr/>
        <w:drawing>
          <wp:inline distT="0" distB="0" distL="0" distR="0">
            <wp:extent cx="5715000" cy="3171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3171825"/>
                    </a:xfrm>
                    <a:prstGeom prst="rect">
                      <a:avLst/>
                    </a:prstGeom>
                  </pic:spPr>
                </pic:pic>
              </a:graphicData>
            </a:graphic>
          </wp:inline>
        </w:drawing>
      </w: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10: The Proteograph identifies more proteomic content. The Proteograph workflow identifies protein across the dynamic range of the plasma proteome whereas neat plasma is limited to the most abundant proteins.</w:t>
      </w:r>
      <w:r>
        <w:rPr>
          <w:rFonts w:ascii="Times New Roman" w:hAnsi="Times New Roman"/>
          <w:color w:val="000000"/>
          <w:sz w:val="20"/>
        </w:rPr>
        <w:t xml:space="preserve"> </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Accuracy of measurement.</w:t>
      </w:r>
      <w:r>
        <w:rPr>
          <w:color w:val="000000"/>
        </w:rPr>
        <w:t xml:space="preserve"> </w:t>
      </w:r>
      <w:r>
        <w:rPr>
          <w:rFonts w:ascii="Times New Roman" w:hAnsi="Times New Roman"/>
          <w:color w:val="000000"/>
          <w:sz w:val="20"/>
        </w:rPr>
        <w:t>This capability measures how close the measured abundance of a protein is to the true abundance in a sample. The true abundance of a large number of proteins at the protein variant level at scale is not independently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real-world accuracy of the Proteograph Product Suite. Panel A of Figure 11 shows how the change in MS intensity or intensity fold change varies when mixing the two plasmas at different ratios. Panel B of Figure 11 shows the results of this experiment, looking at threefold changes: 2X, 5.5X, and 11X. At each level, the dashed line is the expected fold change. The gray bars represent the distribution of bovine unique peptides for a neat plasma workflow, the dark blue bars represent the unique bovine peptides detected by both the Proteograph and the neat workflow and the teal bars represent all unique bovine peptides detected by Proteograph. In all cases, the median of each distribution is close to the dashed line, indicating that the median fold change is close to the expected value.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pPr>
      <w:r>
        <w:rPr/>
        <w:drawing>
          <wp:inline distT="0" distB="0" distL="0" distR="0">
            <wp:extent cx="6019800" cy="2695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019800" cy="2695575"/>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11: The Proteograph offers a high-degree of accuracy. (A) Three representative pairs of spiked-in samples and the expected fold changes of bovine proteins concentration in these pairs. (B) Distribution of observed fold changes of bovine proteins for three selected comparisons of spiked-in samples. The color indicates the data source: (i) neat digestion (gray), or (ii) Proteograph workflow constrained to proteins also identified in neat (dark blue) or (iii) Proteograph workflow all proteins (teal). The horizontal dashed lines indicate the expected fold changes.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Reproducibility of measurement in large studies.</w:t>
      </w:r>
      <w:r>
        <w:rPr>
          <w:color w:val="000000"/>
        </w:rPr>
        <w:t xml:space="preserve"> </w:t>
      </w:r>
      <w:r>
        <w:rPr>
          <w:rFonts w:ascii="Times New Roman" w:hAnsi="Times New Roman"/>
          <w:color w:val="000000"/>
          <w:sz w:val="20"/>
        </w:rPr>
        <w:t>Reproducibility, also referred to as precision, is a measure of the consistency of protein 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mass spectrometry instrument, aggregate to form the overall CV% of the workflow (Figure 12; left panel). The typical CV% of MS instrumentation, derived by running the same peptide mixture in consecutive MS injections, is approximately 10%. Using the Proteograph assay to make protein measurements within a single plate adds approximately 7%, for a total CV of about 17%. Running a study across multiple plates and days adds further MS and Proteograph variability for a total system CV% of approximately 20%. Using data acquired over a long-running study, the Proteograph can derive power curves illustrating the power to detect fold changes of different sizes (Figure 12; right panel). For example, 1.5-fold and two-fold changes in protein abundance can be detected with 90% power in sample sizes of 192 and 66, respectively. Typical biological cohorts are much larger than this to capture biological variability and so we believe that the reproducibility of the Proteograph is well-calibrated for biomarker discovery and clinical proteomics.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80"/>
        <w:jc w:val="center"/>
        <w:rPr/>
      </w:pPr>
      <w:r>
        <w:rPr/>
        <w:drawing>
          <wp:inline distT="0" distB="0" distL="0" distR="0">
            <wp:extent cx="6019800" cy="1857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019800" cy="1857375"/>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12: (A) contributors to CV; (B) smaller fold changes can be detected with increased power with larger study sizes.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Scalability</w:t>
      </w:r>
      <w:r>
        <w:rPr>
          <w:rFonts w:ascii="Times New Roman" w:hAnsi="Times New Roman"/>
          <w:color w:val="000000"/>
          <w:sz w:val="20"/>
        </w:rPr>
        <w:t>. The Proteograph Product Suite enables rapid and large-scale proteomic sample processing in an approximately eight-hour workflow, compared to other unbiased solutions that can take days to weeks. With our current assay, we can process 40 samples in a single run of the Proteograph SP100 instrument. Therefore, a single Proteograph Product Suite coupled with one MS instrument can process hundreds of samples per week and approximately 10,000 samples annually, for unbiased and deep proteomic analysis. In comparison, the unbiased workflows developed by leading proteomics labs can take weeks for sample preparation and MS measurement to reach an equivalent depth of proteomic coverage.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Proteograph will be attractive to researchers who are looking for an easy-to-use, scalable approach with a unique combination of attributes spanning breadth, depth, accuracy, reproducibility and precision of measurement, and the speed and throughput necessary for large-scale proteomics studies. Furthermore, the peptide-level data that the Proteograph Product Suite provides at scale are crucial for gaining novel biological insights.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Advantages of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 Proteograph Product Suite and its underlying NP technology have unique advantages: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The first commercially available solution to combine unbiased, deep, rapid and large-scale access to the proteome. </w:t>
      </w:r>
      <w:r>
        <w:rPr>
          <w:rFonts w:ascii="Times New Roman" w:hAnsi="Times New Roman"/>
          <w:color w:val="000000"/>
          <w:sz w:val="20"/>
        </w:rPr>
        <w:t>Other proteomics technologies currently exist, but we believe that the Proteograph Product Suite fills a gap by providing all four attributes in a single solution with an easy-to-use workflow.</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Provides unique insight into protein variation at the peptide level, with a depth and scale that sets a new standard for unbiased and deep proteomics. </w:t>
      </w:r>
      <w:r>
        <w:rPr>
          <w:rFonts w:ascii="Times New Roman" w:hAnsi="Times New Roman"/>
          <w:color w:val="000000"/>
          <w:sz w:val="20"/>
        </w:rPr>
        <w:t>The Proteograph’s ability to capture protein variations at scale enables synergistic insights when combined with genomic variations, yielding informative individualized models of biology at population scale.</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Allows for wide adoption by customers in both decentralized and centralized settings.</w:t>
      </w:r>
      <w:r>
        <w:rPr>
          <w:color w:val="000000"/>
        </w:rPr>
        <w:t xml:space="preserve"> </w:t>
      </w:r>
      <w:r>
        <w:rPr>
          <w:rFonts w:ascii="Times New Roman" w:hAnsi="Times New Roman"/>
          <w:color w:val="000000"/>
          <w:sz w:val="20"/>
        </w:rPr>
        <w:t>The Proteograph Product Suite is an integrated solution that includes consumables, an automation instrument and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We believe these features will facilitate broad adoption of the Proteograph solution across a variety of laboratories and institutions in both decentralized and centralized settings.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Offers a core technology with the potential for development of a range of products, applications and platforms.</w:t>
      </w:r>
      <w:r>
        <w:rPr>
          <w:color w:val="000000"/>
        </w:rPr>
        <w:t xml:space="preserve"> </w:t>
      </w:r>
      <w:r>
        <w:rPr>
          <w:rFonts w:ascii="Times New Roman" w:hAnsi="Times New Roman"/>
          <w:color w:val="000000"/>
          <w:sz w:val="20"/>
        </w:rPr>
        <w:t>Our diverse and expanding library of NP surfaces can support the development of new products catering to various applications and customer needs. We are using machine-learning techniques and conducting large-scale analyses to understand relationships between NP surfaces and protein binding in order to design our future products.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Provides core technology with significant operational leverage in research and development, manufacturing and commercialization.</w:t>
      </w:r>
      <w:r>
        <w:rPr>
          <w:color w:val="000000"/>
        </w:rPr>
        <w:t xml:space="preserve"> </w:t>
      </w:r>
      <w:r>
        <w:rPr>
          <w:rFonts w:ascii="Times New Roman" w:hAnsi="Times New Roman"/>
          <w:color w:val="000000"/>
          <w:sz w:val="20"/>
        </w:rPr>
        <w:t>NP-based products are efficient to design, develop and manufacture. 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Presents a solution with sustainable differentiation.</w:t>
      </w:r>
      <w:r>
        <w:rPr>
          <w:color w:val="000000"/>
        </w:rPr>
        <w:t xml:space="preserve"> </w:t>
      </w:r>
      <w:r>
        <w:rPr>
          <w:rFonts w:ascii="Times New Roman" w:hAnsi="Times New Roman"/>
          <w:color w:val="000000"/>
          <w:sz w:val="20"/>
        </w:rPr>
        <w:t>The Proteograph is uniquely capable of generating robust, reproducible, deep and unbiased proteomic data. As this data is used by more customers to generate insights, we believe this cycle will fuel further adoption of the Proteograph Product Suite. The Proteograph workflow is fully integrable with customer workflows and provides a unique user experience with the support of our software packages, making it a sustainable solution within customer organizations. Our NP technology, SP100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Applications of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 ability to generate unbiased, deep, proteomic data at scale, with rich content at the protein variant level, will have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urine, cerebral spinal fluid, and conditioned media, we noted superior protein group identification by the Proteograph of 4x, 1.5x, 1.5x, and 8.6x, respectively. Importantly, in each sample, we measured tens of thousands of data points at the peptide level, providing information on thousands of proteins. We believe this extensibility offers researchers a powerful and flexible tool to utilize across a variety of applications and sample types.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Basic Research and Discovery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Proteograph will be a valuable tool for researchers across a wide range of basic research and discovery applications, including cataloging protein diversity, proteogenomics and exploring the interactome. Studies in these areas are currently limited in scale by the complexity of unbiased methods or the limited set of affinity-based reagents available for biased methods. The Proteograph Product Suite is designed to enable the use of unbiased proteomic data at scale, which we believe will greatly accelerate these areas of basic research and discovery.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Cataloging protein diversity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is designed to enable researchers to explore the complexity and diversity of the proteome with peptide level resolution. We anticipate that researchers will use the Proteograph solution to catalog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protein variants in a manner similar to the cataloging of genetic variants over the past 15 years, providing functional context at a scale that is not currently accessible with other proteomics methods. We believe that identifying protein variants, including those resulting from PTMs such as glycosylation and phosphorylation, can significantly transform the life sciences field.</w:t>
      </w:r>
    </w:p>
    <w:p>
      <w:pPr>
        <w:pStyle w:val="TextBody"/>
        <w:bidi w:val="0"/>
        <w:jc w:val="left"/>
        <w:rPr>
          <w:rFonts w:ascii="Times New Roman" w:hAnsi="Times New Roman"/>
          <w:color w:val="000000"/>
          <w:sz w:val="20"/>
        </w:rPr>
      </w:pPr>
      <w:r>
        <w:rPr>
          <w:rFonts w:ascii="Times New Roman" w:hAnsi="Times New Roman"/>
          <w:color w:val="000000"/>
          <w:sz w:val="20"/>
        </w:rPr>
        <w:t>In January 2024, we launched the Protein Discovery Catalog on our website with the goals to remove barriers to access, empower researchers, and drive new lead generation. The Protein Discovery Catalog is a fully-accessible, searchable catalog with over 10,000 proteins across 1,900 expression pathways. This catalog is our first published index of the unprecedented depth of empirically observed proteins captured by the Proteograph to date.</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Proteogenomics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Proteogenomics is a rapidly growing field of research that integrates genomic and transcriptomic information with proteomic information, using personalized protein sequence databases to identify novel peptides. The Proteograph generates large-scale unbiased proteomic data at peptide-level resolution, enabling researchers to map protein variants to genomic variants, advancing the field of proteogenomics. We anticipate that as researchers conduct large-scale proteomics studies with the Proteograph, proteogenomic content will rapidly increase, providing functional information to existing genomics and gene expression information.</w:t>
      </w:r>
    </w:p>
    <w:p>
      <w:pPr>
        <w:pStyle w:val="TextBody"/>
        <w:bidi w:val="0"/>
        <w:jc w:val="left"/>
        <w:rPr>
          <w:rFonts w:ascii="Times New Roman" w:hAnsi="Times New Roman"/>
          <w:sz w:val="20"/>
        </w:rPr>
      </w:pPr>
      <w:r>
        <w:rPr>
          <w:rFonts w:ascii="Times New Roman" w:hAnsi="Times New Roman"/>
          <w:color w:val="000000"/>
          <w:sz w:val="20"/>
        </w:rPr>
        <w:t xml:space="preserve">In February 2024, in the first such study undertaken and published in </w:t>
      </w:r>
      <w:r>
        <w:rPr>
          <w:rFonts w:ascii="Times New Roman" w:hAnsi="Times New Roman"/>
          <w:i/>
          <w:color w:val="000000"/>
          <w:sz w:val="20"/>
        </w:rPr>
        <w:t>Nature Communications</w:t>
      </w:r>
      <w:r>
        <w:rPr>
          <w:rFonts w:ascii="Times New Roman" w:hAnsi="Times New Roman"/>
          <w:color w:val="000000"/>
          <w:sz w:val="20"/>
        </w:rPr>
        <w:t xml:space="preserve"> (Suhre </w:t>
      </w:r>
      <w:r>
        <w:rPr>
          <w:rFonts w:ascii="Times New Roman" w:hAnsi="Times New Roman"/>
          <w:i/>
          <w:color w:val="000000"/>
          <w:sz w:val="20"/>
        </w:rPr>
        <w:t>et al.</w:t>
      </w:r>
      <w:r>
        <w:rPr>
          <w:rFonts w:ascii="Times New Roman" w:hAnsi="Times New Roman"/>
          <w:color w:val="000000"/>
          <w:sz w:val="20"/>
        </w:rPr>
        <w:t xml:space="preserve">), genomics researchers at Weill Cornell Medicine-Qatar demonstrated the value of deep, unbiased proteomic information at the peptide level in the identification of protein quantitative trait loci (pQTLs). In proteogenomic studies, pQTLs are loci of genomic variation that affect the level of protein expression. Identification of these loci at the genome level is an important first step in further analyses of biomolecular pathways and has direct application in the study of disease and identification of promising drug targets. These researchers harnessed the Proteograph workflow to perform pQTL analysis in a manner that is not afflicted by potential artifacts that protein variants can cause, as is understood to be the case with existing studies. The researchers demonstrated a MS-specific workflow for performing such analyses, which may facilitate future pQTL analyses of larger cohorts. From a cohort of 345 individuals, the researchers detected approximately 3,000 proteins and more than 18,000 peptides, demonstrating deep visibility into the proteome. In this proof-of-concept study, researchers: (i) confirmed a subset of </w:t>
      </w:r>
      <w:r>
        <w:rPr>
          <w:rFonts w:ascii="Times New Roman" w:hAnsi="Times New Roman"/>
          <w:i/>
          <w:color w:val="000000"/>
          <w:sz w:val="20"/>
        </w:rPr>
        <w:t>cis</w:t>
      </w:r>
      <w:r>
        <w:rPr>
          <w:rFonts w:ascii="Times New Roman" w:hAnsi="Times New Roman"/>
          <w:color w:val="000000"/>
          <w:sz w:val="20"/>
        </w:rPr>
        <w:t xml:space="preserve">-pQTLs previously identified by affinity-based methods; (ii) identified novel </w:t>
      </w:r>
      <w:r>
        <w:rPr>
          <w:rFonts w:ascii="Times New Roman" w:hAnsi="Times New Roman"/>
          <w:i/>
          <w:color w:val="000000"/>
          <w:sz w:val="20"/>
        </w:rPr>
        <w:t>cis</w:t>
      </w:r>
      <w:r>
        <w:rPr>
          <w:rFonts w:ascii="Times New Roman" w:hAnsi="Times New Roman"/>
          <w:color w:val="000000"/>
          <w:sz w:val="20"/>
        </w:rPr>
        <w:t xml:space="preserve"> signal corresponding to putatively </w:t>
      </w:r>
      <w:r>
        <w:rPr>
          <w:rFonts w:ascii="Times New Roman" w:hAnsi="Times New Roman"/>
          <w:i/>
          <w:color w:val="000000"/>
          <w:sz w:val="20"/>
        </w:rPr>
        <w:t>trans</w:t>
      </w:r>
      <w:r>
        <w:rPr>
          <w:rFonts w:ascii="Times New Roman" w:hAnsi="Times New Roman"/>
          <w:color w:val="000000"/>
          <w:sz w:val="20"/>
        </w:rPr>
        <w:t>-pQTLs identified by affinity-based methods; and (iii) reported additional pQTLs not previously reported by affinity-based methods. With these results, researchers uncovered potential crucial genetic variants linked to GIP and ApoB levels relevant to conditions like Type 2 diabetes and cardiovascular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paper highlights several key insights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pQTL analysis can be performed using data obtained from the Proteograph workflow.</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Proteograph workflow improves identification of protein variants not measured by affinity-based methods.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Identification of genetic variants associated with pQTLs and confirmation that epitope effects likely impact pQTL results from affinity-based methods.</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study constitutes the first proteogenomic analysis on a human cohort where peptide-level genetic variation has been investigated with a mass-spectrometry approach.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Translational Research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Researchers can use the Proteograph for translational research applications aimed at shortening the time from early discovery research to clinical application. The Proteograph Product Suite allows clinical and translational researchers an opportunity to perform unbiased, deep and large-scale proteomics studies in therapeutic and diagnostic research and clinical trials, which can allow for significant advances in biomarker discovery, target identification and exploration and clinical trial applications.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Biomarker Discovery</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Currently, </w:t>
      </w:r>
      <w:r>
        <w:rPr>
          <w:rFonts w:ascii="Times New Roman" w:hAnsi="Times New Roman"/>
          <w:i/>
          <w:color w:val="000000"/>
          <w:sz w:val="20"/>
        </w:rPr>
        <w:t>de novo</w:t>
      </w:r>
      <w:r>
        <w:rPr>
          <w:rFonts w:ascii="Times New Roman" w:hAnsi="Times New Roman"/>
          <w:color w:val="000000"/>
          <w:sz w:val="20"/>
        </w:rPr>
        <w:t xml:space="preserve"> biomarker discovery research is limited by the size of unbiased studies or is targeted in nature. These approaches have yet to uncover the large number of potential single biomarkers or combinations of markers for a range of clinical applications. The Proteograph has the potential to enable the discovery of biomarkers through large-scale, unbiased and deep proteomics studies.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Utilizing a $2 million SBIR grant to the Company and Massachusetts General Hospital (MGH) from the National Institute on Aging (NIA), researchers from the Company and MGH conducted a study that analyzed 1,800 plasma samples comprising both controls and individuals diagnosed with cognitive decline, including Alzheimer’s Disease (AD) (Lacar </w:t>
      </w:r>
      <w:r>
        <w:rPr>
          <w:rFonts w:ascii="Times New Roman" w:hAnsi="Times New Roman"/>
          <w:i/>
          <w:color w:val="000000"/>
          <w:sz w:val="20"/>
        </w:rPr>
        <w:t>et al.)</w:t>
      </w:r>
      <w:r>
        <w:rPr>
          <w:rFonts w:ascii="Times New Roman" w:hAnsi="Times New Roman"/>
          <w:color w:val="000000"/>
          <w:sz w:val="20"/>
        </w:rPr>
        <w:t>. The samples were collected over a 10-year period, allowing the researchers to investigate proteins associated with the progression of, or protection against, cognitive decline. When comparing the AD affected individuals with controls, researchers identified 138 proteins that were up or down regulated in AD individuals. Of these 138 proteins, only 44 have been previously associated with AD. The remaining 94 represent putative biomarkers of AD, potentially highlighting new biological insight.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Researchers used clinical information to identify the point of significant cognitive decline and determined proteins that separated the population into fast and slow decliners. Researchers identified eight such significant proteins and are now investigating how these results may be advanced to develop a score indicating the likelihood of cognitive decline in a particular timeframe. One such example is shown in Figure 13 below. Higher abundance of this protein is associated with greater probability of cognitive decline.</w:t>
      </w:r>
    </w:p>
    <w:p>
      <w:pPr>
        <w:pStyle w:val="TextBody"/>
        <w:bidi w:val="0"/>
        <w:jc w:val="left"/>
        <w:rPr>
          <w:rFonts w:ascii="Times New Roman" w:hAnsi="Times New Roman"/>
          <w:color w:val="000000"/>
          <w:sz w:val="20"/>
        </w:rPr>
      </w:pPr>
      <w:r>
        <w:rPr>
          <w:rFonts w:ascii="Times New Roman" w:hAnsi="Times New Roman"/>
          <w:color w:val="000000"/>
          <w:sz w:val="20"/>
        </w:rPr>
        <w:t>We believe such studies are uniquely made possible using deep, unbiased proteomics at scale using the Proteograph Product Suite because 55% of these 138 proteins are not present on a commercially available high-plex affinity based panel and there is no other practical way to do a deep unbiased proteomics study on 1,800 plasma samples other than leveraging the Proteograph Product Suite.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pPr>
      <w:r>
        <w:rPr/>
        <w:drawing>
          <wp:inline distT="0" distB="0" distL="0" distR="0">
            <wp:extent cx="3190875" cy="2962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190875" cy="2962275"/>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13: Shows the probability of no decline as a function of follow up time. Higher levels of the protein are associated with higher probability of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Target Identification and Exploration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large-scale access to protein variant information that map to different states of health and disease, as enabled by the Proteograph and concurrent advances in proteogenomics, could lead to the discovery of personalized drug targets that could number in the hundreds of thousands. We believe that the translational application of the Proteograph for potential biomarker development may also be applied to the identification of novel targets for therapeutic development. Components of classifiers may themselves become targets for drug development, or they may point to new knowledge with respect to disease mechanisms, which could then aid in the exploration of additional targets and/or help to elucidate the function of potential targets, particularly if these targets are discovered with genomics approaches, but lack protein functional context.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Clinical Trial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provides clinical researchers with the opportunity to perform deep and broad proteomic profiling of subjects in therapeutic clinical trials, enabling the real-time monitoring of protein-related drug effects, distribution and metabolism. These attributes are essential in virtually all clinical drug trials. Current methods use biased or targeted panels of proteins. It is currently impractical to do this type of monitoring with unbiased proteomic methods, given the inability of these methods to scale to the hundreds or thousands of samples that are evaluated in clinical trials.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may also enable patient selection and grouping based on patients’ proteomics profiles, leading to improved ability to confirm efficacy for novel therapies in complex diseases that involve multiple physiological systems. While genomic approaches are widely used to select patients in cancer and rare genetic disease clinical trials, their use in other indications has been limited by a lack of genetic understanding of these diseases. We believe that the Proteograph has the potential to generate useful proteomic signatures that can complement genomic and other patient selection criteria, improving patient selection and segmentation for clinical trials, particularly for indications outside of cancer and rare genetic diseases.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example, the development of therapies for CLN3 Batten disease, a rare pediatric lysosomal storage disorder, has been hindered by the lack of etiological insights and translatable biomarkers to clinics. Researchers from Sanford Research used a deep multi-omics approach to discover new biomarkers using longitudinal serum samples from a porcine model of CLN3 disease. Comprehensive metabolomics was combined with the Proteograph and LC-MS to generate quantitative data on 769 metabolites and 2,634 proteins, collectively the most exhaustive multi-omics profile conducted on serum from a porcine model, which was previously impossible due a to lack of efficient deep serum proteome profiling technologies compatible with model organisms.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presymptomatic disease state was characterized by elevations in certain species and proteases, while later timepoints were enriched with species involved in immune cell activation and metabolism. Four specific putative biomarkers captured a large portion of the genotype-correlated variation between healthy and diseased animals, suggesting that an index score based on these analytes could have great utility in the clinic.</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Diagnostic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Proteograph Product Suite also holds significant diagnostic potential. The unbiased, deep and scalable proteomic data generated by the Proteograph has the potential to create ecosystems, similar to the way in which NGS enabled genomics-based diagnostics for cancer and rare genetic diseases. We expect that companies in the healthcare testing space, including our spin-out PrognomiQ, will utilize the Proteograph solution, and we are committed to supporting all of our customers as the ecosystem grows, not only in their basic research and translational research applications but also as they develop their own diagnostic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an example, scientists at PrognomiQ conducted a large case/control study that included those at high risk for lung cancer, using deep, unbiased proteomics as part of their development work for multi-omics-based blood test for early-stage lung cancer detection.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current recommendation for patients at high risk for lung cancer is an annual low dose CT scan. The compliance rate for current low dose CT cancer screening is only 5-10%. PrognomiQ is developing a blood test to help close this compliance gap to identify patients at risk for lung cancer and subsequent evaluation.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Researchers from PrognomiQ used the Proteograph to measure over 8,300 proteins from samples from 2,513 individuals, which was then combined with over 200,000 RNA transcripts and 1,000 metabolite measurements to drive a multi-omics classifier.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illustrated in Figure 14A below, the proteomics data performs extremely well with an AUC of 0.91. Adding the other -omics data increased AUC to 0.96. PrognomiQ believes this classifier represents a potentially best-in-class performance by achieving a sensitivity of 80% for stage 1 and 89% for all stages of lung cancer at 89% specificity.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Figure 14B below shows the top features contributing to the classifier ranked by their importance. The top features are heavily enriched for those derived from unbiased proteomics utilizing the Proteograph assay. Figure 14C indicates where these proteins fall in the standard plasma concentration curve, and indicates that they are across the entire dynamic range. Therefore, we believe that the the capabilities of the Photograph platform to provide deep, unbiased, proteomics at scale could be used to develop this classifier.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pPr>
      <w:r>
        <w:rPr/>
        <w:drawing>
          <wp:inline distT="0" distB="0" distL="0" distR="0">
            <wp:extent cx="6019800" cy="1800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19800" cy="1800225"/>
                    </a:xfrm>
                    <a:prstGeom prst="rect">
                      <a:avLst/>
                    </a:prstGeom>
                  </pic:spPr>
                </pic:pic>
              </a:graphicData>
            </a:graphic>
          </wp:inline>
        </w:drawing>
      </w: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14. Shows results from a study performed by scientists at PrognomiQ, using deep, unbiased proteomics as part of a multi-omics based blood test for early stage lunch cancer detection.</w:t>
      </w:r>
    </w:p>
    <w:p>
      <w:pPr>
        <w:pStyle w:val="TextBody"/>
        <w:bidi w:val="0"/>
        <w:spacing w:before="0" w:after="180"/>
        <w:jc w:val="left"/>
        <w:rPr>
          <w:rFonts w:ascii="Times New Roman" w:hAnsi="Times New Roman"/>
          <w:sz w:val="20"/>
        </w:rPr>
      </w:pPr>
      <w:r>
        <w:rPr>
          <w:rFonts w:ascii="Times New Roman" w:hAnsi="Times New Roman"/>
          <w:b/>
          <w:i/>
          <w:color w:val="000000"/>
          <w:sz w:val="20"/>
        </w:rPr>
        <w:t>Applied Applications in Agriculture, Animal Health, Environmental Monitoring and Food Safety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see significant opportunities for the Proteograph solution to be applied in areas beyond human health, including areas where broad-scale genomics is being widely applied today, and applications where proteomics can uniquely enable the creation of end-markets. We believe that unbiased, deep and large-scale proteomic information, which can be enabled by the Proteograph, can complement and extend the value of genomics, transcriptomics and metabolomics information in fields such as agriculture, animal health, environmental monitoring and food safety.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Given the robustness of the Proteograph Product Suite and the ability of its core NP technology to work across species, we believe there is significant interest and an attractive market opportunity for implementation of the Proteograph Product Suite in model organisms and the animal health markets to pursue opportunities in diagnostic and therapeutic development. We have already demonstrated the application of the Proteograph Product Suite in projects in mouse, pig, feline, chicken, canine, baboon and bovine plasmas.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Limitations of Other Approaches to Proteomics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Limitations of Transcriptomics to Infer Proteomics</w:t>
      </w:r>
    </w:p>
    <w:p>
      <w:pPr>
        <w:pStyle w:val="TextBody"/>
        <w:bidi w:val="0"/>
        <w:spacing w:before="0" w:after="180"/>
        <w:jc w:val="left"/>
        <w:rPr>
          <w:rFonts w:ascii="Times New Roman" w:hAnsi="Times New Roman"/>
          <w:sz w:val="20"/>
        </w:rPr>
      </w:pPr>
      <w:r>
        <w:rPr>
          <w:rFonts w:ascii="Times New Roman" w:hAnsi="Times New Roman"/>
          <w:color w:val="000000"/>
          <w:sz w:val="20"/>
        </w:rPr>
        <w:t>RNA sequencing (RNAseq) has been the established method for studying transcriptomics over the last decade. It is often assumed that transcript and protein abundance levels are highly correlated because of the central dogma of molecular biology describing how transcripts are translated into proteins. However, several studies have repeatedly demonstrated a poor correlation between transcript and protein levels (</w:t>
      </w:r>
      <w:r>
        <w:rPr>
          <w:rFonts w:ascii="Times New Roman" w:hAnsi="Times New Roman"/>
          <w:i/>
          <w:color w:val="000000"/>
          <w:sz w:val="20"/>
        </w:rPr>
        <w:t>Buccitelli and Selbach</w:t>
      </w:r>
      <w:r>
        <w:rPr>
          <w:rFonts w:ascii="Times New Roman" w:hAnsi="Times New Roman"/>
          <w:color w:val="000000"/>
          <w:sz w:val="20"/>
        </w:rPr>
        <w:t>). This discrepancy can arise from technical factors, such as noise and bias in methods for assessing both transcripts and proteins, and biological mechanisms such as mRNA translation and degradation. Although both transcriptomics and proteomics measurements have their uses, proteins are more closely linked to phenotype, making them more useful than transcripts for understanding function. Therefore, we believe that direct analysis of the proteome via at-scale proteomics studies will provide unique biological insights for research, discovery and clinical applications.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Limitations of Affinity-Based Approaches to Proteomics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Proteins are highly variable in structure, chemistry, and concentration, presenting technological challenges for their identification at low concentration levels. Because of the lack of a common amplification mechanism, researchers often use ligands to measure proteins. However, because ligands such as antibodies or aptamers were designed to bind to specific areas of proteins, approaches utilizing them are considered targeted, or biased. The average length of a human protein is approximately 470 amino acids, whereas the average binding site of a ligand is an epitope five to eight amino acids long. Panels of ligands used for protein interrogation have several shortcomings, including: (i) they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do not recognize differences in protein structure outside of the epitope binding site, so that all variants appear the same and cannot be differentiated from one another, (ii) conformational changes of the protein can affect epitope and ligand binding; for example, those induced by protein-protein interactions or post-translational modifications, and (iii) certain protein isoforms may exclude entire protein domains and remove the epitope binding site, yielding false negative results.</w:t>
      </w:r>
    </w:p>
    <w:p>
      <w:pPr>
        <w:pStyle w:val="TextBody"/>
        <w:bidi w:val="0"/>
        <w:jc w:val="center"/>
        <w:rPr/>
      </w:pPr>
      <w:r>
        <w:rPr/>
        <w:drawing>
          <wp:inline distT="0" distB="0" distL="0" distR="0">
            <wp:extent cx="5943600" cy="3314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14700"/>
                    </a:xfrm>
                    <a:prstGeom prst="rect">
                      <a:avLst/>
                    </a:prstGeom>
                  </pic:spPr>
                </pic:pic>
              </a:graphicData>
            </a:graphic>
          </wp:inline>
        </w:drawing>
      </w:r>
      <w:r>
        <w:rPr/>
        <w:t> </w:t>
      </w:r>
    </w:p>
    <w:p>
      <w:pPr>
        <w:pStyle w:val="TextBody"/>
        <w:bidi w:val="0"/>
        <w:jc w:val="left"/>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 xml:space="preserve">Figure 15: Sources of variation. Left panel is a graphical summary of factors contributing to variation in the affinity-based discovery of the plasma proteome. Right panel schematically describes reasons for differences in binding profile of aptamer and antibody-based proteomic profiling (PAV protein altering variant; SNV single-nucleotide variant). Adapted from Pietzner </w:t>
      </w:r>
      <w:r>
        <w:rPr>
          <w:rFonts w:ascii="Times New Roman" w:hAnsi="Times New Roman"/>
          <w:i/>
          <w:color w:val="000000"/>
          <w:sz w:val="16"/>
        </w:rPr>
        <w:t>et al.</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a paper published in </w:t>
      </w:r>
      <w:r>
        <w:rPr>
          <w:rFonts w:ascii="Times New Roman" w:hAnsi="Times New Roman"/>
          <w:i/>
          <w:color w:val="000000"/>
          <w:sz w:val="20"/>
        </w:rPr>
        <w:t>Nature Communications</w:t>
      </w:r>
      <w:r>
        <w:rPr>
          <w:rFonts w:ascii="Times New Roman" w:hAnsi="Times New Roman"/>
          <w:color w:val="000000"/>
          <w:sz w:val="20"/>
        </w:rPr>
        <w:t xml:space="preserve">, Pietzner </w:t>
      </w:r>
      <w:r>
        <w:rPr>
          <w:rFonts w:ascii="Times New Roman" w:hAnsi="Times New Roman"/>
          <w:i/>
          <w:color w:val="000000"/>
          <w:sz w:val="20"/>
        </w:rPr>
        <w:t>et al.</w:t>
      </w:r>
      <w:r>
        <w:rPr>
          <w:rFonts w:ascii="Times New Roman" w:hAnsi="Times New Roman"/>
          <w:color w:val="000000"/>
          <w:sz w:val="20"/>
        </w:rPr>
        <w:t xml:space="preserve"> from the University of Cambridge experimentally demonstrated the limitations of two distinct commercially available affinity-based approaches. Specifically, the authors show that protein-altering variants can affect ligand binding, that is, each affinity-based platform interacts differently with the same protein, depending on the epitopes to which its ligands are binding. On average, the correlation between the two commercially available affinity-based methods was 0.38. The distribution of correlations across all proteins is bimodal, with some proteins having a very good correlation, and others have a correlation close to zero (as shown in Figure 16 below).The authors attribute this poor correlation to differences in epitope binding between platforms and interference from protein-altering variants. These limitations underscore the importance of studying proteins with peptide-level resolution using a technology that is quantitatively robust in identifying protein variants.</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3200400" cy="2838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200400" cy="2838450"/>
                    </a:xfrm>
                    <a:prstGeom prst="rect">
                      <a:avLst/>
                    </a:prstGeom>
                  </pic:spPr>
                </pic:pic>
              </a:graphicData>
            </a:graphic>
          </wp:inline>
        </w:drawing>
      </w:r>
      <w:r>
        <w:rPr/>
        <w:t> </w:t>
      </w:r>
    </w:p>
    <w:p>
      <w:pPr>
        <w:pStyle w:val="TextBody"/>
        <w:bidi w:val="0"/>
        <w:jc w:val="left"/>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 xml:space="preserve">Figure 16: Distribution of correlation coefficients across 937 mapping aptamer–antibody pairs (n = 871 unique protein targets). Adapted from Pietzner </w:t>
      </w:r>
      <w:r>
        <w:rPr>
          <w:rFonts w:ascii="Times New Roman" w:hAnsi="Times New Roman"/>
          <w:i/>
          <w:color w:val="000000"/>
          <w:sz w:val="16"/>
        </w:rPr>
        <w:t>et al.</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Affinity-based approaches have limitations when used for pQTL analysis. These ligands bind to a specific epitope of the protein, as depicted on the left side of Figure 17 below.However, protein variants can alter the ligands’ binding, as demonstrated in the middle panel of the figure. Such altered binding can lead to incorrect measurements of protein levels, resulting in false pQTL identifications or misinterpretation of true pQTLs. In contrast, the Proteograph readout offers multiple peptides per protein, some of which may contain variant peptides, while others may not, as shown in the right panel of the figure. We believe that the correlation of peptides with genomic variants enables accurate pQTL analysis. The Proteograph technology provides an advantage over affinity-based approaches in pQTL analysis by offering the necessary peptide-level resolution for detection of protein variants.</w:t>
      </w:r>
    </w:p>
    <w:p>
      <w:pPr>
        <w:pStyle w:val="TextBody"/>
        <w:bidi w:val="0"/>
        <w:jc w:val="center"/>
        <w:rPr/>
      </w:pPr>
      <w:r>
        <w:rPr/>
        <w:drawing>
          <wp:inline distT="0" distB="0" distL="0" distR="0">
            <wp:extent cx="6019800" cy="2390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19800" cy="2390775"/>
                    </a:xfrm>
                    <a:prstGeom prst="rect">
                      <a:avLst/>
                    </a:prstGeom>
                  </pic:spPr>
                </pic:pic>
              </a:graphicData>
            </a:graphic>
          </wp:inline>
        </w:drawing>
      </w:r>
      <w:r>
        <w:rPr/>
        <w:t> </w:t>
      </w:r>
    </w:p>
    <w:p>
      <w:pPr>
        <w:pStyle w:val="TextBody"/>
        <w:bidi w:val="0"/>
        <w:spacing w:before="180" w:after="283"/>
        <w:jc w:val="center"/>
        <w:rPr>
          <w:rFonts w:ascii="Times New Roman" w:hAnsi="Times New Roman"/>
          <w:color w:val="000000"/>
          <w:sz w:val="16"/>
        </w:rPr>
      </w:pPr>
      <w:r>
        <w:rPr>
          <w:rFonts w:ascii="Times New Roman" w:hAnsi="Times New Roman"/>
          <w:color w:val="000000"/>
          <w:sz w:val="16"/>
        </w:rPr>
        <w:t>Figure 17: Protein variants may cause false associations in affinity-based approaches for proteogenomic studies.</w:t>
      </w:r>
    </w:p>
    <w:p>
      <w:pPr>
        <w:pStyle w:val="TextBody"/>
        <w:bidi w:val="0"/>
        <w:jc w:val="left"/>
        <w:rPr/>
      </w:pPr>
      <w:r>
        <w:rPr/>
        <w:t> </w:t>
      </w:r>
    </w:p>
    <w:p>
      <w:pPr>
        <w:pStyle w:val="TextBody"/>
        <w:bidi w:val="0"/>
        <w:spacing w:before="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Affinity-based approaches are effective when a known target and a specific epitope measurement is desired but cannot cover the vast complexity of the proteome. We believe they are analogous to microarrays in genomics, where a specific DNA fragment is used in a targeted or biased manner to confirm the presence of a specific mutation or a single nucleotide polymorphism (SNP). The fundamental limitation of affinity-based approaches is their inability to differentiate between protein variants and accurately survey the complexity of the proteome.</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Limitations of Current Unbiased Approaches to Proteomics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Rather than relying on predefined epitopes, unbiased approaches can interrogate proteins at the peptide level, providing amino-acid level resolution to protein variants. However, traditional, deep, unbiased proteomic approaches rely on complex workflows that do not scale because of the wide range of protein concentrations in biological samples with high dynamic range. In human plasma, for example, the 22 most abundant plasma proteins account for 99% of the total protein mass, while many thousands of less abundant proteins comprise the remaining one percent. Given the important biological role of both high- and low-abundance proteins, it is critical to detect proteins accurately, precisely, and reproducibly across the dynamic range.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Mass spectrometry (MS) is a widely used technique for unbiased discovery, basic research and clinical applications, and is considered the gold standard for protein identification. However, the wide dynamic range of protein concentrations in plasma and other biological samples has previously required complex, upfront sample preparation workflows prior to MS analysis, involving depletion of abundant proteins and fractionation of the remaining proteins and peptides. Deep unbiased proteomics analysis of complex biosamples at scale has not been feasible for wide adoption by researchers due to the high complexity, cost and time requirements. For example, in a state-of-the-art deep unbiased plasma proteomics study in 2017 prior to commercial availability of the Proteograph Product Suite, Keshishian </w:t>
      </w:r>
      <w:r>
        <w:rPr>
          <w:rFonts w:ascii="Times New Roman" w:hAnsi="Times New Roman"/>
          <w:i/>
          <w:color w:val="000000"/>
          <w:sz w:val="20"/>
        </w:rPr>
        <w:t>et al.</w:t>
      </w:r>
      <w:r>
        <w:rPr>
          <w:rFonts w:ascii="Times New Roman" w:hAnsi="Times New Roman"/>
          <w:color w:val="000000"/>
          <w:sz w:val="20"/>
        </w:rPr>
        <w:t>depleted the most abundant proteins with immuno-affinity columns and then separated remaining peptides by multiple and complex chromatographic steps and mass spectrometer injections. The study identified 4,500 different proteins across 16 samples but took months to complete.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Prior to the commercial availability of the Proteograph Product Suite, we believe the critical unmet need in proteomic analysis was how to collect unbiased proteomic data on thousands of proteins in a sample spanning more than ten orders of magnitude in concentration (dynamic range) and to repeat this across thousands of samples in a reasonable amount of time and cost. Genomics faced a similar unmet need before the advent of NGS, which allowed for massively parallel sampling.</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Markets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the Proteograph Product Suite has two primary near-term markets: the approximately $27 billion global proteomics market, and the $28 billion global genomics market, as reported by Allied Market Research and Technavio, respectively. Potential applications of the Proteograph could span several areas, including basic research and discovery, translational research, diagnostics and clinical applications. The proteomics market is estimated by Allied Market Research to have spent approximately $21 billion on reagents, $4.5 billion on instruments, and $1.5 billion on services in 2022. We believe we will compete in the proteomics reagent and instrument markets in the near term, while our service provider customers and Centers of Excellence (COEs) will access the services component. According to Technavio, the genomics market consists of approximately $18 billion spent on products and $10 billion spent on services in 2022. We believe that we will similarly be able to attract spending on both products and services as genomic customers link genotype to phenotype by supplementing existing genomic data with proteomics data. These applications can be used across basic research, translational research, pharmaceutical, commercial and contract research organization (CRO) customer segments.</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currently sell and market the Proteograph Product Suite for research use only (RUO). However, we believe that the capabilities of the Proteograph Product Suite may enable other applications in the future, including clinical and applied applications. Like the commercial impact of broadened access to genomics products, we believe the Proteograph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Our Strategy</w:t>
      </w:r>
    </w:p>
    <w:p>
      <w:pPr>
        <w:pStyle w:val="TextBody"/>
        <w:bidi w:val="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health.Our growth strategy is to:</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Drive adoption of the Proteograph Product Suite to enable researchers to create large-scale unbiased proteomic datasets that generate transformative scientific insights. </w:t>
      </w:r>
      <w:r>
        <w:rPr>
          <w:rFonts w:ascii="Times New Roman" w:hAnsi="Times New Roman"/>
          <w:color w:val="000000"/>
          <w:sz w:val="20"/>
        </w:rPr>
        <w:t>Our Proteograph Product Suite uniquely enables researchers and clinicians to generate unbiased, deep proteomic information at speed and scale not previously possible. These capabilities have broad application, spanning basic research and discovery, translational research, diagnostics and applied applications.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Invest in market development activities to demonstrate the importance of large-scale proteomic data and the ability to access it</w:t>
      </w:r>
      <w:r>
        <w:rPr>
          <w:rFonts w:ascii="Times New Roman" w:hAnsi="Times New Roman"/>
          <w:color w:val="000000"/>
          <w:sz w:val="20"/>
        </w:rPr>
        <w:t>. To expand and accelerate demand for our products, particularly as new applications are developed and adopted by customers, we plan to invest in market development activities to educate prospective customers, funding bodies, commercial entities, government-sponsored -omics programs, and other stakeholders of the importance of large-scale unbiased and deep proteomic data. This effort will likely include collaborations with key opinion leaders, generation of peer-reviewed publications, sponsorship of targeted projects, joint publications and seminars, and industry partnerships. We plan to demonstrate the value of large-scale unbiased and deep proteomic data, as well as the unique capabilities offered by our products.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Innovate continuously to develop and commercialize additional transformative products to access the proteome and accelerate our understanding of biology. </w:t>
      </w:r>
      <w:r>
        <w:rPr>
          <w:rFonts w:ascii="Times New Roman" w:hAnsi="Times New Roman"/>
          <w:color w:val="000000"/>
          <w:sz w:val="20"/>
        </w:rPr>
        <w:t>We aim to continuously innovate and develop new products, applications, workflows and analysis tools that simplify and accelerate 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We will drive innovation through both internal R&amp;D projects and from collaborations with customers and partners.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Build our commercial infrastructure and manufacturing capabilities to enable expansion of our global customer base.</w:t>
      </w:r>
      <w:r>
        <w:rPr>
          <w:color w:val="000000"/>
        </w:rPr>
        <w:t xml:space="preserve"> </w:t>
      </w:r>
      <w:r>
        <w:rPr>
          <w:rFonts w:ascii="Times New Roman" w:hAnsi="Times New Roman"/>
          <w:color w:val="000000"/>
          <w:sz w:val="20"/>
        </w:rPr>
        <w:t>We are establishing our commercial infrastructure to sell and support our products directly in the United States, the European Union, and United Kingdom. We are expanding access to our products in other geographies through distributors. We are also scaling our manufacturing capabilities in our facility in Redwood City, California, and will continually evaluate and optimize our manufacturing and supply chain footprint to meet our business objectives.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Foster the creation of an ecosystem of customers, partners and collaborators whose expertise and offerings complement and enhance the power and utility of our products. </w:t>
      </w:r>
      <w:r>
        <w:rPr>
          <w:rFonts w:ascii="Times New Roman" w:hAnsi="Times New Roman"/>
          <w:color w:val="000000"/>
          <w:sz w:val="20"/>
        </w:rPr>
        <w:t xml:space="preserve">We intend to seed and develop a new ecosystem of applications and organizations based upon large-scale proteomic analysis. This ecosystem could include areas such as disease detection, large-scale population studies, agriculture, environmental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monitoring and food safety. To help seed the growth of this ecosystem, we spun-out PrognomiQ, which is developing and will commercialize diagnostic tests for early disease detection, leveraging the Proteograph Product Suite in combination with other -omics technologies.</w:t>
      </w:r>
    </w:p>
    <w:p>
      <w:pPr>
        <w:pStyle w:val="TextBody"/>
        <w:bidi w:val="0"/>
        <w:spacing w:before="180" w:after="180"/>
        <w:jc w:val="left"/>
        <w:rPr>
          <w:color w:val="000000"/>
        </w:rPr>
      </w:pPr>
      <w:r>
        <w:rPr>
          <w:color w:val="000000"/>
        </w:rPr>
        <w:t>•</w:t>
      </w:r>
    </w:p>
    <w:p>
      <w:pPr>
        <w:pStyle w:val="TextBody"/>
        <w:bidi w:val="0"/>
        <w:spacing w:before="180" w:after="180"/>
        <w:jc w:val="left"/>
        <w:rPr/>
      </w:pPr>
      <w:r>
        <w:rPr>
          <w:rFonts w:ascii="Times New Roman" w:hAnsi="Times New Roman"/>
          <w:b/>
          <w:i/>
          <w:color w:val="000000"/>
          <w:sz w:val="20"/>
        </w:rPr>
        <w:t xml:space="preserve">Expand our proprietary engineered NP technology to analyze molecules beyond proteins. </w:t>
      </w:r>
      <w:r>
        <w:rPr>
          <w:rFonts w:ascii="Times New Roman" w:hAnsi="Times New Roman"/>
          <w:color w:val="000000"/>
          <w:sz w:val="20"/>
        </w:rPr>
        <w:t>We intend to expand the scope of our proprietary engineered NP technology to analyze other biomolecules, such as nucleic acids and metabolites. As we continue to work closely with our customers, we will better understand their needs and requirements, which will inform our product development pathway and development of our library of NPs and our software capabilities to address other -omics applications.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Commercial</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Commercial Strategy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are focused on developing the market for deep, unbiased, rapid proteomics at scale by improving accessibility to our technology, growing the number of customer studies and publications, and expanding the installed base of the Proteograph across a wide variety of customer types. We believe that enabling breakthrough science, demonstrating the power of our technology and catalyzing new applications and markets will lead to increased utilization of the Proteograph Product Suite by our customers. We are initially focused on research applications for the Proteograph Product Suite and selling and marketing the Proteograph for RUO. We started broad commercialization of the Proteograph Product Suite in January 2022 and shipped 23 instruments in 2023, bringing our total system shipments to 62 as of December 31, 2023.</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market development efforts are focused on creating a body of evidence to support unbiased, deep proteomics at-scale by establishing relationships with key thought leaders and driving programs that make it easier for labs of all types to access the Proteograph in order to undertake first-of-their-kind studies. We believe that paving the way with standards, methods and proof in the form of published data empowers the scientific community to move forward more rapidly.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Key Opinion Leader (KOL) relationships: The generation of scientific data, presentations and peer-reviewed publications is a core pillar of our market development strategy and is important for establishing validity and utility of new disruptive products in the life sciences community. We are working closely with our customers, including KOLs, to generate clear use-cases, as well as peer-reviewed publications, that illustrate the Proteograph’s performance and value proposition.</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color w:val="000000"/>
          <w:sz w:val="20"/>
        </w:rPr>
        <w:t>Seer Technology Access Center (STAC): In June 2023, we announced the formation of the Seer Technology Access Center to provide access to our Proteograph workflow, coupled with Thermo Scientific</w:t>
      </w:r>
      <w:r>
        <w:rPr>
          <w:rFonts w:ascii="Times New Roman" w:hAnsi="Times New Roman"/>
          <w:color w:val="000000"/>
          <w:sz w:val="13"/>
        </w:rPr>
        <w:t>TM</w:t>
      </w:r>
      <w:r>
        <w:rPr>
          <w:color w:val="000000"/>
        </w:rPr>
        <w:t xml:space="preserve"> </w:t>
      </w:r>
      <w:r>
        <w:rPr>
          <w:rFonts w:ascii="Times New Roman" w:hAnsi="Times New Roman"/>
          <w:color w:val="000000"/>
          <w:sz w:val="20"/>
        </w:rPr>
        <w:t>Orbitrap</w:t>
      </w:r>
      <w:r>
        <w:rPr>
          <w:rFonts w:ascii="Times New Roman" w:hAnsi="Times New Roman"/>
          <w:color w:val="000000"/>
          <w:sz w:val="13"/>
        </w:rPr>
        <w:t>TM</w:t>
      </w:r>
      <w:r>
        <w:rPr>
          <w:color w:val="000000"/>
        </w:rPr>
        <w:t xml:space="preserve"> </w:t>
      </w:r>
      <w:r>
        <w:rPr>
          <w:rFonts w:ascii="Times New Roman" w:hAnsi="Times New Roman"/>
          <w:color w:val="000000"/>
          <w:sz w:val="20"/>
        </w:rPr>
        <w:t>Astral</w:t>
      </w:r>
      <w:r>
        <w:rPr>
          <w:rFonts w:ascii="Times New Roman" w:hAnsi="Times New Roman"/>
          <w:color w:val="000000"/>
          <w:sz w:val="13"/>
        </w:rPr>
        <w:t>TM</w:t>
      </w:r>
      <w:r>
        <w:rPr>
          <w:color w:val="000000"/>
        </w:rPr>
        <w:t xml:space="preserve"> </w:t>
      </w:r>
      <w:r>
        <w:rPr>
          <w:rFonts w:ascii="Times New Roman" w:hAnsi="Times New Roman"/>
          <w:color w:val="000000"/>
          <w:sz w:val="20"/>
        </w:rPr>
        <w:t>mass spectrometer, on a fee-for-service basis. The STAC’s primary purpose is to lower the barriers to access for customers who want access to data produced by these technologies. Customers can access the technology by bringing the Proteograph in-house and then sending the peptide output back to us for mass spec analysis. Alternatively, customers can send us samples directly and we will run the full Proteograph workflow for them and send the data back to them.</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Strategic Investment Placement (SIP) Program: Our Strategic Investment Placement Program is designed to enable access to our Proteograph without the need for an upfront capital investment. With an upfront purchase of consumable kits, we will loan the instrument with an option to purchase for a defined period of time. This allows potential customers to utilize available operating budget without the need to access capital budget in the short term. We believe having access to the Proteograph and the data it generates will allow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customers to see the value of our platform and help increase the number of studies and peer-reviewed publications.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Protein Discovery Catalog: In January 2024, we launched the Protein Discovery Catalog on our website as a fully accessible, searchable catalog with the goals of removing barriers to access, empowering researchers, and driving new lead generation. With over 10,000 proteins across 1,900 biological pathways, this catalog provides our first published index of the unprecedented depth of empirically observed proteins captured by our NP technology to date. This web tool offers versatile searches by disease associations, reactome pathways, protein names, Uniprot keywords, and more. The catalog includes proteins linked to 150,000+ peptides that can serve as data points for potential biomarkers, including proteins not yet associated with diseases, making it a rich source of biological insights, powered by data from the Proteograph XT and leading mass spectrometers. Our Protein Discovery Catalog will continue to expand over time as more samples are interrogated by the Proteograph platform and more mass spec-based proteomics data becomes available.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Centers of Excellence (COE) Program: We have partnered with select service facilities and core labs globally to be Centers of Excellence for the Proteograph. These sites have become our customers and provide fee-for-service capabilities that allow interested parties to access and evaluate the Proteograph Product Suite using their own samples. We expect that these COEs will actively promote the Proteograph solution and its capabilities, help us further raise awareness, and increase the accessibility of the Proteograph to a wider range of customers.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Commercial Partnerships: We have partnered with leading mass spectrometry instrumentation providers, including Thermo Fisher Scientific, Bruker Corporation and SCIEX to establish partnerships that include lead sharing, co-marketing, and co-development of end-to-end workflows to enable broad education of the market as well as easy-to-implement workflows.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Geographic Partnerships: We continue to expand geographically in order to enable access in key markets globally. In addition to our existing distributor in China, we added new distributors and channel partners in Australia, Eastern Europe, Israel and Japan in 2023. These partners will help educate, develop and expand the market for the Proteograph Product Suite in their respective regions.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initially targeting potential customers who value unbiased and deep proteomic information and are performing proteomic or genomic analysis at academic institutions, translational research groups and biopharmaceutical companies. Our direct sales and marketing efforts are focused on the principal investigators, researchers, department heads, research laboratory directors and core facility directors who control the buying decisions. We expect these customers to purchase the Proteograph Product Suite and associated consumables in line with typical purchases of other life science instrumentation and consumables. We believe that we have priced the Proteograph Product Suite to be affordable to most researchers who can direct buying decisions, without the need for additional levels of approval, simplifying our sales process. For example, we price the SP100 automation instrument comparably to other similar automated fluid handling systems currently available. We price the Proteograph consumables, on a per-sample basis, in a range similar to that of other life sciences consumables that provide deep and unbiased -omics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service our Proteograph customers, we provide multiple levels of technical service for the Proteograph Product Suite, depending upon the customer's needs. We recognize that excellent customer support can be a critical part of a customer experience, and we will invest accordingly in our technical and application support to achieve the desired levels of service.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Commercial Organization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currently building out our commercial organization across Marketing, Sales, and Customer Experience functions to support demand, with the goal of delivering an exceptional customer experience. We believe that coupling an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North America, the United Kingdom and select countries of the European Union, we have direct sales and customer experience personnel, including Regional Business Managers (RBM), Field Application Scientists and Field Service Engineers. In addition to these direct personnel, we have marketing, customer experience and technical support personnel located in our offices in Redwood City and San Diego, California. The RBM are focused on identifying potential customers who have a strong interest in deep, unbiased proteomics and access to sufficient sample cohorts and capital to help drive long-term usage. They work closely with our marketing personnel to identify, qualify and close these customer opportunities. The Field Application Scientists also help in the sales process, they are primarily responsible for ensuring that customers have an exemplary experience once a purchase has been made. This ranges from providing customer training to working with each customer to help them optimize their methods and applications. Our Field Service Engineers perform installation and provide on-site service support for any technical problems or repairs that are needed.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Suppliers and Manufacturing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Consumables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the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Automation Instrument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SP100 automation instrument and have outsourced its manufacturing to Hamilton Company, a leading manufacturer of automated liquid handling workstations. We entered a non-exclusive agreement with Hamilton that covers the manufacturing of the SP100 automation instrument and its continued supply on a purchase order basis. The agreement has an initial term that runs for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Current companies that provide proteomics products include Agilent Technologies, Bruker Corporation, Danaher, DiaSorin and Thermo Fisher Scientific. There are also a number of companies that provide proteomic analysis services. In addition, multiple emerging growth companies have developed, or are developing, proteomics products, services and solutions, such as Nautilus Biotechnology, Olink Proteomics, Quanterix, Quantum-Si and Standard BioTools.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In January 2024, FDA announced its plans to reclassify certain high-risk in vitro diagnostics, including companion diagnostics, as Class II devices.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medical devices, including IVDs, that are regulated by the FDA are also subject to the quality system regulation.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The FDA will begin to enforce the QMSR requirements upon the effective date, February 2, 2026.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In October 2023, the FDA published a proposed rule that proposes to phase out its enforcement discretion for most laboratory-developed tests (LDTs) and to amend the FDA’s regulations to make explicit that in vitro diagnostics are medical devices under the Federal Food, Drug, and Cosmetic Act, including when the manufacturer of the diagnostic product is a laboratory. If our products become subject to FDA regulation as medical devices, we would need to invest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time and resources to ensure ongoing compliance with FDA quality system regulations and other post-market regulatory requirements.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replaced the IVD Directive, is significantly more extensive than the IVD Directive, including requirements on performance data and quality system, and went into application in May 2022. Recently, the European Parliament voted to extend the transition timelines for IVDR.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to the extent we or our partners develop any medical devices subject to FDA regulation, failure to comply with applicable regulatory requirements can result in enforcement action by FDA, which may include warning letters, untitled letters, fines, injunctions, consent decrees, and civil penalties; withdrawal, administrative detention, refunds, recall or seizure of products; operating restrictions, partial suspension or total shutdown of production; refusing or delaying requests for 510(k) clearance, de novo authorization, or PMA approval of new products or modified products; withdrawing 510(k) clearance, de novo authorization, or PMA approvals already granted; refusal to grant export approvals; or criminal prosecution. Further, manufacturing, sales, promotion and other activities following medical device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A medical device may be marketed only for the indications for use for which it was approved or cleared. In addition to FDA restrictions on marketing of devices, several other types of state and federal laws have been applied to restrict certain marketing practices in the device industry. These laws include the federal Anti-Kickback Statute, False Claims Act, Civil Monetary Penalties, and CMS Open Payments, among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if we or our partners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further discussion of the risks we face relating to regulation, see the section titled “Risk factors—Risks related to our business and industry.”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scope for divergence in application, interpretation and enforcement of the data protection law as between the United Kingdom and EEA.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further discussion of the risks we face relating to regulation, see the section titled “Risk factors—Risks related to our business and industry.”</w:t>
      </w:r>
    </w:p>
    <w:p>
      <w:pPr>
        <w:pStyle w:val="TextBody"/>
        <w:bidi w:val="0"/>
        <w:spacing w:before="0" w:after="18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we owned or exclusively licensed over 160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2024 and 2044, in each case without taking into account any possible patent term adjustments or extensions and assuming payment of all appropriate maintenance, renewal, annuity or other governmental fees.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pStyle w:val="TextBody"/>
        <w:bidi w:val="0"/>
        <w:spacing w:before="0" w:after="180"/>
        <w:jc w:val="left"/>
        <w:rPr>
          <w:rFonts w:ascii="Times New Roman" w:hAnsi="Times New Roman"/>
          <w:sz w:val="20"/>
        </w:rPr>
      </w:pPr>
      <w:r>
        <w:rPr>
          <w:rFonts w:ascii="Times New Roman" w:hAnsi="Times New Roman"/>
          <w:color w:val="000000"/>
          <w:sz w:val="20"/>
        </w:rPr>
        <w:t>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hAnsi="Times New Roman"/>
          <w:i/>
          <w:color w:val="000000"/>
          <w:sz w:val="20"/>
        </w:rPr>
        <w:t>Business —Collaboration and License Agreements.”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to our reliance on patent protection for our inventions, products and technologies, we also rely on trade secrets, know-how, confidentiality agreements and continuing technological innovation to develop and maintain our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hAnsi="Times New Roman"/>
          <w:i/>
          <w:color w:val="000000"/>
          <w:sz w:val="20"/>
        </w:rPr>
        <w:t>Risk factors—Risks Related to our Intellectual Property.”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0" w:after="180"/>
        <w:jc w:val="left"/>
        <w:rPr>
          <w:rFonts w:ascii="Times New Roman" w:hAnsi="Times New Roman"/>
          <w:sz w:val="20"/>
        </w:rPr>
      </w:pPr>
      <w:r>
        <w:rPr>
          <w:rFonts w:ascii="Times New Roman" w:hAnsi="Times New Roman"/>
          <w:b/>
          <w:i/>
          <w:color w:val="000000"/>
          <w:sz w:val="20"/>
        </w:rPr>
        <w:t>The Brigham and Women’s Hospital</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pStyle w:val="TextBody"/>
        <w:bidi w:val="0"/>
        <w:spacing w:before="0" w:after="180"/>
        <w:jc w:val="left"/>
        <w:rPr>
          <w:rFonts w:ascii="Times New Roman" w:hAnsi="Times New Roman"/>
          <w:sz w:val="20"/>
        </w:rPr>
      </w:pPr>
      <w:r>
        <w:rPr>
          <w:rFonts w:ascii="Times New Roman" w:hAnsi="Times New Roman"/>
          <w:b/>
          <w:i/>
          <w:color w:val="000000"/>
          <w:sz w:val="20"/>
        </w:rPr>
        <w:t>PrognomiQ</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August 2020, we entered into an intellectual property transfer and license agreement and, in October 2020, we entered into an intellectual property sublicense agreement, in each case with PrognomiQ in connection with the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 In an amendment to the intellectual property transfer and license agreement, we agreed to extend this negotiation period to August 21,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Scientific Advisory Board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have assembled a highly-qualified scientific advisory board composed of advisors who have deep expertise in the fields of nanotechnology, proteomics, genomics, medicine, regulatory compliance and data science. Our scientific advisory board is composed of Robert Langer, Sc.D., Charles Cantor, Ph.D., Steven Carr, Ph.D., Joshua Coon, Ph.D., Luis Diaz, M.D., Vivek Farias, Ph.D., Chris Mason, Ph.D., Mark McClellan, Ph.D., Jennifer Van Eyk, Ph.D., M.D., and Bruce Wilcox, Ph.D.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employees are guided by our mission to imagine and pioneer news ways to decode the biology of the proteome to improve human health. Our core values Better Together, Customer Centric, Difference Makers, People First and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Trailblazers guide us toward achieving our mission. Our core values set the foundation for how we conduct business, interact with each other and our customers and evaluate employee performance.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2023, we had 147 employees based in North America, the European Union and the United Kingdom. Many of our employees are highly educated, holding masters and doctorate degrees. None of our employees is represented by a labor union or covered under a collective bargaining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Diversity, equality and inclusion awareness were a part of our 2023 human capital strategy. As of December 31, 2023, 62% of our employees were women and people of color.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Corporate Information and History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Published studies referenced throughout this Annual Report are cited below. These studies are not a part of this prospectus and are not incorporated by reference in this Annual Report.</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Backman, J.D. </w:t>
      </w:r>
      <w:r>
        <w:rPr>
          <w:rFonts w:ascii="Times New Roman" w:hAnsi="Times New Roman"/>
          <w:i/>
          <w:color w:val="000000"/>
          <w:sz w:val="20"/>
        </w:rPr>
        <w:t>et al</w:t>
      </w:r>
      <w:r>
        <w:rPr>
          <w:rFonts w:ascii="Times New Roman" w:hAnsi="Times New Roman"/>
          <w:color w:val="000000"/>
          <w:sz w:val="20"/>
        </w:rPr>
        <w:t xml:space="preserve">. Exome sequencing and analysis of 454,787 UK Biobank participants. </w:t>
      </w:r>
      <w:r>
        <w:rPr>
          <w:rFonts w:ascii="Times New Roman" w:hAnsi="Times New Roman"/>
          <w:i/>
          <w:color w:val="000000"/>
          <w:sz w:val="20"/>
        </w:rPr>
        <w:t>Nature</w:t>
      </w:r>
      <w:r>
        <w:rPr>
          <w:rFonts w:ascii="Times New Roman" w:hAnsi="Times New Roman"/>
          <w:color w:val="000000"/>
          <w:sz w:val="20"/>
        </w:rPr>
        <w:t xml:space="preserve"> 599, 628–634 (2021)</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Bludau, I. </w:t>
      </w:r>
      <w:r>
        <w:rPr>
          <w:rFonts w:ascii="Times New Roman" w:hAnsi="Times New Roman"/>
          <w:i/>
          <w:color w:val="000000"/>
          <w:sz w:val="20"/>
        </w:rPr>
        <w:t>et al</w:t>
      </w:r>
      <w:r>
        <w:rPr>
          <w:rFonts w:ascii="Times New Roman" w:hAnsi="Times New Roman"/>
          <w:color w:val="000000"/>
          <w:sz w:val="20"/>
        </w:rPr>
        <w:t xml:space="preserve">. Proteomic and interactomic insights into the molecular basis of cell functional diversity. </w:t>
      </w:r>
      <w:r>
        <w:rPr>
          <w:rFonts w:ascii="Times New Roman" w:hAnsi="Times New Roman"/>
          <w:i/>
          <w:color w:val="000000"/>
          <w:sz w:val="20"/>
        </w:rPr>
        <w:t>Nat Rev Molec Cell Biol</w:t>
      </w:r>
      <w:r>
        <w:rPr>
          <w:rFonts w:ascii="Times New Roman" w:hAnsi="Times New Roman"/>
          <w:color w:val="000000"/>
          <w:sz w:val="20"/>
        </w:rPr>
        <w:t xml:space="preserve"> 21, 327–340 (2020).</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Blume, J.E. </w:t>
      </w:r>
      <w:r>
        <w:rPr>
          <w:rFonts w:ascii="Times New Roman" w:hAnsi="Times New Roman"/>
          <w:i/>
          <w:color w:val="000000"/>
          <w:sz w:val="20"/>
        </w:rPr>
        <w:t>et al</w:t>
      </w:r>
      <w:r>
        <w:rPr>
          <w:rFonts w:ascii="Times New Roman" w:hAnsi="Times New Roman"/>
          <w:color w:val="000000"/>
          <w:sz w:val="20"/>
        </w:rPr>
        <w:t xml:space="preserve">. Rapid, deep and precise profiling of the plasma proteome with multi-nanoparticle protein corona. </w:t>
      </w:r>
      <w:r>
        <w:rPr>
          <w:rFonts w:ascii="Times New Roman" w:hAnsi="Times New Roman"/>
          <w:i/>
          <w:color w:val="000000"/>
          <w:sz w:val="20"/>
        </w:rPr>
        <w:t>Nat. Commun.</w:t>
      </w:r>
      <w:r>
        <w:rPr>
          <w:rFonts w:ascii="Times New Roman" w:hAnsi="Times New Roman"/>
          <w:color w:val="000000"/>
          <w:sz w:val="20"/>
        </w:rPr>
        <w:t xml:space="preserve"> 11 (2020).</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Buccitelli C. and Selbach M. mRNAs, proteins and the emerging principles of gene expression control. </w:t>
      </w:r>
      <w:r>
        <w:rPr>
          <w:rFonts w:ascii="Times New Roman" w:hAnsi="Times New Roman"/>
          <w:i/>
          <w:color w:val="000000"/>
          <w:sz w:val="20"/>
        </w:rPr>
        <w:t xml:space="preserve">Nat Rev Genet. </w:t>
      </w:r>
      <w:r>
        <w:rPr>
          <w:rFonts w:ascii="Times New Roman" w:hAnsi="Times New Roman"/>
          <w:color w:val="000000"/>
          <w:sz w:val="20"/>
        </w:rPr>
        <w:t>21(10):630-644 (2020).</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Donovan M. </w:t>
      </w:r>
      <w:r>
        <w:rPr>
          <w:rFonts w:ascii="Times New Roman" w:hAnsi="Times New Roman"/>
          <w:i/>
          <w:color w:val="000000"/>
          <w:sz w:val="20"/>
        </w:rPr>
        <w:t>et al</w:t>
      </w:r>
      <w:r>
        <w:rPr>
          <w:rFonts w:ascii="Times New Roman" w:hAnsi="Times New Roman"/>
          <w:color w:val="000000"/>
          <w:sz w:val="20"/>
        </w:rPr>
        <w:t xml:space="preserve">. Functionally distinct BMP1 isoforms show an opposite pattern of abundance in plasma from non-small cell lung cancer subjects and controls. </w:t>
      </w:r>
      <w:r>
        <w:rPr>
          <w:rFonts w:ascii="Times New Roman" w:hAnsi="Times New Roman"/>
          <w:i/>
          <w:color w:val="000000"/>
          <w:sz w:val="20"/>
        </w:rPr>
        <w:t>PLOS One.</w:t>
      </w:r>
      <w:r>
        <w:rPr>
          <w:rFonts w:ascii="Times New Roman" w:hAnsi="Times New Roman"/>
          <w:color w:val="000000"/>
          <w:sz w:val="20"/>
        </w:rPr>
        <w:t xml:space="preserve"> 18(3): e0282821 (2023).</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Ferdosi, S. </w:t>
      </w:r>
      <w:r>
        <w:rPr>
          <w:rFonts w:ascii="Times New Roman" w:hAnsi="Times New Roman"/>
          <w:i/>
          <w:color w:val="000000"/>
          <w:sz w:val="20"/>
        </w:rPr>
        <w:t>et al</w:t>
      </w:r>
      <w:r>
        <w:rPr>
          <w:rFonts w:ascii="Times New Roman" w:hAnsi="Times New Roman"/>
          <w:color w:val="000000"/>
          <w:sz w:val="20"/>
        </w:rPr>
        <w:t xml:space="preserve">. Engineered nanoparticles enable deep proteomic studies at scale by leveraging tunable nano-bio interactions. </w:t>
      </w:r>
      <w:r>
        <w:rPr>
          <w:rFonts w:ascii="Times New Roman" w:hAnsi="Times New Roman"/>
          <w:i/>
          <w:color w:val="000000"/>
          <w:sz w:val="20"/>
        </w:rPr>
        <w:t>PNAS</w:t>
      </w:r>
      <w:r>
        <w:rPr>
          <w:rFonts w:ascii="Times New Roman" w:hAnsi="Times New Roman"/>
          <w:color w:val="000000"/>
          <w:sz w:val="20"/>
        </w:rPr>
        <w:t>. 119(11) (2022).</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Ferdosi, S. </w:t>
      </w:r>
      <w:r>
        <w:rPr>
          <w:rFonts w:ascii="Times New Roman" w:hAnsi="Times New Roman"/>
          <w:i/>
          <w:color w:val="000000"/>
          <w:sz w:val="20"/>
        </w:rPr>
        <w:t>et al</w:t>
      </w:r>
      <w:r>
        <w:rPr>
          <w:rFonts w:ascii="Times New Roman" w:hAnsi="Times New Roman"/>
          <w:color w:val="000000"/>
          <w:sz w:val="20"/>
        </w:rPr>
        <w:t xml:space="preserve">. Enhanced competition at the nano-bio interface enables comprehensive characterization of protein corona dynamics and deep coverage of proteomes. </w:t>
      </w:r>
      <w:r>
        <w:rPr>
          <w:rFonts w:ascii="Times New Roman" w:hAnsi="Times New Roman"/>
          <w:i/>
          <w:color w:val="000000"/>
          <w:sz w:val="20"/>
        </w:rPr>
        <w:t>Advanced Materials</w:t>
      </w:r>
      <w:r>
        <w:rPr>
          <w:rFonts w:ascii="Times New Roman" w:hAnsi="Times New Roman"/>
          <w:color w:val="000000"/>
          <w:sz w:val="20"/>
        </w:rPr>
        <w:t>. 34, 2206008 (2022).</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Keshishian, H. </w:t>
      </w:r>
      <w:r>
        <w:rPr>
          <w:rFonts w:ascii="Times New Roman" w:hAnsi="Times New Roman"/>
          <w:i/>
          <w:color w:val="000000"/>
          <w:sz w:val="20"/>
        </w:rPr>
        <w:t>et al</w:t>
      </w:r>
      <w:r>
        <w:rPr>
          <w:rFonts w:ascii="Times New Roman" w:hAnsi="Times New Roman"/>
          <w:color w:val="000000"/>
          <w:sz w:val="20"/>
        </w:rPr>
        <w:t xml:space="preserve">. Quantitative, multiplexed workflow for deep analysis of human blood plasma and biomarker discovery by mass spectrometry. </w:t>
      </w:r>
      <w:r>
        <w:rPr>
          <w:rFonts w:ascii="Times New Roman" w:hAnsi="Times New Roman"/>
          <w:i/>
          <w:color w:val="000000"/>
          <w:sz w:val="20"/>
        </w:rPr>
        <w:t>Nat. Proc.</w:t>
      </w:r>
      <w:r>
        <w:rPr>
          <w:rFonts w:ascii="Times New Roman" w:hAnsi="Times New Roman"/>
          <w:color w:val="000000"/>
          <w:sz w:val="20"/>
        </w:rPr>
        <w:t xml:space="preserve"> 12 1683-1701 (2017).</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Lacar, B </w:t>
      </w:r>
      <w:r>
        <w:rPr>
          <w:rFonts w:ascii="Times New Roman" w:hAnsi="Times New Roman"/>
          <w:i/>
          <w:color w:val="000000"/>
          <w:sz w:val="20"/>
        </w:rPr>
        <w:t>et al.</w:t>
      </w:r>
      <w:r>
        <w:rPr>
          <w:rFonts w:ascii="Times New Roman" w:hAnsi="Times New Roman"/>
          <w:color w:val="000000"/>
          <w:sz w:val="20"/>
        </w:rPr>
        <w:t xml:space="preserve"> Identification of Novel Biomarkers for Alzheimer’s Disease and Related Dementias Using Unbiased Plasma Proteomics (bioRxiv)</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Nakahata and Kawamoto. Tissue-dependent isoforms of mammalian Fox-1 homologs are associated with tissue-specific splicing activities. Nucleic Acid Research 33(7) 2078-2089 (2005).</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Pietzner, M. </w:t>
      </w:r>
      <w:r>
        <w:rPr>
          <w:rFonts w:ascii="Times New Roman" w:hAnsi="Times New Roman"/>
          <w:i/>
          <w:color w:val="000000"/>
          <w:sz w:val="20"/>
        </w:rPr>
        <w:t>et al</w:t>
      </w:r>
      <w:r>
        <w:rPr>
          <w:rFonts w:ascii="Times New Roman" w:hAnsi="Times New Roman"/>
          <w:color w:val="000000"/>
          <w:sz w:val="20"/>
        </w:rPr>
        <w:t xml:space="preserve">. Synergistic insights into human health from aptamer- and antibody-based proteomic profiling. </w:t>
      </w:r>
      <w:r>
        <w:rPr>
          <w:rFonts w:ascii="Times New Roman" w:hAnsi="Times New Roman"/>
          <w:i/>
          <w:color w:val="000000"/>
          <w:sz w:val="20"/>
        </w:rPr>
        <w:t xml:space="preserve">Nat Commun. </w:t>
      </w:r>
      <w:r>
        <w:rPr>
          <w:rFonts w:ascii="Times New Roman" w:hAnsi="Times New Roman"/>
          <w:color w:val="000000"/>
          <w:sz w:val="20"/>
        </w:rPr>
        <w:t>12, 6822 (2021).</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Schwenk, J.M. </w:t>
      </w:r>
      <w:r>
        <w:rPr>
          <w:rFonts w:ascii="Times New Roman" w:hAnsi="Times New Roman"/>
          <w:i/>
          <w:color w:val="000000"/>
          <w:sz w:val="20"/>
        </w:rPr>
        <w:t>et al</w:t>
      </w:r>
      <w:r>
        <w:rPr>
          <w:rFonts w:ascii="Times New Roman" w:hAnsi="Times New Roman"/>
          <w:color w:val="000000"/>
          <w:sz w:val="20"/>
        </w:rPr>
        <w:t xml:space="preserve">. The Human Plasma Proteome Draft of 2017: Building on the Human Plasma Peptide Atlas from Mass Spectrometry and Complementary Assays. </w:t>
      </w:r>
      <w:r>
        <w:rPr>
          <w:rFonts w:ascii="Times New Roman" w:hAnsi="Times New Roman"/>
          <w:i/>
          <w:color w:val="000000"/>
          <w:sz w:val="20"/>
        </w:rPr>
        <w:t>J. Proteome Res.</w:t>
      </w:r>
      <w:r>
        <w:rPr>
          <w:rFonts w:ascii="Times New Roman" w:hAnsi="Times New Roman"/>
          <w:color w:val="000000"/>
          <w:sz w:val="20"/>
        </w:rPr>
        <w:t xml:space="preserve"> 16, 4299-4310 (2017).</w:t>
      </w:r>
    </w:p>
    <w:p>
      <w:pPr>
        <w:pStyle w:val="TextBody"/>
        <w:bidi w:val="0"/>
        <w:jc w:val="left"/>
        <w:rPr>
          <w:rFonts w:ascii="Times New Roman" w:hAnsi="Times New Roman"/>
          <w:sz w:val="20"/>
        </w:rPr>
      </w:pPr>
      <w:r>
        <w:rPr>
          <w:rFonts w:ascii="Times New Roman" w:hAnsi="Times New Roman"/>
          <w:color w:val="000000"/>
          <w:sz w:val="20"/>
        </w:rPr>
        <w:t xml:space="preserve">Suhre, K. </w:t>
      </w:r>
      <w:r>
        <w:rPr>
          <w:rFonts w:ascii="Times New Roman" w:hAnsi="Times New Roman"/>
          <w:i/>
          <w:color w:val="000000"/>
          <w:sz w:val="20"/>
        </w:rPr>
        <w:t>et al</w:t>
      </w:r>
      <w:r>
        <w:rPr>
          <w:rFonts w:ascii="Times New Roman" w:hAnsi="Times New Roman"/>
          <w:color w:val="000000"/>
          <w:sz w:val="20"/>
        </w:rPr>
        <w:t xml:space="preserve">. Nanoparticle enrichment mass-spectrometry proteomics identifies protein-altering variants for precise pQTL mapping. </w:t>
      </w:r>
      <w:r>
        <w:rPr>
          <w:rFonts w:ascii="Times New Roman" w:hAnsi="Times New Roman"/>
          <w:i/>
          <w:color w:val="000000"/>
          <w:sz w:val="20"/>
        </w:rPr>
        <w:t>Nat Commun,</w:t>
      </w:r>
      <w:r>
        <w:rPr>
          <w:rFonts w:ascii="Times New Roman" w:hAnsi="Times New Roman"/>
          <w:color w:val="000000"/>
          <w:sz w:val="20"/>
        </w:rPr>
        <w:t xml:space="preserve"> 15, 989 (2024).</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Yang X. </w:t>
      </w:r>
      <w:r>
        <w:rPr>
          <w:rFonts w:ascii="Times New Roman" w:hAnsi="Times New Roman"/>
          <w:i/>
          <w:color w:val="000000"/>
          <w:sz w:val="20"/>
        </w:rPr>
        <w:t>et al</w:t>
      </w:r>
      <w:r>
        <w:rPr>
          <w:rFonts w:ascii="Times New Roman" w:hAnsi="Times New Roman"/>
          <w:color w:val="000000"/>
          <w:sz w:val="20"/>
        </w:rPr>
        <w:t xml:space="preserve">. Widespread Expansion of Protein Interaction Capabilities by Alternative Splicing. </w:t>
      </w:r>
      <w:r>
        <w:rPr>
          <w:rFonts w:ascii="Times New Roman" w:hAnsi="Times New Roman"/>
          <w:i/>
          <w:color w:val="000000"/>
          <w:sz w:val="20"/>
        </w:rPr>
        <w:t xml:space="preserve">Cell. </w:t>
      </w:r>
      <w:r>
        <w:rPr>
          <w:rFonts w:ascii="Times New Roman" w:hAnsi="Times New Roman"/>
          <w:color w:val="000000"/>
          <w:sz w:val="20"/>
        </w:rPr>
        <w:t>164(4):805-17 (2016).</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bookmarkStart w:id="5" w:name="item_1a_risk_factors"/>
      <w:bookmarkEnd w:id="5"/>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our commercialization plan, and 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such as the COVID-19 pandemic could adversely impact our business and operations;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are unable to identify and recruit qualified employees, and retain or maintain our employee base, it may adversely impact our business and operations; and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an early-stage life sciences technology company, and we have incurred significant losses since we were formed in 2017, and expect to continue to incur losses in the future. We incurred net losses of $86.3 million and $93.0 million in 2023 and 2022, respectively. As of December 31, 2023, we had an accumulated deficit of $305.8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commercialize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impact of health epidemics on the economy, investment in life sciences and research industries, our business operations, and resources and operations of our customers, suppliers, and distributors;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0" w:after="180"/>
        <w:jc w:val="left"/>
        <w:rPr>
          <w:rFonts w:ascii="Times New Roman" w:hAnsi="Times New Roman"/>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in the early stages of commercialization, and 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only recently initiated the broad commercialization of the Proteograph Product Suite, and we may not be able to successfully execute on this phase as planned due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inability to establish the capabilities and value proposition of the Proteograph Product Suite with key opinion leaders and other customers in a timely fashion;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 release phase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color w:val="000000"/>
          <w:sz w:val="20"/>
        </w:rPr>
        <w:t xml:space="preserve">our ability to develop new products, services and solutions </w:t>
      </w:r>
      <w:r>
        <w:rPr>
          <w:rFonts w:ascii="Times New Roman" w:hAnsi="Times New Roman"/>
          <w:color w:val="000000"/>
          <w:sz w:val="20"/>
          <w:u w:val="single"/>
        </w:rPr>
        <w:t>that achieve commercial market acceptance</w:t>
      </w:r>
      <w:r>
        <w:rPr>
          <w:rFonts w:ascii="Times New Roman" w:hAnsi="Times New Roman"/>
          <w:color w:val="000000"/>
          <w:sz w:val="20"/>
        </w:rPr>
        <w: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Proteograph Product Suite. To perform sales, marketing, distribution, and customer service and support successfully, we will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initiate and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 </w:t>
      </w:r>
    </w:p>
    <w:p>
      <w:pPr>
        <w:pStyle w:val="TextBody"/>
        <w:bidi w:val="0"/>
        <w:spacing w:before="0" w:after="180"/>
        <w:jc w:val="left"/>
        <w:rPr>
          <w:rFonts w:ascii="Times New Roman" w:hAnsi="Times New Roman"/>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such as the COVID-19 pandemic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conduct research in light of the COVID-19 pandemic or any other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the COVID-19 pandemic and any other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reduce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If we do not sustain or successfully manage our growth or financial resources, our business and prospects will be harmed.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 </w:t>
      </w:r>
    </w:p>
    <w:p>
      <w:pPr>
        <w:pStyle w:val="TextBody"/>
        <w:bidi w:val="0"/>
        <w:spacing w:before="0" w:after="180"/>
        <w:jc w:val="left"/>
        <w:rPr>
          <w:rFonts w:ascii="Times New Roman" w:hAnsi="Times New Roman"/>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Chief Financial Officer and President,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August 2023, we announced a reduction in force impacting approximately 12% of our full-time employees. In addition, we are taking measures to reduce our non-personnel expenses. These measures are part of our broader strategic effort to realign our expense base with our revenue growth as we continue to build the market and drive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 </w:t>
      </w:r>
    </w:p>
    <w:p>
      <w:pPr>
        <w:pStyle w:val="TextBody"/>
        <w:bidi w:val="0"/>
        <w:spacing w:before="0" w:after="180"/>
        <w:jc w:val="left"/>
        <w:rPr>
          <w:rFonts w:ascii="Times New Roman" w:hAnsi="Times New Roman"/>
          <w:sz w:val="20"/>
        </w:rPr>
      </w:pPr>
      <w:r>
        <w:rPr>
          <w:rFonts w:ascii="Times New Roman" w:hAnsi="Times New Roman"/>
          <w:b/>
          <w:i/>
          <w:color w:val="000000"/>
          <w:sz w:val="20"/>
        </w:rPr>
        <w:t>We expect to be dependent upon revenue generated from the sale of the Proteograph Product Suite and related services for the foreseeable future.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in the early stages of our commercialization plan and our revenues have been concentrated in a relatively small number of customers, including a related party, PrognomiQ, Inc. For the years ended December 31, 2023 and 2022, PrognomiQ, Inc. accounted for 28% and 32% of our revenue, respectively.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hAnsi="Times New Roman"/>
          <w:i/>
          <w:color w:val="000000"/>
          <w:sz w:val="20"/>
        </w:rPr>
        <w:t>- Revenue and Deferred Revenue</w:t>
      </w:r>
      <w:r>
        <w:rPr>
          <w:rFonts w:ascii="Times New Roman" w:hAnsi="Times New Roman"/>
          <w:color w:val="000000"/>
          <w:sz w:val="20"/>
        </w:rPr>
        <w:t xml:space="preserve"> and Note 11 - </w:t>
      </w:r>
      <w:r>
        <w:rPr>
          <w:rFonts w:ascii="Times New Roman" w:hAnsi="Times New Roman"/>
          <w:i/>
          <w:color w:val="000000"/>
          <w:sz w:val="20"/>
        </w:rPr>
        <w:t xml:space="preserve">Related Party Transactions </w:t>
      </w:r>
      <w:r>
        <w:rPr>
          <w:rFonts w:ascii="Times New Roman" w:hAnsi="Times New Roman"/>
          <w:color w:val="000000"/>
          <w:sz w:val="20"/>
        </w:rPr>
        <w:t>to our notes to financial statements included in Part I, Item 1, herein for further information regarding our relationship with PrognomiQ, Inc.</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changes in strategy and funding by commercial companies in their efforts around therapeutic and diagnostic product development and their adoption and use of the Proteograph Product Suite;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waste from products we manufacture, or complying with environmental health and safety regulations, our business could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changes in social, economic, political and climate conditions or in laws, regulations and policies governing foreign trade, manufacturing, research and development, investment, and climate control both domestically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well as in the other countries and jurisdictions in which we operate and into which we may sell our products, including as a result of the separation of the United Kingdom from the European Union (Brexit);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tax consequences, tariffs,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0" w:after="180"/>
        <w:jc w:val="left"/>
        <w:rPr>
          <w:rFonts w:ascii="Times New Roman" w:hAnsi="Times New Roman"/>
          <w:sz w:val="20"/>
        </w:rPr>
      </w:pPr>
      <w:r>
        <w:rPr>
          <w:rFonts w:ascii="Times New Roman" w:hAnsi="Times New Roman"/>
          <w:b/>
          <w:i/>
          <w:color w:val="000000"/>
          <w:sz w:val="20"/>
        </w:rPr>
        <w:t>The life sciences technology market is highly competitive. If we fail to compete effectively, our business and results of operation will suffer.</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Standard BioTools.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Some of our current competitors are large publicly-traded companies, or are divisions of large publicly-traded companies, and may enjoy a number of competitive advantages over us, including: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rate of progress in, and cost of research and development activities associated with, products in research and development; and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As of December 31, 2023, we held approximately 15%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inability to reach agreement with PrognomiQ on future commercial arrangements;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PrognomiQ accounted for 28% of our revenue during the year ended December 31, 2023, it may not continue to be a meaningful customer of ours;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2023,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0" w:after="180"/>
        <w:jc w:val="left"/>
        <w:rPr>
          <w:rFonts w:ascii="Times New Roman" w:hAnsi="Times New Roman"/>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affected and could fall below our publicly announced guidance or the expectations of securities analysts and investors, resulting in a decline in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obtain regulatory clearance or approval to market such products, which would significantly harm our business, results of operations, reputation,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manufacturers develop more complex diagnostic tests and diagnostic software, the FDA may increase its regulation of LDTs.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In October 2023, the FDA published a proposed rule that proposes to phase out its enforcement discretion for most laboratory-developed tests (LDTs) and to amend the FDA’s regulations to make explicit that in vitro diagnostics are medical devices under the Federal Food, Drug, and Cosmetic Act, including when the manufacturer of the diagnostic product is a laboratory.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It is unclear how future legislation by federal and state governments and FDA regulation will impact the industry, including our business and that of our customers.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 </w:t>
      </w:r>
    </w:p>
    <w:p>
      <w:pPr>
        <w:pStyle w:val="TextBody"/>
        <w:bidi w:val="0"/>
        <w:spacing w:before="0" w:after="18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compete more effectively against us. In addition,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laws of some foreign countries do not protect intellectual property rights to the same extent as the laws of the United States, and we and our licensor may encounter difficulties in protecting and defending such rights in foreign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patent litigation in Europe.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in the United States District Court for the Northern District of California (Case No. 4:23-cv-06643). The complaint alleges, among other things, that Caracciolo was wrongfully excluded as an inventor on certain patents that we have exclusively licensed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BWH.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services and technologies, any of which could have a material adverse effect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our business, financial condition, results of operations and prospects. The outcome in any such proceedings are unpredictable.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employed and expect to employ individuals, and engaged consultants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the Nasdaq Global Select Market requirements for continued listing of our Class A common stock in the future.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or Class B common stock by our insiders or other stockholders, or future stock issuances;</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such as the COVID-19 pandemic, natural disasters or major catastrophic events.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The multi-class structure of our common stock will have the effect of concentrating voting control with certain stockholders and it may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which is our publicly-traded class of stock, has one vote per share, and our Class B common stock has ten votes per share, except as otherwise required by law. Our Class B common stock is held by our founders and early investors. As of March 1, 2024, the holders of our Class B common stock hold in the aggregate 40.0 % of the voting power of our capital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before="0" w:after="180"/>
        <w:jc w:val="left"/>
        <w:rPr>
          <w:rFonts w:ascii="Times New Roman" w:hAnsi="Times New Roman"/>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we had U.S. federal and state net operating loss carryforwards (NOLs) of $148.1 million and $151.8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0" w:after="180"/>
        <w:jc w:val="left"/>
        <w:rPr>
          <w:rFonts w:ascii="Times New Roman" w:hAnsi="Times New Roman"/>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 </w:t>
      </w:r>
    </w:p>
    <w:p>
      <w:pPr>
        <w:pStyle w:val="TextBody"/>
        <w:bidi w:val="0"/>
        <w:spacing w:before="0" w:after="180"/>
        <w:jc w:val="left"/>
        <w:rPr>
          <w:rFonts w:ascii="Times New Roman" w:hAnsi="Times New Roman"/>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 the importance of assessing, identifying, and managing material risks associated with cybersecurity threats. We have developed and implemented a cybersecurity risk management program intended to protect the confidentiality, integrity, and availability of our critical systems and information. We regularly assess risks from cybersecurity threats; monitor our information systems for potential vulnerabilities; and test those systems pursuant to our cybersecurity policies, processes, and practices, which are integrated into our overall risk management program. Our cybersecurity risk management program includes a cybersecurity incident response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design and assess our program based on various cybersecurity frameworks, such as the National Institute of Standards and Technology and the Center for Internet Security, as well as information security standards issued by the International Organization for Standardization, including ISO 27001. In 2023, our cybersecurity systems and processes achieved ISO 27001 certification. We use these cybersecurity frameworks and information security standards as a guide to help us identify, assess, and manage cybersecurity risks relevant to our business.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information technology (IT) environment;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controls;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cybersecurity awareness training for our employees, incident response personnel, and senior management;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third-party risk management process for service providers, suppliers, and vendors.</w:t>
      </w:r>
    </w:p>
    <w:p>
      <w:pPr>
        <w:pStyle w:val="TextBody"/>
        <w:bidi w:val="0"/>
        <w:spacing w:before="180" w:after="283"/>
        <w:jc w:val="left"/>
        <w:rPr>
          <w:rFonts w:ascii="Times New Roman" w:hAnsi="Times New Roman"/>
          <w:sz w:val="20"/>
        </w:rPr>
      </w:pPr>
      <w:r>
        <w:rPr>
          <w:rFonts w:ascii="Times New Roman" w:hAnsi="Times New Roman"/>
          <w:color w:val="000000"/>
          <w:sz w:val="20"/>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 w:hAnsi="Times New Roman"/>
          <w:i/>
          <w:color w:val="000000"/>
          <w:sz w:val="20"/>
        </w:rPr>
        <w:t>Risk Factors - If we, or our vendors, partners or customers, experience a significant disruption in our information technology systems or breaches of data security, our business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Cybersecurity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 The Audit Committee reports to the full Board regarding its activities, including those related to cybersecurity. The full Board also receives periodic briefings from the Audit Committe on our cybersecurity risk management program.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Audit Committee receives regular reports from our dedicated Chief Information Security Officer (CISO) on our cybersecurity risks. In addition, our CISO updates the Audit Committee, as necessary, regarding any material cybersecurity incidents, as well as any incidents with lesser potential impact.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established an internal cross-functional leadership committee with the objective of overseeing the cyber security program, incidents, risks and initiatives. The committee is chaired by our CISO and is comprised of the President and Chief Financial Officer, Chief Legal Officer, Chief People Officer, Chief Data Officer, Chief Operations and Product Development Officer and the SVP of Product. This committee oversees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IT management team has primary responsibility for our overall cybersecurity risk management program and supervises both our internal cybersecurity personnel and our retained external cybersecurity consultants. Our CISO has over 20 years of experience managing global IT operations, including strategy, applications, infrastructure, information security, support and execution and holds a Certified Information Systems Security Professional certification.</w:t>
      </w:r>
    </w:p>
    <w:p>
      <w:pPr>
        <w:pStyle w:val="TextBody"/>
        <w:bidi w:val="0"/>
        <w:spacing w:before="180" w:after="180"/>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In addition, we lease approximately 6,000 square of office space in San Diego, California under a lease that runs through September 2024. We do not own any real property and believe that our current facilities are sufficient to meet our ongoing needs and that, if we require additional space, we will be able to obtain additional facilities on commercially reasonable terms.</w:t>
      </w:r>
    </w:p>
    <w:p>
      <w:pPr>
        <w:pStyle w:val="TextBody"/>
        <w:bidi w:val="0"/>
        <w:spacing w:before="180" w:after="180"/>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pStyle w:val="TextBody"/>
        <w:bidi w:val="0"/>
        <w:spacing w:before="180" w:after="180"/>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 II.</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80"/>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has been listed on the Nasdaq Global Select Market under the symbol “SEER” since December 4, 2020. Prior to that date, there was no public trading market for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Class B common stock is not listed or traded on any stock exchange.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1, 2024, there were 26 holders of record of our Class A common stock and 6 holders of record of our Class B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bookmarkStart w:id="14" w:name="item_7_managements_discussion_and_analys"/>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ability to generate product and service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 We are focused on removing barriers to access to the Proteograph, including through our service offering.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years ended December 31, 2023 and 2022, we incurred a net loss of $86.3 million and $93.0 million and used $59.1 million and $60.8 million of cash in operations, respectively. As of December 31, 2023, we had an accumulated deficit of $305.8 million and cash, cash equivalents, and investments of $373.1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commercialize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consists primarily of product sales to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and distribution-related expenses such as logistics and shipping costs. In addition, cost of revenue includes employee compensation, such as stock-based compensation and employee benefits, allocated overhead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Interest income consists of interest earned on cash, cash equivalents and investments.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Years Ended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3156"/>
        <w:gridCol w:w="146"/>
        <w:gridCol w:w="211"/>
        <w:gridCol w:w="841"/>
        <w:gridCol w:w="166"/>
        <w:gridCol w:w="146"/>
        <w:gridCol w:w="211"/>
        <w:gridCol w:w="781"/>
        <w:gridCol w:w="166"/>
        <w:gridCol w:w="146"/>
        <w:gridCol w:w="211"/>
        <w:gridCol w:w="676"/>
        <w:gridCol w:w="166"/>
        <w:gridCol w:w="146"/>
        <w:gridCol w:w="146"/>
        <w:gridCol w:w="421"/>
        <w:gridCol w:w="71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34"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16"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1"/>
        <w:gridCol w:w="571"/>
        <w:gridCol w:w="146"/>
        <w:gridCol w:w="146"/>
        <w:gridCol w:w="146"/>
        <w:gridCol w:w="21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89"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increased by $1.2 million, or 8%, from $15.5 million in 2022 to $16.7 million in 2023, primarily due to an increase in service revenue. Revenue recognized primarily consisted of sales of the Proteograph SP100 instrument, consumable kits, platform evaluations, instrument upgrades and service revenue, of which $4.7 million was attributed to related parties. Revenue from our grant-funded activities related to our Small Business Innovation Research (SBIR) grant from the National Institutes of Health Grant (NIH) increased between the two periods by $0.9 million and was partially offset by a decrease of $0.4 million in lease revenue.</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593" w:type="dxa"/>
        <w:jc w:val="left"/>
        <w:tblInd w:w="0" w:type="dxa"/>
        <w:tblLayout w:type="fixed"/>
        <w:tblCellMar>
          <w:top w:w="28" w:type="dxa"/>
          <w:left w:w="28" w:type="dxa"/>
          <w:bottom w:w="28" w:type="dxa"/>
          <w:right w:w="28" w:type="dxa"/>
        </w:tblCellMar>
      </w:tblPr>
      <w:tblGrid>
        <w:gridCol w:w="1396"/>
        <w:gridCol w:w="146"/>
        <w:gridCol w:w="223"/>
        <w:gridCol w:w="604"/>
        <w:gridCol w:w="154"/>
        <w:gridCol w:w="154"/>
        <w:gridCol w:w="223"/>
        <w:gridCol w:w="604"/>
        <w:gridCol w:w="146"/>
        <w:gridCol w:w="146"/>
        <w:gridCol w:w="211"/>
        <w:gridCol w:w="481"/>
        <w:gridCol w:w="166"/>
        <w:gridCol w:w="146"/>
        <w:gridCol w:w="146"/>
        <w:gridCol w:w="271"/>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decreased by $0.2 million, or 3%, from $8.4 million in 2022 to $8.2 million in 2023, primarily due to an increase in service revenue, which carries a lower cost of revenue, and lower product revenue from fewer instrument sales, which have a higher cost of revenue, offset by increased overhead expenses, warranty, and other costs of revenue. Cost of revenue consists of costs of the SP100 instrument, consumable kits, cost of services, and other related costs, including labor and overhead.</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667"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571"/>
        <w:gridCol w:w="146"/>
        <w:gridCol w:w="146"/>
        <w:gridCol w:w="146"/>
        <w:gridCol w:w="31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94"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increased by $7.2 million, or 16%, from $45.8 million in 2022 to $53.0 million in 2023. The increase was primarily due to an increase in product development efforts related to the Proteograph Product Suite, including $2.4 million increase in employee compensation costs, a $0.6 million increase in stock-based compensation, due to growth in research and development personnel and a $2.2 million increase in allocated costs. Other increases include costs related to general business expenses of $0.6 million and a $1.3 million increase in depreciation of laboratory equipment.</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116"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30"/>
        <w:gridCol w:w="461"/>
        <w:gridCol w:w="146"/>
        <w:gridCol w:w="146"/>
        <w:gridCol w:w="146"/>
        <w:gridCol w:w="211"/>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98"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increased by $0.4 million, or 1%, from $58.5 million in 2022 to $59.0 million in 2023, primarily due to a $3.3 million increase in employee compensation costs and a $0.1 million increase in travel expense. The increase was offset by a $2.9 million decrease in professional services.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129" w:type="dxa"/>
        <w:jc w:val="left"/>
        <w:tblInd w:w="0" w:type="dxa"/>
        <w:tblLayout w:type="fixed"/>
        <w:tblCellMar>
          <w:top w:w="28" w:type="dxa"/>
          <w:left w:w="28" w:type="dxa"/>
          <w:bottom w:w="28" w:type="dxa"/>
          <w:right w:w="28" w:type="dxa"/>
        </w:tblCellMar>
      </w:tblPr>
      <w:tblGrid>
        <w:gridCol w:w="1666"/>
        <w:gridCol w:w="146"/>
        <w:gridCol w:w="211"/>
        <w:gridCol w:w="677"/>
        <w:gridCol w:w="146"/>
        <w:gridCol w:w="146"/>
        <w:gridCol w:w="211"/>
        <w:gridCol w:w="572"/>
        <w:gridCol w:w="146"/>
        <w:gridCol w:w="146"/>
        <w:gridCol w:w="211"/>
        <w:gridCol w:w="676"/>
        <w:gridCol w:w="146"/>
        <w:gridCol w:w="146"/>
        <w:gridCol w:w="146"/>
        <w:gridCol w:w="421"/>
        <w:gridCol w:w="31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0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Total other income increased by $12.9 million, or 303%, from $4.3 million in 2022 to $17.2 million in 2023. The increase was due to higher rates of interest earned on cash invested in money market funds, U.S. Treasury securities, commercial paper, corporate securities and government agency debt in 2023.</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Annual Report to operate our business and to meet our cash requirements. If our available cash, cash equivalents and investments and anticipated cash flows from operations are insufficient to satisfy our liquidity requirements, we may consider raising additional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capital to expand our business, pursue strategic investments, take advantage of financing opportunities or for other reasons.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agreements as a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December 31, 2023 and 2022, which is secured by restricted cash and is presented as noncurrent at each date based on the term of the underlying lease. We lease approximately 6,000 square feet of office space in San Diego, California that runs through September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$6.3 million as of December 31, 2023.</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409"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84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2023, cash used in operating activities was $59.1 million, attributable to a net loss of $86.3 million, partially offset by a net change in our net operating assets and liabilities of $2.7 million and non-cash charges of $29.9 million. Non-cash charges primarily consisted of stock-based compensation of $34.4 million, $5.6 million of depreciation and amortization, $0.8 million of provision for inventory excess and obsolescence, $0.4 million of loss on disposal of property and equipment, and $0.2 million of non-cash operating lease expense, offset by $11.5 million of net accretion of premiums on available-for-sale securities. The change in our net operating assets and liabilities was primarily due to an increase in inventory levels of $1.9 million for anticipated revenue growth and a $1.3 million increase in prepaid expenses and other current assets, which was partially offset by a decrease in accounts receivable of $0.3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2022, cash used in operating activities was $60.8 million, attributable to a net loss of $93.0 million, partially offset by a net change in our net operating assets and liabilities of $7.1 million and non-cash charges of $39.3 million. Non-cash charges primarily consisted of stock-based compensation of $33.7 million, $3.9 million of depreciation and amortization and $1.7 million of non-cash operating lease expense. The change in our net operating assets and liabilities was primarily due to an increase in inventory levels of $1.6 million for anticipated revenue growth, an increase in accounts receivable of $2.3 million from higher sales, an increase in prepaid expenses and other current assets of $0.7 million, an increase in other receivables of $0.5 million, an increase in other assets of $0.4 million and a decrease of $1.6 million in accounts payable.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2023, cash provided by investing activities was $37.9 million, which related to the proceeds from maturities of available-for-sale securities of $445.3 million and proceeds from sale of available-for-sale securities of $3.0 million. This was offset by the purchases of available-for-sale securities of $403.1 million and purchases of property and equipment, primarily for laboratory equipment, of $7.3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2022, cash used in investing activities was $122.7 million, which related to purchases of available-for-sale securities, net of proceeds from maturities, of $112.6 million, in addition to $10.3 million in payments primarily for laboratory equipment.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2023, cash provided by financing activities was $0.5 million, which was primarily attributable to proceeds of $0.4 million from the issuance of Class A common stock in connection with our employee stock purchase plan and net proceeds of $0.1 million from the exercise of 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2022, cash provided by financing activities was $3.9 million. This was attributable to net proceeds from the exercise of stock options of $3.1 million and $0.8 million of proceeds from the issuance of Class A common stock in connection with our employee stock purchase plan.</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consolidated financial statements, we believe that the following critical accounting policies are most important to understanding and evaluating our reported financial results.</w:t>
      </w:r>
    </w:p>
    <w:p>
      <w:pPr>
        <w:pStyle w:val="TextBody"/>
        <w:bidi w:val="0"/>
        <w:spacing w:before="180" w:after="283"/>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portion of our revenue relates to lease arrangements. Standalone lease arrangements are outside the scope of Accounting Standards Codification (ASC) 606, </w:t>
      </w:r>
      <w:r>
        <w:rPr>
          <w:rFonts w:ascii="Times New Roman" w:hAnsi="Times New Roman"/>
          <w:i/>
          <w:color w:val="000000"/>
          <w:sz w:val="20"/>
        </w:rPr>
        <w:t>Revenue Contracts with Customer</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xml:space="preserve">. The total consideration in a lease arrangement is allocated between lease and non-lease components on their relative stand-alone selling prices. The stand-alone selling price is based on the price we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would separately sell that promised good or service to a customer. If a stand-alone price is not available for a component, it is estimated using the best information available.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and the related shipping and handling costs are included in the cost of revenue.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Stock-based compensation expense relates to stock options with service-based vesting conditions, stock options with performance and market-based vesting conditions, stock purchase rights under our employee stock purchase plan (ESPP), restricted common stock awards (RSAs) and restricted stock units (RSUs). All awards are measured at fair value on grant date and forfeitures are recognized as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estimate the fair value of stock options with service conditions and stock purchase rights under our ESPP on the grant date using the Black-Scholes option-pricing valuation model. We use the straight-line method to allocate compensation cost to reporting periods over the requisite service period in which the awards are expected to vest.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Black-Scholes option-pricing model considers several variables and assumptions in estimating the fair value of service-based stock options and stock purchase rights under our ESPP. These variables include the per share fair value of the underlying common stock, expected term, expected volatility, risk-free interest rate and expected dividend yield over the expected term. For all service-based stock options granted, we calculate the expected term using the simplified method for “plain vanilla” stock option awards. For the expected volatility, we use a blended rate based on the historical volatility of the stock price of our Class A common stock and average volatility of our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we have never paid dividends and have no current plans to pay dividends on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stock options with performance and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value RSAs based on the difference between the fair value of the underlying stock at the measurement date and the purchase price. We value RSUs based on the fair value of the underlying stock at the measurement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bookmarkStart w:id="15" w:name="item_7a_quantitative_and_qualitative_dis"/>
      <w:bookmarkEnd w:id="15"/>
      <w:r>
        <w:rPr>
          <w:rFonts w:ascii="Times New Roman" w:hAnsi="Times New Roman"/>
          <w:b/>
          <w:color w:val="000000"/>
          <w:sz w:val="20"/>
        </w:rPr>
        <w:t>Item 7A. Quantitative and Qualitative Disclosures About Market Risk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pStyle w:val="TextBody"/>
        <w:bidi w:val="0"/>
        <w:spacing w:before="0" w:after="180"/>
        <w:jc w:val="left"/>
        <w:rPr>
          <w:rFonts w:ascii="Times New Roman" w:hAnsi="Times New Roman"/>
          <w:sz w:val="20"/>
        </w:rPr>
      </w:pPr>
      <w:bookmarkStart w:id="16" w:name="item_8_financial_statements_and_suppleme"/>
      <w:bookmarkEnd w:id="16"/>
      <w:r>
        <w:rPr>
          <w:rFonts w:ascii="Times New Roman" w:hAnsi="Times New Roman"/>
          <w:b/>
          <w:color w:val="000000"/>
          <w:sz w:val="20"/>
        </w:rPr>
        <w:t>Item 8. Financial Statements</w:t>
      </w:r>
      <w:r>
        <w:rPr>
          <w:rFonts w:ascii="Times New Roman" w:hAnsi="Times New Roman"/>
          <w:color w:val="000000"/>
          <w:sz w:val="20"/>
        </w:rPr>
        <w:t xml:space="preserve"> </w:t>
      </w:r>
      <w:r>
        <w:rPr>
          <w:rFonts w:ascii="Times New Roman" w:hAnsi="Times New Roman"/>
          <w:b/>
          <w:color w:val="000000"/>
          <w:sz w:val="20"/>
        </w:rPr>
        <w:t>and Supplementary Data</w:t>
      </w:r>
    </w:p>
    <w:tbl>
      <w:tblPr>
        <w:tblW w:w="6677" w:type="dxa"/>
        <w:jc w:val="left"/>
        <w:tblInd w:w="0" w:type="dxa"/>
        <w:tblLayout w:type="fixed"/>
        <w:tblCellMar>
          <w:top w:w="28" w:type="dxa"/>
          <w:left w:w="28" w:type="dxa"/>
          <w:bottom w:w="28" w:type="dxa"/>
          <w:right w:w="28" w:type="dxa"/>
        </w:tblCellMar>
      </w:tblPr>
      <w:tblGrid>
        <w:gridCol w:w="6166"/>
        <w:gridCol w:w="511"/>
      </w:tblGrid>
      <w:tr>
        <w:trPr/>
        <w:tc>
          <w:tcPr>
            <w:tcW w:w="61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166" w:type="dxa"/>
            <w:tcBorders/>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Page</w:t>
            </w:r>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34)</w:t>
            </w:r>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report_of_independent_registered_public">
              <w:r>
                <w:rPr>
                  <w:rStyle w:val="InternetLink"/>
                  <w:rFonts w:ascii="Times New Roman" w:hAnsi="Times New Roman"/>
                  <w:color w:val="0000FF"/>
                  <w:sz w:val="20"/>
                  <w:u w:val="single"/>
                </w:rPr>
                <w:t>100</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balance_sheets">
              <w:r>
                <w:rPr>
                  <w:rStyle w:val="InternetLink"/>
                  <w:rFonts w:ascii="Times New Roman" w:hAnsi="Times New Roman"/>
                  <w:color w:val="0000FF"/>
                  <w:sz w:val="20"/>
                  <w:u w:val="single"/>
                </w:rPr>
                <w:t>103</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statements_of_operations">
              <w:r>
                <w:rPr>
                  <w:rStyle w:val="InternetLink"/>
                  <w:rFonts w:ascii="Times New Roman" w:hAnsi="Times New Roman"/>
                  <w:color w:val="0000FF"/>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statements_of_operations">
              <w:r>
                <w:rPr>
                  <w:rStyle w:val="InternetLink"/>
                  <w:rFonts w:ascii="Times New Roman" w:hAnsi="Times New Roman"/>
                  <w:color w:val="0000FF"/>
                  <w:sz w:val="20"/>
                  <w:u w:val="single"/>
                </w:rPr>
                <w:t>104</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statementsstockholdersequity">
              <w:r>
                <w:rPr>
                  <w:rStyle w:val="InternetLink"/>
                  <w:rFonts w:ascii="Times New Roman" w:hAnsi="Times New Roman"/>
                  <w:color w:val="0000FF"/>
                  <w:sz w:val="20"/>
                  <w:u w:val="single"/>
                </w:rPr>
                <w:t>Consolidated Statements of Changes in Stockholders’ Equity</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statementsstockholdersequity">
              <w:r>
                <w:rPr>
                  <w:rStyle w:val="InternetLink"/>
                  <w:rFonts w:ascii="Times New Roman" w:hAnsi="Times New Roman"/>
                  <w:color w:val="0000FF"/>
                  <w:sz w:val="20"/>
                  <w:u w:val="single"/>
                </w:rPr>
                <w:t>105</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statements_of_cash_flows">
              <w:r>
                <w:rPr>
                  <w:rStyle w:val="InternetLink"/>
                  <w:rFonts w:ascii="Times New Roman" w:hAnsi="Times New Roman"/>
                  <w:color w:val="0000FF"/>
                  <w:sz w:val="20"/>
                  <w:u w:val="single"/>
                </w:rPr>
                <w:t>106</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notes_to_consolidated_financial_statemen">
              <w:r>
                <w:rPr>
                  <w:rStyle w:val="InternetLink"/>
                  <w:rFonts w:ascii="Times New Roman" w:hAnsi="Times New Roman"/>
                  <w:color w:val="0000FF"/>
                  <w:sz w:val="20"/>
                  <w:u w:val="single"/>
                </w:rPr>
                <w:t>107</w:t>
              </w:r>
            </w:hyperlink>
          </w:p>
        </w:tc>
      </w:tr>
    </w:tbl>
    <w:p>
      <w:pPr>
        <w:pStyle w:val="TextBody"/>
        <w:bidi w:val="0"/>
        <w:spacing w:before="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7" w:name="report_of_independent_registered_public"/>
      <w:bookmarkEnd w:id="17"/>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To the shareholders and the Board of Directors of Seer, Inc.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audited the accompanying consolidated balance sheets of Seer, Inc. and subsidiaries (the "Company") as of December 31, 2023 and 2022, the related consolidated statements of operations and comprehensive loss, changes in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80"/>
        <w:jc w:val="left"/>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Revenue Recognition for Products, Services, and Related Parties - Refer to Notes 2, 5 and 11 to the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generates revenue from sales of products and services. The Company’s product, the Proteograph Product Suite, consists of an instrument with embedded software essential to the instrument’s functionality and consumables. The Company’s services primarily consist of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 This process involves identifying the contract with a customer, determining performance obligations in the contract, determining the transaction price, allocating the transaction price to the distinct performance obligations in the contract, and recognizing revenue when the performance obligations have been satisfied.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regularly enters into contracts that include various combinations of products and services, which are generally distinct and accounted for as separate performance obligations.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In instances where right of payment or transfer of title is contingent upon the customer’s acceptance of the product, revenue is deferred until all acceptance criteria have been met.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Given the significant judgments made by management to determine whether various combinations of products and services are distinct and accounted for as separate performance obligations, whether performance obligations have been satisfied, and the standalone selling price of performance obligations, performing audit procedures to evaluate the reasonableness of management’s judgments in the recognition of products and services revenue required a high degree of auditor judgment and an increased extent of effort, including the involvement of more experienced engagement team members. We have identified the revenue recognition of products and services revenue as a critical audit matter.</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 procedures related to the Company’s revenue recognition for the Company’s customer contracts included the following, among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evaluated the reasonableness of the Company’s significant accounting policies related to products and services 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selected a sample of recorded products and services revenue transactions and performed the following procedures: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Obtained and read customer source documents such as contracts, master agreements, and/or amendments thereto, to evaluate if relevant contractual terms have been appropriately identified and considered by management in making revenue recognition judgments.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Evaluated management’s application of the Company’s accounting policy and tested revenue recognition for the distinct performance obligations by comparing management’s judgments to the underlying source documents.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Tested the mathematical accuracy of management’s calculations of products and services revenue.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Evaluated the appropriateness of management’s determination of the timing of revenue recognition and obtained third-party evidence of transfer of control of the products and services to the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evaluated the reasonableness of management’s determination of standalone selling prices by performing the following: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Evaluated the application of the Company’s accounting policy and mathematical accuracy of the determined standalone selling prices.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Tested the completeness and accuracy of the source data used in management’s calculations.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 Deloitte and Touche LLP</w:t>
      </w:r>
    </w:p>
    <w:p>
      <w:pPr>
        <w:pStyle w:val="TextBody"/>
        <w:bidi w:val="0"/>
        <w:spacing w:before="0" w:after="18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March 4, 2024 </w:t>
      </w:r>
    </w:p>
    <w:p>
      <w:pPr>
        <w:pStyle w:val="TextBody"/>
        <w:bidi w:val="0"/>
        <w:spacing w:before="0" w:after="18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2018.</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18" w:name="consolidated_balance_sheets"/>
      <w:bookmarkEnd w:id="18"/>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tbl>
      <w:tblPr>
        <w:tblW w:w="9494"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1"/>
        <w:gridCol w:w="841"/>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434,982</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19,408</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12,584</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28,032</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$0.00001 par value; 5,000,000 shares authorized as of</w:t>
              <w:br/>
              <w:t xml:space="preserve">    December 31, 2023 and 2022; zero shares issued and outstanding </w:t>
              <w:br/>
              <w:t>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$0.00001 par value; 94,000,000 shares authorized</w:t>
              <w:br/>
              <w:t>    as of December 31, 2023 and 2022; 60,253,707 and 59,366,077 shares</w:t>
              <w:br/>
              <w:t>    issued and outstanding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$0.00001 par value; 6,000,000 shares authorized</w:t>
              <w:br/>
              <w:t>    as of December 31, 2023 and 2022; 4,044,969 shares</w:t>
              <w:br/>
              <w:t>    issued and outstanding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19" w:name="consolidated_statements_of_operations"/>
      <w:bookmarkEnd w:id="19"/>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463" w:type="dxa"/>
        <w:jc w:val="left"/>
        <w:tblInd w:w="0" w:type="dxa"/>
        <w:tblLayout w:type="fixed"/>
        <w:tblCellMar>
          <w:top w:w="28" w:type="dxa"/>
          <w:left w:w="28" w:type="dxa"/>
          <w:bottom w:w="28" w:type="dxa"/>
          <w:right w:w="28" w:type="dxa"/>
        </w:tblCellMar>
      </w:tblPr>
      <w:tblGrid>
        <w:gridCol w:w="6046"/>
        <w:gridCol w:w="211"/>
        <w:gridCol w:w="1036"/>
        <w:gridCol w:w="166"/>
        <w:gridCol w:w="146"/>
        <w:gridCol w:w="211"/>
        <w:gridCol w:w="1036"/>
        <w:gridCol w:w="611"/>
      </w:tblGrid>
      <w:tr>
        <w:trPr/>
        <w:tc>
          <w:tcPr>
            <w:tcW w:w="6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611" w:type="dxa"/>
            <w:tcBorders/>
            <w:shd w:fill="FFFFFF" w:val="cle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(97,235</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62,433,613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20" w:name="consolidatedstatementsstockholdersequity"/>
      <w:bookmarkEnd w:id="20"/>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Changes in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7"/>
        <w:gridCol w:w="146"/>
        <w:gridCol w:w="146"/>
        <w:gridCol w:w="916"/>
        <w:gridCol w:w="166"/>
        <w:gridCol w:w="146"/>
        <w:gridCol w:w="206"/>
        <w:gridCol w:w="365"/>
        <w:gridCol w:w="146"/>
        <w:gridCol w:w="146"/>
        <w:gridCol w:w="214"/>
        <w:gridCol w:w="757"/>
        <w:gridCol w:w="146"/>
        <w:gridCol w:w="146"/>
        <w:gridCol w:w="196"/>
        <w:gridCol w:w="751"/>
        <w:gridCol w:w="166"/>
        <w:gridCol w:w="146"/>
        <w:gridCol w:w="341"/>
        <w:gridCol w:w="999"/>
        <w:gridCol w:w="166"/>
        <w:gridCol w:w="146"/>
        <w:gridCol w:w="196"/>
        <w:gridCol w:w="691"/>
        <w:gridCol w:w="414"/>
      </w:tblGrid>
      <w:tr>
        <w:trPr/>
        <w:tc>
          <w:tcPr>
            <w:tcW w:w="2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 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3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62,015,483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502,916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 of Class A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 employee</w:t>
              <w:br/>
              <w:t>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446,993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 of Class A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 employee</w:t>
              <w:br/>
              <w:t>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396,904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6466"/>
        <w:gridCol w:w="146"/>
        <w:gridCol w:w="196"/>
        <w:gridCol w:w="751"/>
        <w:gridCol w:w="166"/>
        <w:gridCol w:w="146"/>
        <w:gridCol w:w="196"/>
        <w:gridCol w:w="751"/>
        <w:gridCol w:w="7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(92,966</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inventory excess and obsolescence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6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(2,874</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(10,265</w:t>
            </w:r>
          </w:p>
        </w:tc>
        <w:tc>
          <w:tcPr>
            <w:tcW w:w="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disposal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791" w:type="dxa"/>
            <w:tcBorders/>
            <w:shd w:fill="FFFFFF" w:val="clear"/>
            <w:vAlign w:val="center"/>
          </w:tcPr>
          <w:p>
            <w:pPr>
              <w:pStyle w:val="TableContents"/>
              <w:bidi w:val="0"/>
              <w:spacing w:before="0" w:after="283"/>
              <w:jc w:val="lef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(366,268</w:t>
            </w:r>
          </w:p>
        </w:tc>
        <w:tc>
          <w:tcPr>
            <w:tcW w:w="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Class A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791" w:type="dxa"/>
            <w:tcBorders/>
            <w:shd w:fill="CFF0FC" w:val="clear"/>
            <w:vAlign w:val="center"/>
          </w:tcPr>
          <w:p>
            <w:pPr>
              <w:pStyle w:val="TableContents"/>
              <w:bidi w:val="0"/>
              <w:spacing w:before="0" w:after="283"/>
              <w:jc w:val="lef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(179,605</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233,337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transferred to inventory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 transferred to fixed asset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22" w:name="notes_to_consolidated_financial_statemen"/>
      <w:bookmarkEnd w:id="22"/>
      <w:r>
        <w:rPr>
          <w:rFonts w:ascii="Times New Roman" w:hAnsi="Times New Roman"/>
          <w:b/>
          <w:color w:val="000000"/>
          <w:sz w:val="20"/>
        </w:rPr>
        <w:t>Notes to Consolidated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ORGANIZATION AND DESCRIPTION OF THE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In December 2020, the Company formed the wholly-owned subsidiary, Seer Securities Corporation, located in Massachusetts. On May 25, 2022, the Company incorporated Seer Bio UK Limited, a wholly-owned subsidiary, under the laws of United Kingdom.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2023, the Company has incurred significant losses and has had negative cash flows from operations. As of December 31, 2023, the Company had cash and cash equivalents and investments of $373.1 million and an accumulated deficit of $305.8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2023 provide sufficient capital resources to continue its operations for at least 12 months from the issuance date of the accompanying consolidated financial statements.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SUMMARY OF SIGNIFICANT ACCOUNTING POLICIES AND BASIS OF PRESENTATION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accounting principles generally accepted in the United States of America (U.S. GAAP). The consolidated financial statements include the accounts of Seer, Inc. and its wholly-owned subsidiaries. All intercompany transactions and balances have been eliminated.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income tax uncertainties, and tax valuation allowances.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fiscal year 2023 and 2022, the Company recognized revenue from a related party that represented 28% and 32%, respectively, of the Company’s total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fiscal year 2023 and 2022, 30% and 26%, respectively, of the total revenue was generated outside of the United States, primarily from countries in Asia and Europe.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there were two customers which represented 14% and 10% of the total accounts receivable balance, including related party receivables. As of December 31, 2022, there were three customers which represented 25%, 12%, and 10% of the total accounts receivable balance, including related party receivables.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Equity Method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utilizes the equity method to account for investments when it possesses the ability to exercise significant influence, but not control, over the operating and financial decisions of the investee.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the Company has an equity method investment in PrognomiQ. Refer to Note 11 for additional information.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As of December 31, 2023, all amounts recorded as cash and cash equivalents consist of cash, money market funds, corporate debt securities and U.S. Treasury securities and are stated at fair value. As of December 31, 2022, all amounts recorded as cash and cash equivalents consist of cash and money market funds and are stated at fair value.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Restricted cash as of December 31, 2023 and 2022 represents cash held by a financial institution as security for a letter of credit issued to the lessor for one of the Company’s operating leases and is classified as noncurrent.</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amounts shown in the consolidated statements of cash flows (in thousands):</w:t>
      </w:r>
    </w:p>
    <w:p>
      <w:pPr>
        <w:pStyle w:val="TextBody"/>
        <w:bidi w:val="0"/>
        <w:jc w:val="left"/>
        <w:rPr/>
      </w:pPr>
      <w:r>
        <w:rPr/>
        <w:t> </w:t>
      </w:r>
    </w:p>
    <w:tbl>
      <w:tblPr>
        <w:tblW w:w="6349"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11"/>
        <w:gridCol w:w="67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0" w:after="180"/>
        <w:jc w:val="left"/>
        <w:rPr>
          <w:rFonts w:ascii="Times New Roman" w:hAnsi="Times New Roman"/>
          <w:sz w:val="20"/>
        </w:rPr>
      </w:pPr>
      <w:r>
        <w:rPr>
          <w:rFonts w:ascii="Times New Roman" w:hAnsi="Times New Roman"/>
          <w:color w:val="000000"/>
          <w:sz w:val="20"/>
        </w:rPr>
        <w:t>The Company has designated all investments, which include U.S. Treasury securities, U.S. Non-Treasury securities,</w:t>
      </w:r>
      <w:r>
        <w:rPr>
          <w:rFonts w:ascii="Times New Roman" w:hAnsi="Times New Roman"/>
          <w:color w:val="000000"/>
          <w:sz w:val="20"/>
          <w:u w:val="single"/>
        </w:rPr>
        <w:t xml:space="preserve"> </w:t>
      </w:r>
      <w:r>
        <w:rPr>
          <w:rFonts w:ascii="Times New Roman" w:hAnsi="Times New Roman"/>
          <w:color w:val="000000"/>
          <w:sz w:val="20"/>
        </w:rPr>
        <w:t>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2023, the Company classifies its available-for-sale securities as short-term investments or long-term investments based on the remaining contractual maturity of the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2023, the Company did not recognize any impairment charges on its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unrealized losses on available-for-sale debt securities that are attributed to credit risk are recorded to the consolidated statements of operations and comprehensive loss through an allowance for credit losses.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There were $4,000 and $30,000 allowances for credit losses related to accounts receivable as of December 31, 2023 and 2022, respectively.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Inventory is recorded at the lower of cost or net realizable value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 and comprehensive loss.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and amortization. Depreciation is recorded using the straight-line method over the estimated useful lives of the assets. Estimated useful lives are as follows: laboratory equipment and furniture and fixtures - five years, and computer equipment and software - three years. Leasehold improvements are capitalized and amortized over the shorter of the lease term or the estimated useful life of the related asset. Major replacements and improvements are capitalized, while general repairs and maintenance are expensed as incurred. When assets are retired or otherwise disposed of, the cost and related accumulated depreciation and amortization are removed from the consolidated balance sheet and any resulting gain or loss is included as a part of other expense within the consolidated statements of operations and comprehensive loss.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determines if an arrangement is or contains a lease at contract inception and classifies each lease as operating, sales-type or finance 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elected to not separate non-lease components from the associated lease components and to not recognize ROU assets and lease liabilities for leases with a term of twelve months or less. Variable lease payments are primarily related to property taxes, insurance and common area maintenance, and are recognized as lease costs when incurred.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the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portion of the Company’s revenue relates to lease arrangements. Standalone lease arrangements are outside the scope of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xml:space="preserve">.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The related shipping and handling costs are included in the cost of revenue.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include costs associated with research and development of the Company’s technology and product candidates. Research and development expenses primarily consist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primarily consist of employee compensation, including stock-based compensation, and benefits for executive management, sales and marketing, finance, administrative, human resources, legal functions, allocated costs, professional service fees and other general overhead costs to support the Company's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Stock-based compensation expense relates to stock options with service-based vesting conditions, stock options with performance and market-based vesting conditions, stock purchase rights under the employee stock purchase plan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(ESPP), restricted common stock awards (RSAs) and restricted stock units (RSUs). All awards are measured at fair value on grant date and forfeitures are recognized as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fair value of stock options with service conditions and stock purchase rights under our ESPP on the grant date is determined using the Black-Scholes option-pricing valuation model. The fair value of the awards is recognized as expense on a straight-line basis over the requisite service period in which the awards are expected to vest.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Black-Scholes option pricing model considers several variables and assumptions in estimating the fair value of service-based stock options and stock purchase rights under the ESPP. These variables include the per share fair value of the underlying common stock, expected term, expected volatility, risk-free interest rate and expected dividend yield over the expected term. For all service-based stock options granted, the Company calculates the expected term using the simplified method for “plain vanilla” stock option awards. For the expected volatility, the Company uses a blended rate based on the historical volatility of the stock price of its Class A common stock and average volatility of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the Company has never paid dividends and has no current plans to pay dividends on its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stock options with performance and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fair value of RSAs is the difference between the fair value of the underlying stock at the measurement date and the purchase price. The fair value of RSUs is the fair value of the underlying stock at the measurement date.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Company records uncertain tax positions in accordance with ASC 740, </w:t>
      </w:r>
      <w:r>
        <w:rPr>
          <w:rFonts w:ascii="Times New Roman" w:hAnsi="Times New Roman"/>
          <w:i/>
          <w:color w:val="000000"/>
          <w:sz w:val="20"/>
        </w:rPr>
        <w:t>Income Taxes</w:t>
      </w:r>
      <w:r>
        <w:rPr>
          <w:rFonts w:ascii="Times New Roman" w:hAnsi="Times New Roman"/>
          <w:color w:val="000000"/>
          <w:sz w:val="20"/>
        </w:rPr>
        <w:t xml:space="preserve"> on the basis of a two-step process in which (1) we determine whether it is more likely than not that the tax positions will be sustained on the basis of the technical merits of the position and (2) for those tax positions that meet the more-likely-than-not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recognition threshold, we recognize the largest amount of tax liability that is more likely than 50 percent to be realized. Interest and penalties related to unrecognized tax benefits are included within the provision for income tax. For the years ended December 31, 2023 and 2022, there were no interest and penalties.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determined the fair value of financial assets and liabilities using the fair value hierarchy that describes three levels of inputs that may be used to measure fair value, as follows: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Level 1 - Quoted prices in active markets for identical assets and liabilities;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observable or can be corroborated by observable market data for substantially the full term of the assets or liabilities;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year presentation in the consolidated statements of cash flows. There was no change to total cash from operating, investing or financing activities as a result.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November 2021, the FASB issued Accounting Standards Update (ASU) No. 2021-10, </w:t>
      </w:r>
      <w:r>
        <w:rPr>
          <w:rFonts w:ascii="Times New Roman" w:hAnsi="Times New Roman"/>
          <w:i/>
          <w:color w:val="000000"/>
          <w:sz w:val="20"/>
        </w:rPr>
        <w:t xml:space="preserve">Government Assistance (ASC Topic 832): Disclosures by Business Entities about Government Assistance, </w:t>
      </w:r>
      <w:r>
        <w:rPr>
          <w:rFonts w:ascii="Times New Roman" w:hAnsi="Times New Roman"/>
          <w:color w:val="000000"/>
          <w:sz w:val="20"/>
        </w:rPr>
        <w:t>which contains amendments that require annual disclosures about government that are accounted for by applying a grant or contribution accounting model. The amendments set forth in this ASU are effective for all entities for annual periods beginning after December 15, 2021. Early application of the amendments in this ASU is permitted. The Company adopted this standard prospectively on January 1, 2022, which did not have a material impact on its financial statements as of the adoption date.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does not expect the adoption of ASU 2023-09 to have a material impact on its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that were measured at fair value on a recurring basis by level within the fair value hierarchy (in thousands).</w:t>
      </w:r>
    </w:p>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5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5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227,692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510"/>
        <w:gridCol w:w="840"/>
        <w:gridCol w:w="146"/>
        <w:gridCol w:w="146"/>
        <w:gridCol w:w="346"/>
        <w:gridCol w:w="1034"/>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227,692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373,188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426,396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and 2022, unrealized losses on available-for-sale investments are not attributable to credit risk and are considered to be temporary. As of December 31, 2023, the Company does not have investments that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2023, $56.9 million of available-for-sale investments had remaining maturities between one and two years. The remainder of the available-for-sale investments have a remaining maturity of one year or less. As of December 31, 2023 and 2022, the Company recorded $1.3 million and $0.6 million of accrued interest, respectively, related to its available-for-sale investments and is presented as other receivables on the consolidated balance sheets.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3724" w:type="dxa"/>
        <w:jc w:val="left"/>
        <w:tblInd w:w="0" w:type="dxa"/>
        <w:tblLayout w:type="fixed"/>
        <w:tblCellMar>
          <w:top w:w="28" w:type="dxa"/>
          <w:left w:w="28" w:type="dxa"/>
          <w:bottom w:w="28" w:type="dxa"/>
          <w:right w:w="28" w:type="dxa"/>
        </w:tblCellMar>
      </w:tblPr>
      <w:tblGrid>
        <w:gridCol w:w="1531"/>
        <w:gridCol w:w="146"/>
        <w:gridCol w:w="211"/>
        <w:gridCol w:w="571"/>
        <w:gridCol w:w="146"/>
        <w:gridCol w:w="146"/>
        <w:gridCol w:w="211"/>
        <w:gridCol w:w="57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661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67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21,122</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27,229</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related to property and equipment was $5.6 million and $3.9 million for the years ended December 31, 2023 and 2022,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4714"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11"/>
        <w:gridCol w:w="57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revenue consists of instrument with embedded software essential to the instrument's functionality and consumables. Service revenue primarily consists of revenue received from the generation and analysis of proteomic data on behalf of the customer. Related party revenue is comprised of both the sale of products and services performed for related parties, as further discussed in Note 11. Grant and other revenue consists of grant revenue from services performed specifically for the reimbursement of research-related expenses and other revenue which relates to shipping revenue and lease arrangements, as further discussed below.</w:t>
      </w:r>
    </w:p>
    <w:p>
      <w:pPr>
        <w:pStyle w:val="TextBody"/>
        <w:bidi w:val="0"/>
        <w:jc w:val="left"/>
        <w:rPr>
          <w:rFonts w:ascii="Times New Roman" w:hAnsi="Times New Roman"/>
          <w:color w:val="000000"/>
          <w:sz w:val="20"/>
        </w:rPr>
      </w:pPr>
      <w:r>
        <w:rPr>
          <w:rFonts w:ascii="Times New Roman" w:hAnsi="Times New Roman"/>
          <w:color w:val="000000"/>
          <w:sz w:val="20"/>
        </w:rPr>
        <w:t>Deferred revenue activity for the years ended December 31, 2023 and 2022 are as follows (in thousands):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tbl>
      <w:tblPr>
        <w:tblW w:w="4544" w:type="dxa"/>
        <w:jc w:val="left"/>
        <w:tblInd w:w="0" w:type="dxa"/>
        <w:tblLayout w:type="fixed"/>
        <w:tblCellMar>
          <w:top w:w="28" w:type="dxa"/>
          <w:left w:w="28" w:type="dxa"/>
          <w:bottom w:w="28" w:type="dxa"/>
          <w:right w:w="28" w:type="dxa"/>
        </w:tblCellMar>
      </w:tblPr>
      <w:tblGrid>
        <w:gridCol w:w="2491"/>
        <w:gridCol w:w="146"/>
        <w:gridCol w:w="211"/>
        <w:gridCol w:w="481"/>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1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deferred revenue and non-cancelable amounts that will be invoiced and recognized as revenues in future periods. As of December 31, 2023, $1.6 million of revenue is expected to be recognized from the remaining performance obligations, of which 97% is expected to be recognized within 12 months.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August 2019, the Company received a Small Business Innovation Research grant award from the National Institutes of Health for a total funding of $2.0 million for its development of research applications. For the years ended December 31, 2023 and 2022, the Company recognized $1.1 million and $0.3 million of grant revenue, respectively, with respect to the award.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years ended December 31, 2023 and 2022, the Company recognized $0.1 million of lease revenue from operating lease and $0.5 million of lease revenue from sales-type lease, respectively.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the Company is authorized to issue 105,000,000 shares of capital stock consisting of 94,000,000 shares of Class A common stock, 6,000,000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8, 2025. 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Common stock issued and outstanding on the consolidated balance sheets and consolidated statements of changes in stockholders' equity includes shares related to early exercised options and restricted stock that are subject to repurchase.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2017, the Company adopted the 2017 Stock Incentive Plan (2017 Plan), which provided for the granting of awards to employees, directors, and consultants of the Company. Awards issuable under the 2017 Plan included incentive stock options (ISOs), nonqualified stock options (NSOs), and restricted stock awards. In 2020, the Company adopted the 2020 RSU Equity Incentive Plan (2020 RSU Plan), which provided for the granting of RSUs to employees and consultants of the Company and any parent or subsidiary of the Company and members of our board of directors.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2020, the Company adopted the 2020 Equity Incentive Plan (2020 Plan), which became effective in connection with the IPO. Awards issuable under the 2020 Plan include ISOs, NSOs, restricted stock awards, RSUs, stock appreciation rights and performance awards, to employees and consultants of the Company or any parent or subsidiary of the Company and members of our board of directors. The Company’s 2017 Plan and 2020 RSU Plan were terminated in connection with the IPO and no further grants will be made under the 2017 Plan and 2020 RSU Plan from the date that the 2020 Plan became effective.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options to purchase the Company’s Class A common stock may be granted at a per share exercise price not less than the fair market value of a share of the Company’s Class A common stock at the date of grant in the case of both NSOs and ISOs, except for grants of ISOs to an employee who owns more than 10% of the voting power of all classes of stock of the Company or any parent or subsidiary of the Company, in which case the per share exercise price shall be no less than 110% of the fair market value per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Additional shares subject to certain equity awards that otherwise would have returned to the 2017 Plan or the 2020 RSU Plan may become available for issuance under the 2020 Plan. The 2020 Plan also provides for an annual, automatic increase in the number of shares of the Company’s Class A common stock reserved for issuance under the 2020 Plan as of the first day of each fiscal year of the Company beginning with the Company’s 2021 fiscal year, in an amount equal to the least of (a) 9,037,149 shares, (b) a number of shares equal to 5% of the total number of shares of all classes of common stock of the Company outstanding on the last day of the immediately preceding fiscal year, or (c) such number of shares determined by the administrator of the 2020 Plan prior to the date of such share increase. As of December 31, 2023, there are 14,570,948 shares of Class A common stock reserved for issuance under the 2020 Plan, 4,366,211 shares of which are available for issuance in connection with grants of future awards.</w:t>
      </w:r>
    </w:p>
    <w:p>
      <w:pPr>
        <w:pStyle w:val="TextBody"/>
        <w:bidi w:val="0"/>
        <w:jc w:val="left"/>
        <w:rPr>
          <w:rFonts w:ascii="Times New Roman" w:hAnsi="Times New Roman"/>
          <w:color w:val="000000"/>
          <w:sz w:val="20"/>
        </w:rPr>
      </w:pPr>
      <w:r>
        <w:rPr>
          <w:rFonts w:ascii="Times New Roman" w:hAnsi="Times New Roman"/>
          <w:color w:val="000000"/>
          <w:sz w:val="20"/>
        </w:rPr>
        <w:t>Stock option activity for the year ended December 31, 2023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6"/>
        <w:gridCol w:w="146"/>
        <w:gridCol w:w="165"/>
        <w:gridCol w:w="1173"/>
        <w:gridCol w:w="166"/>
        <w:gridCol w:w="146"/>
        <w:gridCol w:w="498"/>
        <w:gridCol w:w="1352"/>
        <w:gridCol w:w="146"/>
        <w:gridCol w:w="146"/>
        <w:gridCol w:w="506"/>
        <w:gridCol w:w="1622"/>
        <w:gridCol w:w="146"/>
        <w:gridCol w:w="146"/>
        <w:gridCol w:w="394"/>
        <w:gridCol w:w="1263"/>
        <w:gridCol w:w="194"/>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1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w:t>
            </w:r>
          </w:p>
        </w:tc>
        <w:tc>
          <w:tcPr>
            <w:tcW w:w="194"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1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7"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December 31, 2023</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weighted-average grant date fair value of stock options granted to employees during the years ended December 31, 2023 and 2022, was $4.19 and $14.15 per share, respectively. The total intrinsic value of stock options exercised during the years ended December 31, 2023 and 2022, was $0.5 million and $12.7 million, respectively. As of December 31, 2023, the total unrecognized stock-based compensation related to unvested stock options was $30.8 million, which the Company expects to recognize over a remaining weighted-average period of 3.33 years.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fair value of stock options granted to employees, directors, and non-employees that are calculated using the Black-Scholes option pricing model using the following assumptions:</w:t>
      </w:r>
    </w:p>
    <w:p>
      <w:pPr>
        <w:pStyle w:val="TextBody"/>
        <w:bidi w:val="0"/>
        <w:jc w:val="left"/>
        <w:rPr/>
      </w:pPr>
      <w:r>
        <w:rPr/>
        <w:t> </w:t>
      </w:r>
    </w:p>
    <w:tbl>
      <w:tblPr>
        <w:tblW w:w="5534" w:type="dxa"/>
        <w:jc w:val="left"/>
        <w:tblInd w:w="0" w:type="dxa"/>
        <w:tblLayout w:type="fixed"/>
        <w:tblCellMar>
          <w:top w:w="28" w:type="dxa"/>
          <w:left w:w="28" w:type="dxa"/>
          <w:bottom w:w="28" w:type="dxa"/>
          <w:right w:w="28" w:type="dxa"/>
        </w:tblCellMar>
      </w:tblPr>
      <w:tblGrid>
        <w:gridCol w:w="2131"/>
        <w:gridCol w:w="146"/>
        <w:gridCol w:w="386"/>
        <w:gridCol w:w="919"/>
        <w:gridCol w:w="228"/>
        <w:gridCol w:w="228"/>
        <w:gridCol w:w="386"/>
        <w:gridCol w:w="919"/>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- 4.7%</w:t>
            </w:r>
          </w:p>
        </w:tc>
        <w:tc>
          <w:tcPr>
            <w:tcW w:w="228"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 - 4.2%</w:t>
            </w:r>
          </w:p>
        </w:tc>
        <w:tc>
          <w:tcPr>
            <w:tcW w:w="191" w:type="dxa"/>
            <w:tcBorders/>
            <w:shd w:fill="CFF0FC"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 - 83.5%</w:t>
            </w:r>
          </w:p>
        </w:tc>
        <w:tc>
          <w:tcPr>
            <w:tcW w:w="228"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 - 97.0%</w:t>
            </w:r>
          </w:p>
        </w:tc>
        <w:tc>
          <w:tcPr>
            <w:tcW w:w="191" w:type="dxa"/>
            <w:tcBorders/>
            <w:shd w:fill="FFFFFF" w:val="clear"/>
            <w:vAlign w:val="center"/>
          </w:tcPr>
          <w:p>
            <w:pPr>
              <w:pStyle w:val="TableContents"/>
              <w:bidi w:val="0"/>
              <w:spacing w:before="0" w:after="283"/>
              <w:jc w:val="righ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5.77 - 6.08</w:t>
            </w:r>
          </w:p>
        </w:tc>
        <w:tc>
          <w:tcPr>
            <w:tcW w:w="228"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5.77 - 6.08</w:t>
            </w:r>
          </w:p>
        </w:tc>
        <w:tc>
          <w:tcPr>
            <w:tcW w:w="191" w:type="dxa"/>
            <w:tcBorders/>
            <w:shd w:fill="CFF0FC"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color w:val="000000"/>
              </w:rPr>
            </w:pPr>
            <w:r>
              <w:rPr>
                <w:color w:val="000000"/>
              </w:rPr>
              <w:t>—</w:t>
            </w:r>
          </w:p>
        </w:tc>
        <w:tc>
          <w:tcPr>
            <w:tcW w:w="22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Market Condition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2023, the Company granted options to purchase an aggregate of 1,794,000 shares of the Company’s Class A common stock to certain Company executives, with vesting subject to market conditions (Market Condition Options). The Market Condition Options become eligible to vest if the average of the closing sales prices of a share of Class A common stock over a trailing twenty trading day period within seven years from the date of grant reaches a stock price of $6.89 per share (the Market Price Milestone).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Condition Options had a grant date fair value of approximately $5.2 million determined using a lattice-binomial option-pricing model based on a Monte Carlo simulation. The following assumptions were used to determine the grant date fair value of $2.80 - $3.02: (i) risk-free interest rate: 3.94%; (ii) expected volatility: 83.10%; (iii) expected dividend yield: 0.0% and (iv) strike price of $4.59. Compensation expense is recognized using an accelerated attribution method based on the derived service periods for each of the tranches. Failure to meet the market condition for an award does not result in reversal of previously recognized expense, so long as the service is provided for the duration of the respective derived service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recognized compensation expense of $2.4 million related to the Market Condition Options for the year ended December 31, 2023. As of December 31, 2023, there was $2.8 million in unrecognized compensation related to unvested Market Condition Options, which the Company expects to recognize over a remaining weighted-average period of 1.41 years.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stock options granted under the 2017 Plan provide stock option holders the right to exercise unvested stock options in exchange for restricted shares of Class A common stock. The Company has also issued restricted shares of Class A common stock under the 2020 Plan to employees and directors. There were 1,023 shares and 60,787 shares of restricted stock that were unvested and subject to repurchase as of December 31, 2023 and 2022, respectively.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four years from the vesting start date.</w:t>
      </w:r>
    </w:p>
    <w:p>
      <w:pPr>
        <w:pStyle w:val="TextBody"/>
        <w:bidi w:val="0"/>
        <w:jc w:val="left"/>
        <w:rPr>
          <w:rFonts w:ascii="Times New Roman" w:hAnsi="Times New Roman"/>
          <w:color w:val="000000"/>
          <w:sz w:val="20"/>
        </w:rPr>
      </w:pPr>
      <w:r>
        <w:rPr>
          <w:rFonts w:ascii="Times New Roman" w:hAnsi="Times New Roman"/>
          <w:color w:val="000000"/>
          <w:sz w:val="20"/>
        </w:rPr>
        <w:t>RSU activity for the year ended December 31, 2023 is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596"/>
        <w:gridCol w:w="146"/>
        <w:gridCol w:w="191"/>
        <w:gridCol w:w="1219"/>
        <w:gridCol w:w="166"/>
        <w:gridCol w:w="146"/>
        <w:gridCol w:w="408"/>
        <w:gridCol w:w="1107"/>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the total unrecognized stock-based compensation related to RSUs was $20.1 million, which the Company expects to recognize over a remaining weighted-average period of 2.9 years.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total of 602,570 shares of Class A common stock initially were reserved for issuance under the ESPP. The ESPP provides for an annual, automatic increase in the number of shares of the Company’s Class A common stock reserved for issuance under the ESPP as of the first day of each fiscal year of the Company beginning with the Company’s 2021 fiscal year, in an amount equal to the least of (a) 1,807,476 shares, (b) a number of shares equal to 1% of the total number of shares of all classes of common stock of the Company outstanding on the last day of the immediately preceding fiscal year, or (c) such number of shares determined by the administrator of the ESPP prior to the date of such share increase. A total of 1,829,437 shares of Class A common stock are reserved for issuance under the ESPP as of December 31, 2023. During the year ended December 31, 2023, 193,157 shares of Class A common stock were issued under the ESPP. As of December 31, 2023, the total unrecognized stock-based compensation related to the ESPP was $0.1 million, which the Company expects to recognize over a remaining weighted-average period of 0.37 years.</w:t>
      </w:r>
    </w:p>
    <w:p>
      <w:pPr>
        <w:pStyle w:val="TextBody"/>
        <w:bidi w:val="0"/>
        <w:jc w:val="left"/>
        <w:rPr>
          <w:rFonts w:ascii="Times New Roman" w:hAnsi="Times New Roman"/>
          <w:color w:val="000000"/>
          <w:sz w:val="20"/>
        </w:rPr>
      </w:pPr>
      <w:r>
        <w:rPr>
          <w:rFonts w:ascii="Times New Roman" w:hAnsi="Times New Roman"/>
          <w:color w:val="000000"/>
          <w:sz w:val="20"/>
        </w:rPr>
        <w:t>The fair value of the ESPP shares is estimated using the Black-Scholes option pricing model, based on the following assumptions:</w:t>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2131"/>
        <w:gridCol w:w="146"/>
        <w:gridCol w:w="311"/>
        <w:gridCol w:w="994"/>
        <w:gridCol w:w="192"/>
        <w:gridCol w:w="192"/>
        <w:gridCol w:w="311"/>
        <w:gridCol w:w="994"/>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 - 5.4%</w:t>
            </w:r>
          </w:p>
        </w:tc>
        <w:tc>
          <w:tcPr>
            <w:tcW w:w="192" w:type="dxa"/>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 - 4.5%</w:t>
            </w:r>
          </w:p>
        </w:tc>
        <w:tc>
          <w:tcPr>
            <w:tcW w:w="191" w:type="dxa"/>
            <w:tcBorders/>
            <w:shd w:fill="CFF0FC"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 - 97.3%</w:t>
            </w:r>
          </w:p>
        </w:tc>
        <w:tc>
          <w:tcPr>
            <w:tcW w:w="192"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 - 88.5%</w:t>
            </w:r>
          </w:p>
        </w:tc>
        <w:tc>
          <w:tcPr>
            <w:tcW w:w="191" w:type="dxa"/>
            <w:tcBorders/>
            <w:shd w:fill="FFFFFF" w:val="clear"/>
            <w:vAlign w:val="center"/>
          </w:tcPr>
          <w:p>
            <w:pPr>
              <w:pStyle w:val="TableContents"/>
              <w:bidi w:val="0"/>
              <w:spacing w:before="0" w:after="283"/>
              <w:jc w:val="righ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consolidated statements of operations and comprehensive loss (in thousands):</w:t>
      </w:r>
    </w:p>
    <w:p>
      <w:pPr>
        <w:pStyle w:val="TextBody"/>
        <w:bidi w:val="0"/>
        <w:jc w:val="left"/>
        <w:rPr/>
      </w:pPr>
      <w:r>
        <w:rPr/>
        <w:t> </w:t>
      </w:r>
    </w:p>
    <w:tbl>
      <w:tblPr>
        <w:tblW w:w="5359"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2022, in connection with a leave of absence taken by one of the Company’s executives, a total of 1,330,892 share-based awards were modified to extend the overall term and change the timing of the vesting of the awards. The total incremental stock-based compensation associated with the modification was $0.9 million, of which none remains unrecognized for the period ended December 31, 2023. On September 30, 2022, the executive resigned from his position as President of the Company and from the Company’s Board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21, 2022, the Company’s Board of Directors approved an option repricing to reduce the exercise price of certain vested, outstanding, and unexercised stock options with an exercise price greater than $19.00 per share, each of which was granted under the 2020 Plan, that were held by employees who were not members of the Board of Directors or officers for purposes of Section 16 of the Securities Exchange Act of 1934, as amended (the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recorded $0.7 million and $4.8 million of incremental compensation expense during the year ended December 31, 2023 and 2022. The total unrecognized incremental stock-based compensation associated with the option repricing is $1.1 million, which will be recognized over the next two years.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8.</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For each of fiscal years 2023 and 2022, the Company contributed $0.4 million to the 401(k) plan.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December 31, 2023 and 2022, which is secured by restricted cash and is presented as noncurrent at each date based on the term of the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underlying lease. In addition, the Company leases approximately 6,000 square of office space in San Diego, California under a lease that runs through September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components of lease expense and supplemental information were as follows (dollars in thousands): </w:t>
      </w:r>
    </w:p>
    <w:tbl>
      <w:tblPr>
        <w:tblW w:w="6582" w:type="dxa"/>
        <w:jc w:val="left"/>
        <w:tblInd w:w="0" w:type="dxa"/>
        <w:tblLayout w:type="fixed"/>
        <w:tblCellMar>
          <w:top w:w="28" w:type="dxa"/>
          <w:left w:w="28" w:type="dxa"/>
          <w:bottom w:w="28" w:type="dxa"/>
          <w:right w:w="28" w:type="dxa"/>
        </w:tblCellMar>
      </w:tblPr>
      <w:tblGrid>
        <w:gridCol w:w="4126"/>
        <w:gridCol w:w="146"/>
        <w:gridCol w:w="212"/>
        <w:gridCol w:w="575"/>
        <w:gridCol w:w="273"/>
        <w:gridCol w:w="147"/>
        <w:gridCol w:w="212"/>
        <w:gridCol w:w="575"/>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27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7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6"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Variable lease costs primarily consist of common area maintenance.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Supplemental cash flow information related to leases are as follows (in thousands):</w:t>
      </w:r>
    </w:p>
    <w:tbl>
      <w:tblPr>
        <w:tblW w:w="8137" w:type="dxa"/>
        <w:jc w:val="left"/>
        <w:tblInd w:w="0" w:type="dxa"/>
        <w:tblLayout w:type="fixed"/>
        <w:tblCellMar>
          <w:top w:w="28" w:type="dxa"/>
          <w:left w:w="28" w:type="dxa"/>
          <w:bottom w:w="28" w:type="dxa"/>
          <w:right w:w="28" w:type="dxa"/>
        </w:tblCellMar>
      </w:tblPr>
      <w:tblGrid>
        <w:gridCol w:w="5806"/>
        <w:gridCol w:w="146"/>
        <w:gridCol w:w="226"/>
        <w:gridCol w:w="614"/>
        <w:gridCol w:w="157"/>
        <w:gridCol w:w="157"/>
        <w:gridCol w:w="226"/>
        <w:gridCol w:w="614"/>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obtained in exchange for right-of-use assets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2023, future minimum commitments under the Company’s non-cancelable facility operating leases are as follows:</w:t>
      </w:r>
    </w:p>
    <w:p>
      <w:pPr>
        <w:pStyle w:val="TextBody"/>
        <w:bidi w:val="0"/>
        <w:jc w:val="left"/>
        <w:rPr/>
      </w:pPr>
      <w:r>
        <w:rPr/>
        <w:t> </w:t>
      </w:r>
    </w:p>
    <w:tbl>
      <w:tblPr>
        <w:tblW w:w="6413" w:type="dxa"/>
        <w:jc w:val="left"/>
        <w:tblInd w:w="0" w:type="dxa"/>
        <w:tblLayout w:type="fixed"/>
        <w:tblCellMar>
          <w:top w:w="28" w:type="dxa"/>
          <w:left w:w="28" w:type="dxa"/>
          <w:bottom w:w="28" w:type="dxa"/>
          <w:right w:w="28" w:type="dxa"/>
        </w:tblCellMar>
      </w:tblPr>
      <w:tblGrid>
        <w:gridCol w:w="4831"/>
        <w:gridCol w:w="146"/>
        <w:gridCol w:w="267"/>
        <w:gridCol w:w="858"/>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undiscounted future minumum lease payments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a lessor, the Company has contracts for equipment leased to customers. The Company accounts for the non-lease component under the revenue recognition ASC 606 guidance and the lease component under ASC 842 guidance.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with third parties and exclude orders for goods and services entered into in the normal course of business that are not enforceable or are subject to change. These outstanding commitments amounted to $6.3 million and $5.7 million as of December 31, 2023 and 2022,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2023 and 2022, the Company does not have any material indemnification claims that were probable or reasonably possible and consequently has not recorded related liabilities.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not currently a party to any material legal proceedings.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As of each of December 31, 2023 and 2022, the carrying value of the Company’s investment in PrognomiQ was reduced to nil after recognizing net losses based on its percentage of ownership in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PrognomiQ constitutes a related party and, as of December 31, 2023 and 2022, the Company recorded $0.6 million and $1.5 million in related party receivables, respectively, on the consolidated balance sheets mainly due from product sales. For the years ended December 31, 2023 and 2022, the Company recognized revenue of $4.7 million, of which $4.4 million was from product sales, and $5.0 million, all of which was from product sales, respectively, from PrognomiQ and is presented as related party revenue on the consolidated statements of operations and comprehensive loss.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During 2022, a member of the Company’s Board of Directors served as a board member and an executive officer at a company that is a customer of the Company. As of December 31, 2023 and 2022, the Company recorded nil and $0.3 million in related party receivables, respectively, on the consolidated balance sheets, representing revenue from products sales. Revenue recognized from the sale of consumables were nil and $0.3 million for the years ended December 31, 2023 and 2022, respectively, which are presented as related party revenue on the consolidated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statements of operations and comprehensive loss. The Company has a contract for equipment leased to this customer that has been classified as a sales-type lease. As of each of December 31, 2023 and 2022, the lease receivables related to the sales-type lease are $0.2 million. The lease receivables are presented as prepaid expenses and other current assets on the consolidated balance sheets.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p>
      <w:pPr>
        <w:pStyle w:val="TextBody"/>
        <w:bidi w:val="0"/>
        <w:jc w:val="left"/>
        <w:rPr/>
      </w:pPr>
      <w:r>
        <w:rPr/>
        <w:t> </w:t>
      </w:r>
    </w:p>
    <w:tbl>
      <w:tblPr>
        <w:tblW w:w="920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2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computing net loss per share</w:t>
              <w:br/>
              <w:t>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63,850,490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62,433,613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10,214,430</w:t>
            </w:r>
          </w:p>
        </w:tc>
        <w:tc>
          <w:tcPr>
            <w:tcW w:w="19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common stock subject to future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60,787</w:t>
            </w:r>
          </w:p>
        </w:tc>
        <w:tc>
          <w:tcPr>
            <w:tcW w:w="191" w:type="dxa"/>
            <w:tcBorders/>
            <w:shd w:fill="FFFFFF" w:val="cle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1,650,976</w:t>
            </w:r>
          </w:p>
        </w:tc>
        <w:tc>
          <w:tcPr>
            <w:tcW w:w="19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ESPP shares to be issued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12,053,234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reconciliation of the expected tax expense (benefit) to the actual tax expense is as follows (in thousands):</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5041"/>
        <w:gridCol w:w="146"/>
        <w:gridCol w:w="211"/>
        <w:gridCol w:w="736"/>
        <w:gridCol w:w="166"/>
        <w:gridCol w:w="146"/>
        <w:gridCol w:w="211"/>
        <w:gridCol w:w="736"/>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benefit at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tax deduction over book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1" w:type="dxa"/>
            <w:tcBorders/>
            <w:shd w:fill="FFFFFF" w:val="cle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as of December 31, 2023 and 2022, are as follows (in thousands):</w:t>
      </w:r>
    </w:p>
    <w:tbl>
      <w:tblPr>
        <w:tblW w:w="6539" w:type="dxa"/>
        <w:jc w:val="left"/>
        <w:tblInd w:w="0" w:type="dxa"/>
        <w:tblLayout w:type="fixed"/>
        <w:tblCellMar>
          <w:top w:w="28" w:type="dxa"/>
          <w:left w:w="28" w:type="dxa"/>
          <w:bottom w:w="28" w:type="dxa"/>
          <w:right w:w="28" w:type="dxa"/>
        </w:tblCellMar>
      </w:tblPr>
      <w:tblGrid>
        <w:gridCol w:w="3696"/>
        <w:gridCol w:w="146"/>
        <w:gridCol w:w="211"/>
        <w:gridCol w:w="736"/>
        <w:gridCol w:w="166"/>
        <w:gridCol w:w="146"/>
        <w:gridCol w:w="211"/>
        <w:gridCol w:w="736"/>
        <w:gridCol w:w="4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33,187</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experimentation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62,134</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6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(54,991</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sz w:val="4"/>
                <w:szCs w:val="4"/>
              </w:rPr>
            </w:pPr>
            <w:r>
              <w:rPr>
                <w:sz w:val="4"/>
                <w:szCs w:val="4"/>
              </w:rPr>
            </w:r>
          </w:p>
        </w:tc>
        <w:tc>
          <w:tcPr>
            <w:tcW w:w="491" w:type="dxa"/>
            <w:tcBorders/>
            <w:shd w:fill="CFF0FC"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 and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deferred tax assets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the Company’s incorporation in 2017. Such objective evidence limits the ability to recorded against the Company's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2023 and 2022, the net changes in the net valuation allowance were an increase of $19.0 million and an increase of $24.8 million,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and 2022, the Company had federal net operating loss carryforwards of approximately $148.1 million and $119.4 million, respectively, which will carry forward indefinitely for federal tax purposes. At December 31, 2023 and 2022, the Company had state net operating loss carryforwards of approximately $151.8 million and $122.5 million, respectively, which will begin to expire in 2035 for state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and 2022, the Company had federal research and development credit carryforwards of approximately $5.1 million and $3.0 million, respectively, which begin to expire in 2039 and state research and development credit carryforwards of approximately $4.3 million and $3.1 million, respectively, which will carry forward indefinitely.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operating loss and tax credit carryforwards. The Company concluded that while ownership changes occurred in 2018, 2020 and 2022, no tax attributes are expected to be expiring unutilized as a result of the Section 382 limitation.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2023 and 2022, the Company had unrecognized tax benefits of approximately $2.4 million and $1.6 million, respectively. The amount of unrecognized tax benefits is not expected to significantly change over the next 12 months. The Company’s effective income tax rate would not be impacted if the unrecognized tax benefits were recognized in 2023 and 2022, as the Company is in a full valuation allowance position. The beginning and ending unrecognized tax benefits amounts are as follows (in thousands):</w:t>
      </w:r>
    </w:p>
    <w:tbl>
      <w:tblPr>
        <w:tblW w:w="5554" w:type="dxa"/>
        <w:jc w:val="left"/>
        <w:tblInd w:w="0" w:type="dxa"/>
        <w:tblLayout w:type="fixed"/>
        <w:tblCellMar>
          <w:top w:w="28" w:type="dxa"/>
          <w:left w:w="28" w:type="dxa"/>
          <w:bottom w:w="28" w:type="dxa"/>
          <w:right w:w="28" w:type="dxa"/>
        </w:tblCellMar>
      </w:tblPr>
      <w:tblGrid>
        <w:gridCol w:w="3361"/>
        <w:gridCol w:w="146"/>
        <w:gridCol w:w="211"/>
        <w:gridCol w:w="571"/>
        <w:gridCol w:w="146"/>
        <w:gridCol w:w="146"/>
        <w:gridCol w:w="211"/>
        <w:gridCol w:w="57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prior year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current year positions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the Company’s policy to include any penalties and interest expense related to income taxes as a component of other expense. Management determined that no accrual for interest and penalties was required as of December 31, 2023.</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tax returns will remain open for examination by the federal and state taxing authorities for three and four years, respectively, from the date of utilization of any net operating loss carryforwards or research and development credits.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evaluated subsequent events from December 31, 2023, the date of these consolidated financial statements, through March 4, 2024, which represents the date the consolidated financial statements were available to be issued for events requiring recording or disclosure in the consolidated financial statements for the year ended December 31, 2023. The Company concluded that no events have occurred that would require recognition or disclosure in the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24" w:name="item_9a_controls_and_procedures"/>
      <w:bookmarkEnd w:id="24"/>
      <w:r>
        <w:rPr>
          <w:rFonts w:ascii="Times New Roman" w:hAnsi="Times New Roman"/>
          <w:b/>
          <w:color w:val="000000"/>
          <w:sz w:val="20"/>
        </w:rPr>
        <w:t>Item 9A.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2023,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As of December 31, 2023, our management conducted an evaluation, under the supervision and with the participation of our CEO and CFO, of the effectiveness of our internal control over financial reporting based upon the framework in the </w:t>
      </w:r>
      <w:r>
        <w:rPr>
          <w:rFonts w:ascii="Times New Roman" w:hAnsi="Times New Roman"/>
          <w:i/>
          <w:color w:val="000000"/>
          <w:sz w:val="20"/>
        </w:rPr>
        <w:t xml:space="preserve">Internal Control - Integrated Framework </w:t>
      </w:r>
      <w:r>
        <w:rPr>
          <w:rFonts w:ascii="Times New Roman" w:hAnsi="Times New Roman"/>
          <w:color w:val="000000"/>
          <w:sz w:val="20"/>
        </w:rPr>
        <w:t>(2013), issued by the Committee of Sponsoring Organizations of the Treadway Commission. Based upon that evaluation, our CEO and CFO concluded that our internal control over financial reporting was effective as of December 31, 2023.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a smaller reporting company, and therefore our independent registered public accounting firm has not issued a report on the effectiveness of internal control over financial reporting.</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year ended December 31, 2023 that have materially affected, or are reasonably likely to materially affect, our internal control over financial reporting.</w:t>
      </w:r>
    </w:p>
    <w:p>
      <w:pPr>
        <w:pStyle w:val="TextBody"/>
        <w:bidi w:val="0"/>
        <w:spacing w:before="180" w:after="180"/>
        <w:jc w:val="left"/>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officer and director, as defined in Rule 16a-1(f), adopted a “Rule 10b5-1 trading arrangement” as defined in Regulation S-K Item 408, as follows: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May 17, 2023, David Horn, our Chief Financial Officer and an officer of the Company for purposes of Section 16 of the Exchange Act, entered into a share trading plan. Mr. Horn’s plan provides for the sale of up to 120,000 shares of Class A common stock between the selling start date and August 15, 2024. Mr. Horn’s trading plan was entered into during an open insider trading window and is intended to satisfy the affirmative defense of Rule 10b5-1(c) under the Exchange Act and the Company’s policies regarding insider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September 13, 2023, Deep Nishar, a member of the Board of Directors of the Company, entered into a share trading plan. Mr. Nishar’s plan provides for the sale of up to 17,280 shares of Class A common stock between the selling start date and June 30, 2024. Mr. Nishar’s trading plan was entered into during an open insider trading window and is intended to satisfy the affirmative defense of Rule 10b5-1(c) under the Exchange Act and the Company’s policies regarding insider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 other officers or directors, as defined in Rule 16a-1(f) adopted or terminated a “Rule 10b5-1 trading arrangement” as defined in Regulation S-K Item 408, during the last fiscal year.</w:t>
      </w:r>
    </w:p>
    <w:p>
      <w:pPr>
        <w:pStyle w:val="TextBody"/>
        <w:bidi w:val="0"/>
        <w:spacing w:before="180" w:after="180"/>
        <w:jc w:val="left"/>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80" w:after="283"/>
        <w:jc w:val="left"/>
        <w:rPr>
          <w:rFonts w:ascii="Times New Roman" w:hAnsi="Times New Roman"/>
          <w:sz w:val="20"/>
        </w:rPr>
      </w:pPr>
      <w:bookmarkStart w:id="28" w:name="item_10_directors_executive"/>
      <w:bookmarkEnd w:id="28"/>
      <w:r>
        <w:rPr>
          <w:rFonts w:ascii="Times New Roman" w:hAnsi="Times New Roman"/>
          <w:b/>
          <w:color w:val="000000"/>
          <w:sz w:val="20"/>
        </w:rPr>
        <w:t>Item 10. Directors, Executive</w:t>
      </w:r>
      <w:r>
        <w:rPr>
          <w:rFonts w:ascii="Times New Roman" w:hAnsi="Times New Roman"/>
          <w:color w:val="000000"/>
          <w:sz w:val="20"/>
        </w:rPr>
        <w:t xml:space="preserve"> </w:t>
      </w:r>
      <w:r>
        <w:rPr>
          <w:rFonts w:ascii="Times New Roman" w:hAnsi="Times New Roman"/>
          <w:b/>
          <w:color w:val="000000"/>
          <w:sz w:val="20"/>
        </w:rPr>
        <w:t>Officers and Corporate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2023.</w:t>
      </w:r>
    </w:p>
    <w:p>
      <w:pPr>
        <w:pStyle w:val="TextBody"/>
        <w:bidi w:val="0"/>
        <w:spacing w:before="180" w:after="180"/>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0" w:name="item_12_security_ownership_of_certain"/>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1" w:name="item_13_certain_relationships"/>
      <w:bookmarkEnd w:id="31"/>
      <w:r>
        <w:rPr>
          <w:rFonts w:ascii="Times New Roman" w:hAnsi="Times New Roman"/>
          <w:b/>
          <w:color w:val="000000"/>
          <w:sz w:val="20"/>
        </w:rPr>
        <w:t>Item 13. Certain Relationships and Related Transactions, and Director Independence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2" w:name="item_14_principal_accounting"/>
      <w:bookmarkEnd w:id="32"/>
      <w:r>
        <w:rPr>
          <w:rFonts w:ascii="Times New Roman" w:hAnsi="Times New Roman"/>
          <w:b/>
          <w:color w:val="000000"/>
          <w:sz w:val="20"/>
        </w:rPr>
        <w:t>Item 14. Principal Accounting Fees and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spacing w:before="0" w:after="180"/>
        <w:jc w:val="left"/>
        <w:rPr>
          <w:rFonts w:ascii="Times New Roman" w:hAnsi="Times New Roman"/>
          <w:sz w:val="20"/>
        </w:rPr>
      </w:pPr>
      <w:bookmarkStart w:id="34" w:name="item_15_exhibits_and_financial"/>
      <w:bookmarkEnd w:id="34"/>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Statements: The financial statements filed as part of this Annual Report are included in Part II, Item 8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9"/>
        <w:gridCol w:w="146"/>
        <w:gridCol w:w="5643"/>
        <w:gridCol w:w="542"/>
        <w:gridCol w:w="146"/>
        <w:gridCol w:w="935"/>
        <w:gridCol w:w="146"/>
        <w:gridCol w:w="631"/>
        <w:gridCol w:w="146"/>
        <w:gridCol w:w="861"/>
      </w:tblGrid>
      <w:tr>
        <w:trPr/>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0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64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4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100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19">
              <w:r>
                <w:rPr>
                  <w:rStyle w:val="InternetLink"/>
                  <w:rFonts w:ascii="Times New Roman" w:hAnsi="Times New Roman"/>
                  <w:color w:val="0000FF"/>
                  <w:sz w:val="19"/>
                  <w:u w:val="single"/>
                </w:rPr>
                <w:t>Amended and Restated Certificate of Incorporation of the Registrant</w:t>
              </w:r>
            </w:hyperlink>
            <w:r>
              <w:rPr>
                <w:rFonts w:ascii="Times New Roman" w:hAnsi="Times New Roman"/>
                <w:color w:val="000000"/>
                <w:sz w:val="19"/>
              </w:rPr>
              <w:t>.</w:t>
            </w:r>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12/8/2020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0">
              <w:r>
                <w:rPr>
                  <w:rStyle w:val="InternetLink"/>
                  <w:rFonts w:ascii="Times New Roman" w:hAnsi="Times New Roman"/>
                  <w:color w:val="0000FF"/>
                  <w:sz w:val="19"/>
                  <w:u w:val="single"/>
                </w:rPr>
                <w:t>Amendment to the Amended and Restatement Certificate of Incorporation of the Company.</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vAlign w:val="center"/>
          </w:tcPr>
          <w:p>
            <w:pPr>
              <w:pStyle w:val="TableContents"/>
              <w:bidi w:val="0"/>
              <w:spacing w:before="0" w:after="283"/>
              <w:jc w:val="center"/>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6/16/2023</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61" w:type="dxa"/>
            <w:tcBorders/>
            <w:vAlign w:val="center"/>
          </w:tcPr>
          <w:p>
            <w:pPr>
              <w:pStyle w:val="TableContents"/>
              <w:bidi w:val="0"/>
              <w:spacing w:before="0" w:after="283"/>
              <w:jc w:val="center"/>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1">
              <w:r>
                <w:rPr>
                  <w:rStyle w:val="InternetLink"/>
                  <w:rFonts w:ascii="Times New Roman" w:hAnsi="Times New Roman"/>
                  <w:color w:val="0000FF"/>
                  <w:sz w:val="19"/>
                  <w:u w:val="single"/>
                </w:rPr>
                <w:t>Amended and Restated Bylaws of the Registrant.</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w:t>
            </w:r>
          </w:p>
        </w:tc>
        <w:tc>
          <w:tcPr>
            <w:tcW w:w="146" w:type="dxa"/>
            <w:tcBorders/>
            <w:vAlign w:val="center"/>
          </w:tcPr>
          <w:p>
            <w:pPr>
              <w:pStyle w:val="TableContents"/>
              <w:bidi w:val="0"/>
              <w:spacing w:before="0" w:after="283"/>
              <w:jc w:val="center"/>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6/16/2023</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2">
              <w:r>
                <w:rPr>
                  <w:rStyle w:val="InternetLink"/>
                  <w:rFonts w:ascii="Times New Roman" w:hAnsi="Times New Roman"/>
                  <w:color w:val="0000FF"/>
                  <w:sz w:val="19"/>
                  <w:u w:val="single"/>
                </w:rPr>
                <w:t>Form of common stock certificate of the Registrant.</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4.2</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w:anchor="ck0001726445-ex4_2.htm">
              <w:r>
                <w:rPr>
                  <w:rStyle w:val="InternetLink"/>
                  <w:rFonts w:ascii="Times New Roman" w:hAnsi="Times New Roman"/>
                  <w:color w:val="0000FF"/>
                  <w:sz w:val="19"/>
                  <w:u w:val="single"/>
                </w:rPr>
                <w:t>Description of the Registrant’s securities registered pursuant to Section 12 of the Securities Exchange Act of 1934</w:t>
              </w:r>
            </w:hyperlink>
            <w:r>
              <w:rPr>
                <w:rFonts w:ascii="Times New Roman" w:hAnsi="Times New Roman"/>
                <w:color w:val="000000"/>
                <w:sz w:val="19"/>
              </w:rPr>
              <w:t>.</w:t>
            </w:r>
          </w:p>
        </w:tc>
        <w:tc>
          <w:tcPr>
            <w:tcW w:w="5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3">
              <w:r>
                <w:rPr>
                  <w:rStyle w:val="InternetLink"/>
                  <w:rFonts w:ascii="Times New Roman" w:hAnsi="Times New Roman"/>
                  <w:color w:val="0000FF"/>
                  <w:sz w:val="19"/>
                  <w:u w:val="single"/>
                </w:rPr>
                <w:t>Form of Indemnification Agreement between the Registrant and each of its directors and executive officers.</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10.2+</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4">
              <w:r>
                <w:rPr>
                  <w:rStyle w:val="InternetLink"/>
                  <w:rFonts w:ascii="Times New Roman" w:hAnsi="Times New Roman"/>
                  <w:color w:val="0000FF"/>
                  <w:sz w:val="19"/>
                  <w:u w:val="single"/>
                </w:rPr>
                <w:t>2020 Equity Incentive Plan and related form agreements.</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10.2</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10.3+</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5">
              <w:r>
                <w:rPr>
                  <w:rStyle w:val="InternetLink"/>
                  <w:rFonts w:ascii="Times New Roman" w:hAnsi="Times New Roman"/>
                  <w:color w:val="0000FF"/>
                  <w:sz w:val="19"/>
                  <w:u w:val="single"/>
                </w:rPr>
                <w:t>2017 Stock Incentive Plan and related form agreements.</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10.3</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6">
              <w:r>
                <w:rPr>
                  <w:rStyle w:val="InternetLink"/>
                  <w:rFonts w:ascii="Times New Roman" w:hAnsi="Times New Roman"/>
                  <w:color w:val="0000FF"/>
                  <w:sz w:val="19"/>
                  <w:u w:val="single"/>
                </w:rPr>
                <w:t>2020 RSU Equity Incentive Plan and related form agreements.</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10.5+</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7">
              <w:r>
                <w:rPr>
                  <w:rStyle w:val="InternetLink"/>
                  <w:rFonts w:ascii="Times New Roman" w:hAnsi="Times New Roman"/>
                  <w:color w:val="0000FF"/>
                  <w:sz w:val="19"/>
                  <w:u w:val="single"/>
                </w:rPr>
                <w:t>Amended and Restated 2020 Employee Stock Purchase Plan and related form agreements.</w:t>
              </w:r>
            </w:hyperlink>
            <w:hyperlink r:id="rId28">
              <w:r>
                <w:rPr>
                  <w:rStyle w:val="InternetLink"/>
                  <w:rFonts w:ascii="Times New Roman" w:hAnsi="Times New Roman"/>
                  <w:color w:val="0000FF"/>
                  <w:sz w:val="19"/>
                </w:rPr>
                <w:t xml:space="preserve"> </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S-8</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333-270351</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4.3</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3/8/2023</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1009"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10.6+</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hyperlink r:id="rId29">
              <w:r>
                <w:rPr>
                  <w:rStyle w:val="InternetLink"/>
                  <w:rFonts w:ascii="Times New Roman" w:hAnsi="Times New Roman"/>
                  <w:color w:val="0000FF"/>
                  <w:sz w:val="19"/>
                  <w:u w:val="single"/>
                </w:rPr>
                <w:t>Confirmatory Offer Letter between the Registrant and Dr. Omid Farokhzad, dated November 30, 2020.</w:t>
              </w:r>
            </w:hyperlink>
          </w:p>
        </w:tc>
        <w:tc>
          <w:tcPr>
            <w:tcW w:w="54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10.7</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43"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0"/>
        <w:gridCol w:w="146"/>
        <w:gridCol w:w="6378"/>
        <w:gridCol w:w="440"/>
        <w:gridCol w:w="146"/>
        <w:gridCol w:w="860"/>
        <w:gridCol w:w="146"/>
        <w:gridCol w:w="571"/>
        <w:gridCol w:w="146"/>
        <w:gridCol w:w="752"/>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10.7+</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0">
              <w:r>
                <w:rPr>
                  <w:rStyle w:val="InternetLink"/>
                  <w:rFonts w:ascii="Times New Roman" w:hAnsi="Times New Roman"/>
                  <w:color w:val="0000FF"/>
                  <w:sz w:val="19"/>
                  <w:u w:val="single"/>
                </w:rPr>
                <w:t>Confirmatory Offer Letter between the Registrant and David Horn, dated November 30, 2020.</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10.9</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10.8+</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1">
              <w:r>
                <w:rPr>
                  <w:rStyle w:val="InternetLink"/>
                  <w:rFonts w:ascii="Times New Roman" w:hAnsi="Times New Roman"/>
                  <w:color w:val="0000FF"/>
                  <w:sz w:val="19"/>
                  <w:u w:val="single"/>
                </w:rPr>
                <w:t>CEO Change in Control and Severance Agreement between the Registrant and Dr. Omid Farokhzad, dated November 30, 2020.</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10.10</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10.9+</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2">
              <w:r>
                <w:rPr>
                  <w:rStyle w:val="InternetLink"/>
                  <w:rFonts w:ascii="Times New Roman" w:hAnsi="Times New Roman"/>
                  <w:color w:val="0000FF"/>
                  <w:sz w:val="19"/>
                  <w:u w:val="single"/>
                </w:rPr>
                <w:t>Executive Incentive Compensation Plan</w:t>
              </w:r>
            </w:hyperlink>
            <w:r>
              <w:rPr>
                <w:rFonts w:ascii="Times New Roman" w:hAnsi="Times New Roman"/>
                <w:color w:val="000000"/>
                <w:sz w:val="19"/>
              </w:rPr>
              <w:t>.</w:t>
            </w:r>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10.11</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10.10#</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3">
              <w:r>
                <w:rPr>
                  <w:rStyle w:val="InternetLink"/>
                  <w:rFonts w:ascii="Times New Roman" w:hAnsi="Times New Roman"/>
                  <w:color w:val="0000FF"/>
                  <w:sz w:val="19"/>
                  <w:u w:val="single"/>
                </w:rPr>
                <w:t>Umbrella Development &amp; Supply Agreement between the Registrant and Hamilton Company, dated March 9, 2020.</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10.14</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4">
              <w:r>
                <w:rPr>
                  <w:rStyle w:val="InternetLink"/>
                  <w:rFonts w:ascii="Times New Roman" w:hAnsi="Times New Roman"/>
                  <w:color w:val="0000FF"/>
                  <w:sz w:val="19"/>
                  <w:u w:val="single"/>
                </w:rPr>
                <w:t>Exclusive Patent License Agreement between the Registrant and The Brigham and Women’s Hospital, Inc., dated December 18, 2017.</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10.15</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10.12+</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5">
              <w:r>
                <w:rPr>
                  <w:rStyle w:val="InternetLink"/>
                  <w:rFonts w:ascii="Times New Roman" w:hAnsi="Times New Roman"/>
                  <w:color w:val="0000FF"/>
                  <w:sz w:val="19"/>
                  <w:u w:val="single"/>
                </w:rPr>
                <w:t>Outside Director Compensation Policy (as amended on February 16, 2023).</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10-Q</w:t>
            </w:r>
          </w:p>
        </w:tc>
        <w:tc>
          <w:tcPr>
            <w:tcW w:w="146"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5/9/2023</w:t>
            </w:r>
          </w:p>
        </w:tc>
      </w:tr>
      <w:tr>
        <w:trPr/>
        <w:tc>
          <w:tcPr>
            <w:tcW w:w="6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10.13+</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6">
              <w:r>
                <w:rPr>
                  <w:rStyle w:val="InternetLink"/>
                  <w:rFonts w:ascii="Times New Roman" w:hAnsi="Times New Roman"/>
                  <w:color w:val="0000FF"/>
                  <w:sz w:val="19"/>
                  <w:u w:val="single"/>
                </w:rPr>
                <w:t>Key Executive Change in Control and Severance Plan, and form of Participation Agreement thereunder.</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10-Q</w:t>
            </w:r>
          </w:p>
        </w:tc>
        <w:tc>
          <w:tcPr>
            <w:tcW w:w="146"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11/7/2023</w:t>
            </w:r>
          </w:p>
        </w:tc>
      </w:tr>
      <w:tr>
        <w:trPr/>
        <w:tc>
          <w:tcPr>
            <w:tcW w:w="6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10.14+</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10_14.htm">
              <w:r>
                <w:rPr>
                  <w:rStyle w:val="InternetLink"/>
                  <w:rFonts w:ascii="Times New Roman" w:hAnsi="Times New Roman"/>
                  <w:color w:val="0000FF"/>
                  <w:sz w:val="20"/>
                  <w:u w:val="single"/>
                </w:rPr>
                <w:t>Offer Letter between the Registrant and Elona Kogan, dated November 4, 2020.</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19_1.htm">
              <w:r>
                <w:rPr>
                  <w:rStyle w:val="InternetLink"/>
                  <w:rFonts w:ascii="Times New Roman" w:hAnsi="Times New Roman"/>
                  <w:color w:val="0000FF"/>
                  <w:sz w:val="20"/>
                  <w:u w:val="single"/>
                </w:rPr>
                <w:t>Insider Trading Policy.</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r:id="rId37">
              <w:r>
                <w:rPr>
                  <w:rStyle w:val="InternetLink"/>
                  <w:rFonts w:ascii="Times New Roman" w:hAnsi="Times New Roman"/>
                  <w:color w:val="0000FF"/>
                  <w:sz w:val="19"/>
                  <w:u w:val="single"/>
                </w:rPr>
                <w:t>List of Subsidiaries of the Registrant.</w:t>
              </w:r>
            </w:hyperlink>
          </w:p>
        </w:tc>
        <w:tc>
          <w:tcPr>
            <w:tcW w:w="44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21.1</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3/6/2023</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23.1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23_1.htm">
              <w:r>
                <w:rPr>
                  <w:rStyle w:val="InternetLink"/>
                  <w:rFonts w:ascii="Times New Roman" w:hAnsi="Times New Roman"/>
                  <w:color w:val="0000FF"/>
                  <w:sz w:val="19"/>
                  <w:u w:val="single"/>
                </w:rPr>
                <w:t>Consent of Deloitte &amp; Touche LLP, independent registered public accounting firm.</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97.1</w:t>
            </w:r>
          </w:p>
        </w:tc>
        <w:tc>
          <w:tcPr>
            <w:tcW w:w="146" w:type="dxa"/>
            <w:tcBorders/>
            <w:vAlign w:val="center"/>
          </w:tcPr>
          <w:p>
            <w:pPr>
              <w:pStyle w:val="TableContents"/>
              <w:bidi w:val="0"/>
              <w:spacing w:before="0" w:after="283"/>
              <w:jc w:val="left"/>
              <w:rPr/>
            </w:pPr>
            <w:r>
              <w:rPr/>
              <w:t> </w:t>
            </w:r>
          </w:p>
        </w:tc>
        <w:tc>
          <w:tcPr>
            <w:tcW w:w="6378" w:type="dxa"/>
            <w:tcBorders/>
            <w:vAlign w:val="center"/>
          </w:tcPr>
          <w:p>
            <w:pPr>
              <w:pStyle w:val="TableContents"/>
              <w:bidi w:val="0"/>
              <w:spacing w:before="0" w:after="283"/>
              <w:jc w:val="left"/>
              <w:rPr/>
            </w:pPr>
            <w:hyperlink w:anchor="ck0001726445-ex97_1.htm">
              <w:r>
                <w:rPr>
                  <w:rStyle w:val="InternetLink"/>
                  <w:rFonts w:ascii="Times New Roman" w:hAnsi="Times New Roman"/>
                  <w:color w:val="0000FF"/>
                  <w:sz w:val="19"/>
                  <w:u w:val="single"/>
                </w:rPr>
                <w:t>Compensation Clawback Policy</w:t>
              </w:r>
            </w:hyperlink>
          </w:p>
        </w:tc>
        <w:tc>
          <w:tcPr>
            <w:tcW w:w="4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bl>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0"/>
        <w:gridCol w:w="146"/>
        <w:gridCol w:w="8311"/>
        <w:gridCol w:w="146"/>
        <w:gridCol w:w="146"/>
        <w:gridCol w:w="146"/>
        <w:gridCol w:w="146"/>
        <w:gridCol w:w="146"/>
        <w:gridCol w:w="146"/>
        <w:gridCol w:w="192"/>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vAlign w:val="center"/>
          </w:tcPr>
          <w:p>
            <w:pPr>
              <w:pStyle w:val="TableContents"/>
              <w:bidi w:val="0"/>
              <w:spacing w:before="0" w:after="283"/>
              <w:jc w:val="left"/>
              <w:rPr/>
            </w:pPr>
            <w:r>
              <w:rPr/>
              <w:t> </w:t>
            </w:r>
          </w:p>
        </w:tc>
        <w:tc>
          <w:tcPr>
            <w:tcW w:w="8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Confidential treatment has been requested for portions of this exhibit. These portions have been omitted and have been filed separately with the Securities and Exchange Commission.</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left"/>
        <w:rPr>
          <w:rFonts w:ascii="Times New Roman" w:hAnsi="Times New Roman"/>
          <w:b/>
          <w:color w:val="000000"/>
          <w:sz w:val="20"/>
        </w:rPr>
      </w:pPr>
      <w:bookmarkStart w:id="35" w:name="item_16_form"/>
      <w:bookmarkEnd w:id="35"/>
      <w:r>
        <w:rPr>
          <w:rFonts w:ascii="Times New Roman" w:hAnsi="Times New Roman"/>
          <w:b/>
          <w:color w:val="000000"/>
          <w:sz w:val="20"/>
        </w:rPr>
        <w:t>Item 16. Form 10-K Summary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March 4, 2024</w:t>
      </w:r>
    </w:p>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421"/>
        <w:gridCol w:w="2236"/>
      </w:tblGrid>
      <w:tr>
        <w:trPr/>
        <w:tc>
          <w:tcPr>
            <w:tcW w:w="4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65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421"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Omid Farokhzad, M.D.</w:t>
            </w:r>
          </w:p>
        </w:tc>
      </w:tr>
      <w:tr>
        <w:trPr/>
        <w:tc>
          <w:tcPr>
            <w:tcW w:w="421"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421"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451" w:type="dxa"/>
        <w:jc w:val="left"/>
        <w:tblInd w:w="0" w:type="dxa"/>
        <w:tblLayout w:type="fixed"/>
        <w:tblCellMar>
          <w:top w:w="28" w:type="dxa"/>
          <w:left w:w="28" w:type="dxa"/>
          <w:bottom w:w="28" w:type="dxa"/>
          <w:right w:w="28" w:type="dxa"/>
        </w:tblCellMar>
      </w:tblPr>
      <w:tblGrid>
        <w:gridCol w:w="2236"/>
        <w:gridCol w:w="146"/>
        <w:gridCol w:w="4441"/>
        <w:gridCol w:w="146"/>
        <w:gridCol w:w="1291"/>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Omid Farokhzad,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w:t>
            </w:r>
          </w:p>
          <w:p>
            <w:pPr>
              <w:pStyle w:val="TableContents"/>
              <w:bidi w:val="0"/>
              <w:jc w:val="center"/>
              <w:rPr>
                <w:rFonts w:ascii="Times New Roman" w:hAnsi="Times New Roman"/>
                <w:color w:val="000000"/>
                <w:sz w:val="20"/>
              </w:rPr>
            </w:pPr>
            <w:r>
              <w:rPr>
                <w:rFonts w:ascii="Times New Roman" w:hAnsi="Times New Roman"/>
                <w:color w:val="000000"/>
                <w:sz w:val="20"/>
              </w:rPr>
              <w:t>Chair of the Board of Directors</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Omid Farokhzad, M.D.</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R. Horn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 and President</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R. Horn</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Hallal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Hallal</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Meeta Gulyani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Meeta Gulyani</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Rachel Haurwitz,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Rachel Haurwitz, Ph.D.</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Langer, Sc.D.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Langer, Sc.D.</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Terrance McGuire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Terrance McGuire</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Deep Nishar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2024</w:t>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Deep Nishar</w:t>
            </w:r>
          </w:p>
        </w:tc>
        <w:tc>
          <w:tcPr>
            <w:tcW w:w="146" w:type="dxa"/>
            <w:tcBorders/>
            <w:vAlign w:val="center"/>
          </w:tcPr>
          <w:p>
            <w:pPr>
              <w:pStyle w:val="TableContents"/>
              <w:bidi w:val="0"/>
              <w:spacing w:before="0" w:after="283"/>
              <w:jc w:val="left"/>
              <w:rPr/>
            </w:pPr>
            <w:r>
              <w:rPr/>
              <w:t> </w:t>
            </w:r>
          </w:p>
        </w:tc>
        <w:tc>
          <w:tcPr>
            <w:tcW w:w="44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ck0001726445-ex4_2.htm"/>
      <w:bookmarkStart w:id="38" w:name="ksck0001726445ex4_2"/>
      <w:bookmarkEnd w:id="37"/>
      <w:bookmarkEnd w:id="38"/>
      <w:r>
        <w:rPr>
          <w:rFonts w:ascii="Times New Roman" w:hAnsi="Times New Roman"/>
          <w:b/>
          <w:color w:val="000000"/>
          <w:sz w:val="20"/>
        </w:rPr>
        <w:t>Exhibit 4.2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 SECURITIES</w:t>
      </w:r>
    </w:p>
    <w:p>
      <w:pPr>
        <w:pStyle w:val="TextBody"/>
        <w:bidi w:val="0"/>
        <w:jc w:val="center"/>
        <w:rPr>
          <w:rFonts w:ascii="Times New Roman" w:hAnsi="Times New Roman"/>
          <w:b/>
          <w:color w:val="000000"/>
          <w:sz w:val="20"/>
        </w:rPr>
      </w:pPr>
      <w:r>
        <w:rPr>
          <w:rFonts w:ascii="Times New Roman" w:hAnsi="Times New Roman"/>
          <w:b/>
          <w:color w:val="000000"/>
          <w:sz w:val="20"/>
        </w:rPr>
        <w:t>EXCHANGE ACT OF 1934</w:t>
      </w:r>
    </w:p>
    <w:p>
      <w:pPr>
        <w:pStyle w:val="TextBody"/>
        <w:bidi w:val="0"/>
        <w:jc w:val="both"/>
        <w:rPr>
          <w:rFonts w:ascii="Times New Roman" w:hAnsi="Times New Roman"/>
          <w:color w:val="000000"/>
          <w:sz w:val="20"/>
        </w:rPr>
      </w:pPr>
      <w:r>
        <w:rPr>
          <w:rFonts w:ascii="Times New Roman" w:hAnsi="Times New Roman"/>
          <w:color w:val="000000"/>
          <w:sz w:val="20"/>
        </w:rPr>
        <w:t>Seer, Inc. (the “Company”) has one class of securities registered under Section 12 of the Securities Exchange Act of 1934, as amended: our Class A common stock, par value $0.00001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used in this summary, the terms “Seer,” “the Company,” “we,” “our” and “us” refer to Seer, Inc.</w:t>
      </w:r>
    </w:p>
    <w:p>
      <w:pPr>
        <w:pStyle w:val="TextBody"/>
        <w:bidi w:val="0"/>
        <w:jc w:val="both"/>
        <w:rPr>
          <w:rFonts w:ascii="Times New Roman" w:hAnsi="Times New Roman"/>
          <w:color w:val="000000"/>
          <w:sz w:val="20"/>
        </w:rPr>
      </w:pPr>
      <w:r>
        <w:rPr>
          <w:rFonts w:ascii="Times New Roman" w:hAnsi="Times New Roman"/>
          <w:color w:val="000000"/>
          <w:sz w:val="20"/>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Copies of our amended and restated certificate of incorporation and our amended and restated bylaws, each of which may be amended from time to time, are included as exhibits to the Annual Report on Form 10-K to which this description is an Exhibit.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description summarizes certain important terms of our capital stock. Because it is only a summary, it does not contain all the information that may be important to you. For a complete description of the matters set forth herein, you should refer to our amended and restated certificate of incorporation and amended and restated bylaws, which are included as exhibits to the Annual Report on Form 10-K to which this description is an Exhibit, and to the applicable provisions of Delaware law. Our authorized capital stock consists of 105,000,000 shares of capital stock, $0.00001 par value per share, of which: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94,000,000 shares are designated as Class A common stock;</w:t>
      </w:r>
    </w:p>
    <w:p>
      <w:pPr>
        <w:pStyle w:val="TextBody"/>
        <w:bidi w:val="0"/>
        <w:jc w:val="left"/>
        <w:rPr>
          <w:rFonts w:ascii="Times New Roman" w:hAnsi="Times New Roman"/>
          <w:color w:val="000000"/>
          <w:sz w:val="20"/>
        </w:rPr>
      </w:pPr>
      <w:r>
        <w:rPr>
          <w:rFonts w:ascii="Times New Roman" w:hAnsi="Times New Roman"/>
          <w:color w:val="000000"/>
          <w:sz w:val="20"/>
        </w:rPr>
        <w:t>b. 6,000,000 shares are designated as Class B common stock; and</w:t>
      </w:r>
    </w:p>
    <w:p>
      <w:pPr>
        <w:pStyle w:val="TextBody"/>
        <w:bidi w:val="0"/>
        <w:jc w:val="left"/>
        <w:rPr>
          <w:rFonts w:ascii="Times New Roman" w:hAnsi="Times New Roman"/>
          <w:color w:val="000000"/>
          <w:sz w:val="20"/>
        </w:rPr>
      </w:pPr>
      <w:r>
        <w:rPr>
          <w:rFonts w:ascii="Times New Roman" w:hAnsi="Times New Roman"/>
          <w:color w:val="000000"/>
          <w:sz w:val="20"/>
        </w:rPr>
        <w:t>c. 5,000,000 shares are designated as 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our amended and restated certificate of incorporation, our board of directors has the authority, without stockholder approval except as required by the listing standards of Nasdaq, to issue additional shares of our Class A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two classes of authorized common stock, Class A common stock and Class B common stock. The rights of the holders of Class A common stock and Class B common stock are identical, except with respect to voting and conversion.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Voting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Holders of Class A common stock are entitled to one vote for each share held on all matters submitted to a vote of stockholders and holders of our Class B common stock are entitled to ten votes for each share held, except as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otherwise required by law. The holders of our Class A common stock and Class B common stock vote together as a single class, unless otherwise required by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Delaware law could require either holders of our Class A common stock and our Class B common stock to vote separately as a single class in the following circumstances: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if we were to seek to amend our amended and restated certificate of incorporation to increase or decrease the par value of a class of stock, then that class would be required to vote separately to approve the proposed amendment; and</w:t>
      </w:r>
    </w:p>
    <w:p>
      <w:pPr>
        <w:pStyle w:val="TextBody"/>
        <w:bidi w:val="0"/>
        <w:jc w:val="left"/>
        <w:rPr>
          <w:rFonts w:ascii="Times New Roman" w:hAnsi="Times New Roman"/>
          <w:color w:val="000000"/>
          <w:sz w:val="20"/>
        </w:rPr>
      </w:pPr>
      <w:r>
        <w:rPr>
          <w:rFonts w:ascii="Times New Roman" w:hAnsi="Times New Roman"/>
          <w:color w:val="000000"/>
          <w:sz w:val="20"/>
        </w:rPr>
        <w:t>b. 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Stockholders do not have the ability to cumulate votes for the election of directors. Our amended and restated certificate of incorporation and amended and restated bylaws provide that, beginning with the 2023 annual meeting of stockholders, directors shall be elected for a full term of one year to succeed the directors of the class whose terms expire at such annual meeting. Following the 2025 annual meeting of stockholders, our board of directors shall no longer be classified and divided into classes, and all directors will be elected for a term expiring at the following annual meeting of stockholders or, if earlier, their death or resignation.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common stock is not entitled to preemptive rights, and is not subject to conversion, redemption or sinking fund provisions.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Right to Receive Liquidation Distributions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Conversion of Class B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Anti-Takeover Provisions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Delaware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transaction was approved by the board of directors prior to the time that the stockholder became an interested stockholder;</w:t>
      </w:r>
    </w:p>
    <w:p>
      <w:pPr>
        <w:pStyle w:val="TextBody"/>
        <w:bidi w:val="0"/>
        <w:jc w:val="left"/>
        <w:rPr>
          <w:rFonts w:ascii="Times New Roman" w:hAnsi="Times New Roman"/>
          <w:color w:val="000000"/>
          <w:sz w:val="20"/>
        </w:rPr>
      </w:pPr>
      <w:r>
        <w:rPr>
          <w:rFonts w:ascii="Times New Roman" w:hAnsi="Times New Roman"/>
          <w:color w:val="000000"/>
          <w:sz w:val="20"/>
        </w:rPr>
        <w:t>b. 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pStyle w:val="TextBody"/>
        <w:bidi w:val="0"/>
        <w:jc w:val="left"/>
        <w:rPr>
          <w:rFonts w:ascii="Times New Roman" w:hAnsi="Times New Roman"/>
          <w:color w:val="000000"/>
          <w:sz w:val="20"/>
        </w:rPr>
      </w:pPr>
      <w:r>
        <w:rPr>
          <w:rFonts w:ascii="Times New Roman" w:hAnsi="Times New Roman"/>
          <w:color w:val="000000"/>
          <w:sz w:val="20"/>
        </w:rPr>
        <w:t>c. 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Amended and Restated Certificate of Incorporation and Amended and Restated Bylaw Provisions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Board of Directors Vacancies. </w:t>
      </w:r>
      <w:r>
        <w:rPr>
          <w:rFonts w:ascii="Times New Roman" w:hAnsi="Times New Roman"/>
          <w:color w:val="000000"/>
          <w:sz w:val="20"/>
        </w:rPr>
        <w:t>Our amended and restated certificate of incorporation and amended and restated bylaws authorize only our board of 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000000"/>
          <w:sz w:val="20"/>
        </w:rPr>
        <w:t xml:space="preserve">Classified Board. </w:t>
      </w:r>
      <w:r>
        <w:rPr>
          <w:rFonts w:ascii="Times New Roman" w:hAnsi="Times New Roman"/>
          <w:color w:val="000000"/>
          <w:sz w:val="20"/>
        </w:rPr>
        <w:t>Our amended and restated certificate of incorporation and amended and restated bylaws have historically provided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Our current amended and restated certificate of incorporation and amended and restated bylaws provide that, beginning with the 2023 annual meeting of stockholders, directors shall be elected for a full term of one year to succeed the directors of the class whose terms expire at such annual meeting. Following the 2025 annual meeting of stockholders, our board of directors shall no longer be classified and divided into classes, and all directors will be elected for a term expiring at the following annual meeting of stockholders or, if earlier, their death or resignation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Stockholder Action; Special Meeting of Stockholders. </w:t>
      </w:r>
      <w:r>
        <w:rPr>
          <w:rFonts w:ascii="Times New Roman" w:hAnsi="Times New Roman"/>
          <w:color w:val="000000"/>
          <w:sz w:val="20"/>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Advance Notice Requirements for Stockholder Proposals and Director Nominations. </w:t>
      </w:r>
      <w:r>
        <w:rPr>
          <w:rFonts w:ascii="Times New Roman" w:hAnsi="Times New Roman"/>
          <w:color w:val="000000"/>
          <w:sz w:val="20"/>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No Cumulative Voting. </w:t>
      </w:r>
      <w:r>
        <w:rPr>
          <w:rFonts w:ascii="Times New Roman" w:hAnsi="Times New Roman"/>
          <w:color w:val="000000"/>
          <w:sz w:val="20"/>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Directors Removed Only for Cause. </w:t>
      </w:r>
      <w:r>
        <w:rPr>
          <w:rFonts w:ascii="Times New Roman" w:hAnsi="Times New Roman"/>
          <w:color w:val="000000"/>
          <w:sz w:val="20"/>
        </w:rPr>
        <w:t>Our amended and restated certificate of incorporation provide that stockholders may remove directors only for cause.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Amendment of Charter Provisions. </w:t>
      </w:r>
      <w:r>
        <w:rPr>
          <w:rFonts w:ascii="Times New Roman" w:hAnsi="Times New Roman"/>
          <w:color w:val="000000"/>
          <w:sz w:val="20"/>
        </w:rPr>
        <w:t>Any amendment of the above provisions in our amended and restated certificate of incorporation would require approval by holders of at least a two thirds majority of our then outstanding capital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Issuance of Undesignated Preferred Stock. </w:t>
      </w:r>
      <w:r>
        <w:rPr>
          <w:rFonts w:ascii="Times New Roman" w:hAnsi="Times New Roman"/>
          <w:color w:val="000000"/>
          <w:sz w:val="20"/>
        </w:rPr>
        <w:t>Our board of directors has the authority, without further action by our stockholders, to issue up to 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Exclusive Forum. </w:t>
      </w:r>
      <w:r>
        <w:rPr>
          <w:rFonts w:ascii="Times New Roman" w:hAnsi="Times New Roman"/>
          <w:color w:val="000000"/>
          <w:sz w:val="20"/>
        </w:rPr>
        <w:t xml:space="preserve">Our amended and restated bylaws provide that, unless we consent to the selection of an alternative forum, the Court of Chancery of the State of Delaware (or, if the Court of Chancery does not have jurisdiction, another State court in Delaware or the federal district court for the District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 our amended and restated bylaws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transfer agent and registrar for our Class A common stock is Computershare Trust Company, N.A. The transfer agent and registrar’s address is 250 Royal Street, Canton, Massachusetts 02021.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Limitations of Liability and Indemnification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any breach of their duty of loyalty to our company or our stockholders;</w:t>
      </w:r>
    </w:p>
    <w:p>
      <w:pPr>
        <w:pStyle w:val="TextBody"/>
        <w:bidi w:val="0"/>
        <w:jc w:val="left"/>
        <w:rPr>
          <w:rFonts w:ascii="Times New Roman" w:hAnsi="Times New Roman"/>
          <w:color w:val="000000"/>
          <w:sz w:val="20"/>
        </w:rPr>
      </w:pPr>
      <w:r>
        <w:rPr>
          <w:rFonts w:ascii="Times New Roman" w:hAnsi="Times New Roman"/>
          <w:color w:val="000000"/>
          <w:sz w:val="20"/>
        </w:rPr>
        <w:t>b. any act or omission not in good faith or that involves intentional misconduct or a knowing violation of law;</w:t>
      </w:r>
    </w:p>
    <w:p>
      <w:pPr>
        <w:pStyle w:val="TextBody"/>
        <w:bidi w:val="0"/>
        <w:jc w:val="left"/>
        <w:rPr>
          <w:rFonts w:ascii="Times New Roman" w:hAnsi="Times New Roman"/>
          <w:color w:val="000000"/>
          <w:sz w:val="20"/>
        </w:rPr>
      </w:pPr>
      <w:r>
        <w:rPr>
          <w:rFonts w:ascii="Times New Roman" w:hAnsi="Times New Roman"/>
          <w:color w:val="000000"/>
          <w:sz w:val="20"/>
        </w:rPr>
        <w:t>c. unlawful payments of dividends or unlawful stock repurchases or redemptions as provided in Section 174 of the Delaware General Corporation Law; or</w:t>
      </w:r>
    </w:p>
    <w:p>
      <w:pPr>
        <w:pStyle w:val="TextBody"/>
        <w:bidi w:val="0"/>
        <w:jc w:val="left"/>
        <w:rPr>
          <w:rFonts w:ascii="Times New Roman" w:hAnsi="Times New Roman"/>
          <w:color w:val="000000"/>
          <w:sz w:val="20"/>
        </w:rPr>
      </w:pPr>
      <w:r>
        <w:rPr>
          <w:rFonts w:ascii="Times New Roman" w:hAnsi="Times New Roman"/>
          <w:color w:val="000000"/>
          <w:sz w:val="20"/>
        </w:rPr>
        <w:t>d. any transaction from which they derived an improper personal benefit.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underwriting agreement will provide for indemnification by the underwriters of us and our officers and directors for certain liabilities arising under the Securities Act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Listing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Class A common stock is listed on the Nasdaq Global Select Market under the symbol “SEER.”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ck0001726445-ex10_14.htm"/>
      <w:bookmarkStart w:id="40" w:name="ksck0001726445ex10_14"/>
      <w:bookmarkEnd w:id="39"/>
      <w:bookmarkEnd w:id="40"/>
      <w:r>
        <w:rPr>
          <w:rFonts w:ascii="Times New Roman" w:hAnsi="Times New Roman"/>
          <w:b/>
          <w:color w:val="000000"/>
          <w:sz w:val="20"/>
        </w:rPr>
        <w:t>Exhibit 10.14</w:t>
      </w:r>
      <w:r>
        <w:br w:type="page"/>
      </w:r>
    </w:p>
    <w:p>
      <w:pPr>
        <w:pStyle w:val="TextBody"/>
        <w:bidi w:val="0"/>
        <w:spacing w:before="0" w:after="280"/>
        <w:jc w:val="left"/>
        <w:rPr/>
      </w:pPr>
      <w:r>
        <w:rPr/>
        <w:t> </w:t>
      </w:r>
    </w:p>
    <w:p>
      <w:pPr>
        <w:pStyle w:val="TextBody"/>
        <w:bidi w:val="0"/>
        <w:jc w:val="both"/>
        <w:rPr>
          <w:rFonts w:ascii="Times New Roman" w:hAnsi="Times New Roman"/>
          <w:sz w:val="20"/>
        </w:rPr>
      </w:pPr>
      <w:r>
        <w:rPr>
          <w:rFonts w:ascii="Times New Roman" w:hAnsi="Times New Roman"/>
          <w:color w:val="000000"/>
          <w:sz w:val="24"/>
        </w:rPr>
        <w:t>November 4, 2020</w:t>
      </w:r>
      <w:r>
        <w:rPr>
          <w:rFonts w:ascii="Times New Roman" w:hAnsi="Times New Roman"/>
          <w:color w:val="000000"/>
          <w:sz w:val="20"/>
        </w:rPr>
        <w:t xml:space="preserve"> </w:t>
      </w:r>
    </w:p>
    <w:p>
      <w:pPr>
        <w:pStyle w:val="TextBody"/>
        <w:bidi w:val="0"/>
        <w:jc w:val="both"/>
        <w:rPr/>
      </w:pPr>
      <w:r>
        <w:rPr/>
        <w:t> </w:t>
      </w:r>
    </w:p>
    <w:p>
      <w:pPr>
        <w:pStyle w:val="TextBody"/>
        <w:bidi w:val="0"/>
        <w:spacing w:before="0" w:after="720"/>
        <w:jc w:val="both"/>
        <w:rPr>
          <w:rFonts w:ascii="Times New Roman" w:hAnsi="Times New Roman"/>
          <w:sz w:val="20"/>
        </w:rPr>
      </w:pPr>
      <w:r>
        <w:rPr>
          <w:rFonts w:ascii="Times New Roman" w:hAnsi="Times New Roman"/>
          <w:color w:val="000000"/>
          <w:sz w:val="24"/>
        </w:rPr>
        <w:t>Elona Kogan</w:t>
      </w:r>
      <w:r>
        <w:rPr>
          <w:rFonts w:ascii="Times New Roman" w:hAnsi="Times New Roman"/>
          <w:color w:val="000000"/>
          <w:sz w:val="20"/>
        </w:rPr>
        <w:t xml:space="preserve"> </w:t>
      </w:r>
    </w:p>
    <w:p>
      <w:pPr>
        <w:pStyle w:val="TextBody"/>
        <w:bidi w:val="0"/>
        <w:spacing w:before="0" w:after="221"/>
        <w:jc w:val="left"/>
        <w:rPr>
          <w:rFonts w:ascii="Times New Roman" w:hAnsi="Times New Roman"/>
          <w:sz w:val="20"/>
        </w:rPr>
      </w:pPr>
      <w:r>
        <w:rPr>
          <w:rFonts w:ascii="Times New Roman" w:hAnsi="Times New Roman"/>
          <w:b/>
          <w:color w:val="000000"/>
          <w:sz w:val="24"/>
        </w:rPr>
        <w:t>Re: Offer of Employment</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Times New Roman" w:hAnsi="Times New Roman"/>
          <w:color w:val="000000"/>
          <w:sz w:val="24"/>
        </w:rPr>
        <w:t>Dear Elona:</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Times New Roman" w:hAnsi="Times New Roman"/>
          <w:color w:val="000000"/>
          <w:sz w:val="24"/>
        </w:rPr>
        <w:t>I am pleased to offer you a position with Seer,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in accordance with the terms of this employment letter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32"/>
        <w:jc w:val="both"/>
        <w:rPr/>
      </w:pPr>
      <w:r>
        <w:rPr>
          <w:rFonts w:ascii="Times New Roman" w:hAnsi="Times New Roman"/>
          <w:b/>
          <w:color w:val="000000"/>
          <w:sz w:val="24"/>
        </w:rPr>
        <w:t>Title; Position; Location</w:t>
      </w:r>
      <w:r>
        <w:rPr>
          <w:rFonts w:ascii="Times New Roman" w:hAnsi="Times New Roman"/>
          <w:color w:val="000000"/>
          <w:sz w:val="24"/>
        </w:rPr>
        <w:t>. You will serve as the Company’s General Counsel and Corporate Secretary. You will report to the Company’s Chief Executive Officer (the “</w:t>
      </w:r>
      <w:r>
        <w:rPr>
          <w:rFonts w:ascii="Times New Roman" w:hAnsi="Times New Roman"/>
          <w:b/>
          <w:color w:val="000000"/>
          <w:sz w:val="24"/>
        </w:rPr>
        <w:t>CEO</w:t>
      </w:r>
      <w:r>
        <w:rPr>
          <w:color w:val="000000"/>
        </w:rPr>
        <w:t>”</w:t>
      </w:r>
      <w:r>
        <w:rPr>
          <w:rFonts w:ascii="Times New Roman" w:hAnsi="Times New Roman"/>
          <w:color w:val="000000"/>
          <w:sz w:val="24"/>
        </w:rPr>
        <w:t xml:space="preserve">) and will perform the duties and responsibilities customary for such position and such other related duties as are reasonably assigned by the CEO or such officer designated by the CEO. You will perform your duties from the Company’s corporate offices located in Redwood City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32"/>
        <w:jc w:val="both"/>
        <w:rPr/>
      </w:pPr>
      <w:r>
        <w:rPr>
          <w:rFonts w:ascii="Times New Roman" w:hAnsi="Times New Roman"/>
          <w:b/>
          <w:color w:val="000000"/>
          <w:sz w:val="24"/>
        </w:rPr>
        <w:t>Base Salary</w:t>
      </w:r>
      <w:r>
        <w:rPr>
          <w:rFonts w:ascii="Times New Roman" w:hAnsi="Times New Roman"/>
          <w:color w:val="000000"/>
          <w:sz w:val="24"/>
        </w:rPr>
        <w:t>. Your initial annual base salary will be $54,080, increased to $335,000 as of January 1, 2021 (except as provided by the following sentence), which will be payable, less any applicable withholdings, in accordance with the Company’s normal payroll practices. Upon the later of January 1, 2021 and the effectiveness of the Company’s initial public offering, your annual base salary immediately will increase to $375,000. Your annual base salary will be subject to review and adjustment from time to time by our Board of Directors (our “</w:t>
      </w:r>
      <w:r>
        <w:rPr>
          <w:rFonts w:ascii="Times New Roman" w:hAnsi="Times New Roman"/>
          <w:b/>
          <w:color w:val="000000"/>
          <w:sz w:val="24"/>
        </w:rPr>
        <w:t>Board</w:t>
      </w:r>
      <w:r>
        <w:rPr>
          <w:color w:val="000000"/>
        </w:rPr>
        <w:t>”</w:t>
      </w:r>
      <w:r>
        <w:rPr>
          <w:rFonts w:ascii="Times New Roman" w:hAnsi="Times New Roman"/>
          <w:color w:val="000000"/>
          <w:sz w:val="24"/>
        </w:rPr>
        <w:t>) or its Compensation Committee (the “</w:t>
      </w:r>
      <w:r>
        <w:rPr>
          <w:rFonts w:ascii="Times New Roman" w:hAnsi="Times New Roman"/>
          <w:b/>
          <w:color w:val="000000"/>
          <w:sz w:val="24"/>
        </w:rPr>
        <w:t>Committee</w:t>
      </w:r>
      <w:r>
        <w:rPr>
          <w:color w:val="000000"/>
        </w:rPr>
        <w:t>”</w:t>
      </w:r>
      <w:r>
        <w:rPr>
          <w:rFonts w:ascii="Times New Roman" w:hAnsi="Times New Roman"/>
          <w:color w:val="000000"/>
          <w:sz w:val="24"/>
        </w:rPr>
        <w:t xml:space="preserve">), as applicable, in its sole discretion.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32"/>
        <w:jc w:val="both"/>
        <w:rPr/>
      </w:pPr>
      <w:r>
        <w:rPr>
          <w:rFonts w:ascii="Times New Roman" w:hAnsi="Times New Roman"/>
          <w:b/>
          <w:color w:val="000000"/>
          <w:sz w:val="24"/>
        </w:rPr>
        <w:t>Annual Bonus</w:t>
      </w:r>
      <w:r>
        <w:rPr>
          <w:rFonts w:ascii="Times New Roman" w:hAnsi="Times New Roman"/>
          <w:color w:val="000000"/>
          <w:sz w:val="24"/>
        </w:rPr>
        <w:t xml:space="preserve">. For the 2021 calendar year, until the effectiveness of the Company’s initial public offering, you will be eligible for a target annual cash bonus opportunity equal to thirty-five percent (35%) of your annual base salary. Upon the effectiveness of the Company’s initial public offering, your target annual cash bonus opportunity for the 2021 calendar year will immediately be increased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w:t>
      </w:r>
    </w:p>
    <w:p>
      <w:pPr>
        <w:pStyle w:val="TextBody"/>
        <w:bidi w:val="0"/>
        <w:spacing w:before="0" w:after="232"/>
        <w:jc w:val="both"/>
        <w:rPr/>
      </w:pPr>
      <w:r>
        <w:rPr/>
        <w:t> </w:t>
      </w:r>
    </w:p>
    <w:p>
      <w:pPr>
        <w:pStyle w:val="TextBody"/>
        <w:bidi w:val="0"/>
        <w:spacing w:before="0" w:after="221"/>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21"/>
        <w:jc w:val="both"/>
        <w:rPr/>
      </w:pPr>
      <w:r>
        <w:rPr>
          <w:rFonts w:ascii="Times New Roman" w:hAnsi="Times New Roman"/>
          <w:b/>
          <w:color w:val="000000"/>
          <w:sz w:val="24"/>
        </w:rPr>
        <w:t>Equity Awards</w:t>
      </w:r>
      <w:r>
        <w:rPr>
          <w:rFonts w:ascii="Times New Roman" w:hAnsi="Times New Roman"/>
          <w:color w:val="000000"/>
          <w:sz w:val="24"/>
        </w:rPr>
        <w:t xml:space="preserve">. </w:t>
      </w:r>
    </w:p>
    <w:p>
      <w:pPr>
        <w:pStyle w:val="TextBody"/>
        <w:bidi w:val="0"/>
        <w:spacing w:before="0" w:after="232"/>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Stock Options</w:t>
      </w:r>
      <w:r>
        <w:rPr>
          <w:rFonts w:ascii="Times New Roman" w:hAnsi="Times New Roman"/>
          <w:color w:val="000000"/>
          <w:sz w:val="24"/>
        </w:rPr>
        <w:t>. It will be recommended that, subject to the approval of the Board, in its sole discretion, the Company grant you an award of stock options (the “</w:t>
      </w:r>
      <w:r>
        <w:rPr>
          <w:rFonts w:ascii="Times New Roman" w:hAnsi="Times New Roman"/>
          <w:b/>
          <w:color w:val="000000"/>
          <w:sz w:val="24"/>
        </w:rPr>
        <w:t>Initial Option</w:t>
      </w:r>
      <w:r>
        <w:rPr>
          <w:rFonts w:ascii="Times New Roman" w:hAnsi="Times New Roman"/>
          <w:color w:val="000000"/>
          <w:sz w:val="20"/>
        </w:rPr>
        <w:t>”</w:t>
      </w:r>
      <w:r>
        <w:rPr>
          <w:rFonts w:ascii="Times New Roman" w:hAnsi="Times New Roman"/>
          <w:color w:val="000000"/>
          <w:sz w:val="24"/>
        </w:rPr>
        <w:t>) to purchase 800,000 shares of the Company’s Class A common stock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under the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32"/>
        <w:jc w:val="both"/>
        <w:rPr>
          <w:rFonts w:ascii="Times New Roman" w:hAnsi="Times New Roman"/>
          <w:sz w:val="20"/>
        </w:rPr>
      </w:pPr>
      <w:r>
        <w:rPr>
          <w:rFonts w:ascii="Times New Roman" w:hAnsi="Times New Roman"/>
          <w:color w:val="000000"/>
          <w:sz w:val="24"/>
        </w:rPr>
        <w:t>Company’s 2017 Stock Incentive Plan (or any successor plan, as applicable) and applicable option agreement thereunder, with an exercise price per Share equal to the fair market value per Share on the Initial Option’s date of grant, as determined by the Board. The Company will recommend that the Initial Option be scheduled to vest and become exercisable as to one-fourth (1/4</w:t>
      </w:r>
      <w:r>
        <w:rPr>
          <w:rFonts w:ascii="Times New Roman" w:hAnsi="Times New Roman"/>
          <w:color w:val="000000"/>
          <w:sz w:val="16"/>
        </w:rPr>
        <w:t>th</w:t>
      </w:r>
      <w:r>
        <w:rPr>
          <w:rFonts w:ascii="Times New Roman" w:hAnsi="Times New Roman"/>
          <w:color w:val="000000"/>
          <w:sz w:val="24"/>
        </w:rPr>
        <w:t>) of the Shares subject to the Initial Option on the one-year anniversary of the Vesting Commencement Date (as defined further below), and as to one forty-eighth (1/48</w:t>
      </w:r>
      <w:r>
        <w:rPr>
          <w:rFonts w:ascii="Times New Roman" w:hAnsi="Times New Roman"/>
          <w:color w:val="000000"/>
          <w:sz w:val="16"/>
        </w:rPr>
        <w:t>th</w:t>
      </w:r>
      <w:r>
        <w:rPr>
          <w:rFonts w:ascii="Times New Roman" w:hAnsi="Times New Roman"/>
          <w:color w:val="000000"/>
          <w:sz w:val="24"/>
        </w:rPr>
        <w:t>) of the Shares subject to the Initial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 “</w:t>
      </w:r>
      <w:r>
        <w:rPr>
          <w:rFonts w:ascii="Times New Roman" w:hAnsi="Times New Roman"/>
          <w:b/>
          <w:color w:val="000000"/>
          <w:sz w:val="24"/>
        </w:rPr>
        <w:t>Vesting Commencement Date</w:t>
      </w:r>
      <w:r>
        <w:rPr>
          <w:rFonts w:ascii="Times New Roman" w:hAnsi="Times New Roman"/>
          <w:color w:val="000000"/>
          <w:sz w:val="20"/>
        </w:rPr>
        <w:t xml:space="preserve">” </w:t>
      </w:r>
      <w:r>
        <w:rPr>
          <w:rFonts w:ascii="Times New Roman" w:hAnsi="Times New Roman"/>
          <w:color w:val="000000"/>
          <w:sz w:val="24"/>
        </w:rPr>
        <w:t>means, with respect to your Initial Option, January 1, 2021.</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b/>
          <w:color w:val="000000"/>
          <w:sz w:val="24"/>
        </w:rPr>
        <w:t>Restricted Stock Units</w:t>
      </w:r>
      <w:r>
        <w:rPr>
          <w:rFonts w:ascii="Times New Roman" w:hAnsi="Times New Roman"/>
          <w:color w:val="000000"/>
          <w:sz w:val="24"/>
        </w:rPr>
        <w:t xml:space="preserve">. It will be recommended that, subject to the approval of the </w:t>
      </w:r>
    </w:p>
    <w:p>
      <w:pPr>
        <w:pStyle w:val="TextBody"/>
        <w:bidi w:val="0"/>
        <w:spacing w:before="0" w:after="12"/>
        <w:jc w:val="both"/>
        <w:rPr>
          <w:rFonts w:ascii="Times New Roman" w:hAnsi="Times New Roman"/>
          <w:sz w:val="20"/>
        </w:rPr>
      </w:pPr>
      <w:r>
        <w:rPr>
          <w:rFonts w:ascii="Times New Roman" w:hAnsi="Times New Roman"/>
          <w:color w:val="000000"/>
          <w:sz w:val="24"/>
        </w:rPr>
        <w:t>Board, in its sole discretion, the Company grant you 100,000 restricted stock units covering the</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Times New Roman" w:hAnsi="Times New Roman"/>
          <w:color w:val="000000"/>
          <w:sz w:val="24"/>
        </w:rPr>
        <w:t>Company’s Class A common stock (the “</w:t>
      </w:r>
      <w:r>
        <w:rPr>
          <w:rFonts w:ascii="Times New Roman" w:hAnsi="Times New Roman"/>
          <w:b/>
          <w:color w:val="000000"/>
          <w:sz w:val="24"/>
        </w:rPr>
        <w:t>Initial RSUs</w:t>
      </w:r>
      <w:r>
        <w:rPr>
          <w:rFonts w:ascii="Times New Roman" w:hAnsi="Times New Roman"/>
          <w:color w:val="000000"/>
          <w:sz w:val="20"/>
        </w:rPr>
        <w:t>”</w:t>
      </w:r>
      <w:r>
        <w:rPr>
          <w:rFonts w:ascii="Times New Roman" w:hAnsi="Times New Roman"/>
          <w:color w:val="000000"/>
          <w:sz w:val="24"/>
        </w:rPr>
        <w:t>). The Company will recommend that the Initial RSUs vest as to fifty percent (50%) of the total restricted stock units subject to the grant on the eighteen (18)-month anniversary of a Qualifying IPO, and as to the remaining 50% on the three (3)-year anniversary of a Qualifying IPO, subject to both (1) your continued service with the Company through each vesting date, and (2) your completion of the Relocation (as defined below) by September 1, 2021. If the Relocation is not completed by September 1, 2021, the Initial RSUs will be immediately forfeited. The Initial RSUs will be granted under the 2020 RSU Equity Incentive Plan (or any successor plan, as applicable) and a restricted stock unit agreement thereunder. For purposes of this Agreement, a “</w:t>
      </w:r>
      <w:r>
        <w:rPr>
          <w:rFonts w:ascii="Times New Roman" w:hAnsi="Times New Roman"/>
          <w:b/>
          <w:color w:val="000000"/>
          <w:sz w:val="24"/>
          <w:u w:val="single"/>
        </w:rPr>
        <w:t>Qualifying IPO</w:t>
      </w:r>
      <w:r>
        <w:rPr>
          <w:rFonts w:ascii="Times New Roman" w:hAnsi="Times New Roman"/>
          <w:color w:val="000000"/>
          <w:sz w:val="20"/>
        </w:rPr>
        <w:t xml:space="preserve">” </w:t>
      </w:r>
      <w:r>
        <w:rPr>
          <w:rFonts w:ascii="Times New Roman" w:hAnsi="Times New Roman"/>
          <w:color w:val="000000"/>
          <w:sz w:val="24"/>
        </w:rPr>
        <w:t>means either (i) the first underwritten public offering of the Company’s Class A Common Stock, or (ii) the listing and public trading of the Company’s Class A Common Shares on the New York Stock Exchange, the Nasdaq Stock Market or similar national exchange outside of the United States, in either case occurring within nine (9) years following the date of grant of the Initial RSUs.</w:t>
      </w:r>
      <w:r>
        <w:rPr>
          <w:rFonts w:ascii="Times New Roman" w:hAnsi="Times New Roman"/>
          <w:color w:val="000000"/>
          <w:sz w:val="20"/>
        </w:rPr>
        <w:t xml:space="preserve">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32"/>
        <w:jc w:val="both"/>
        <w:rPr/>
      </w:pPr>
      <w:r>
        <w:rPr>
          <w:rFonts w:ascii="Times New Roman" w:hAnsi="Times New Roman"/>
          <w:b/>
          <w:color w:val="000000"/>
          <w:sz w:val="24"/>
        </w:rPr>
        <w:t>Relocation and Relocation Retention Bonus</w:t>
      </w:r>
      <w:r>
        <w:rPr>
          <w:rFonts w:ascii="Times New Roman" w:hAnsi="Times New Roman"/>
          <w:color w:val="000000"/>
          <w:sz w:val="24"/>
        </w:rPr>
        <w:t>. You are required to relocate your primary residence to Redwood City or the surrounding Bay Area (the “</w:t>
      </w:r>
      <w:r>
        <w:rPr>
          <w:rFonts w:ascii="Times New Roman" w:hAnsi="Times New Roman"/>
          <w:b/>
          <w:color w:val="000000"/>
          <w:sz w:val="24"/>
        </w:rPr>
        <w:t>Relocation</w:t>
      </w:r>
      <w:r>
        <w:rPr>
          <w:color w:val="000000"/>
        </w:rPr>
        <w:t>”</w:t>
      </w:r>
      <w:r>
        <w:rPr>
          <w:rFonts w:ascii="Times New Roman" w:hAnsi="Times New Roman"/>
          <w:color w:val="000000"/>
          <w:sz w:val="24"/>
        </w:rPr>
        <w:t xml:space="preserve">) by no later than September 1, 2021. If you fail to complete the Relocation so by such deadline, you agree that you will have materially breached the terms of this Agreement. Upon completion of your Relocation by September 1, 2021, you will be paid a relocation retention bonus of $100,000. This bonus will be paid to you in a lump sum, less applicable withholdings, within thirty (30) days following the completion of the Relocation, subject to your continued employment through the date that the bonus is paid to you.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32"/>
        <w:jc w:val="both"/>
        <w:rPr/>
      </w:pPr>
      <w:r>
        <w:rPr>
          <w:rFonts w:ascii="Times New Roman" w:hAnsi="Times New Roman"/>
          <w:b/>
          <w:color w:val="000000"/>
          <w:sz w:val="24"/>
        </w:rPr>
        <w:t>Employee Benefits</w:t>
      </w:r>
      <w:r>
        <w:rPr>
          <w:rFonts w:ascii="Times New Roman" w:hAnsi="Times New Roman"/>
          <w:color w:val="000000"/>
          <w:sz w:val="24"/>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Until the completion of your Relocation (but in all events ceasing for expenses incurred on or after September 1, 2021), the Company will reimburse you for reasonable airfare and hotel expenses incurred by you for your work-related travel between your primary residence and the Company’s primary location in Redwood City, California or the Company’s offices in San Diego, CA (the “</w:t>
      </w:r>
      <w:r>
        <w:rPr>
          <w:rFonts w:ascii="Times New Roman" w:hAnsi="Times New Roman"/>
          <w:b/>
          <w:color w:val="000000"/>
          <w:sz w:val="24"/>
        </w:rPr>
        <w:t>Travel Reimbursements</w:t>
      </w:r>
      <w:r>
        <w:rPr>
          <w:color w:val="000000"/>
        </w:rPr>
        <w:t>”</w:t>
      </w:r>
      <w:r>
        <w:rPr>
          <w:rFonts w:ascii="Times New Roman" w:hAnsi="Times New Roman"/>
          <w:color w:val="000000"/>
          <w:sz w:val="24"/>
        </w:rPr>
        <w:t xml:space="preserve">), in accordance with the Company’s expense reimbursement policy as in effect from time to time and subject to the requirements described herein. In the event the Travel Reimbursements are taxable to you, the Company also will provide you with (or provide directly to the applicable taxing authorities) additional payments in the amount, as determined by </w:t>
      </w:r>
    </w:p>
    <w:p>
      <w:pPr>
        <w:pStyle w:val="TextBody"/>
        <w:bidi w:val="0"/>
        <w:ind w:left="0" w:right="471" w:hanging="0"/>
        <w:jc w:val="center"/>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32"/>
        <w:jc w:val="both"/>
        <w:rPr/>
      </w:pPr>
      <w:r>
        <w:rPr>
          <w:rFonts w:ascii="Times New Roman" w:hAnsi="Times New Roman"/>
          <w:color w:val="000000"/>
          <w:sz w:val="24"/>
        </w:rPr>
        <w:t>the Company, necessary to pay federal, state and local income and employment taxes with respect to (x) such Travel Reimbursements and (y) such additional payments (the “</w:t>
      </w:r>
      <w:r>
        <w:rPr>
          <w:rFonts w:ascii="Times New Roman" w:hAnsi="Times New Roman"/>
          <w:b/>
          <w:color w:val="000000"/>
          <w:sz w:val="24"/>
        </w:rPr>
        <w:t>Tax Neutrality Payments</w:t>
      </w:r>
      <w:r>
        <w:rPr>
          <w:color w:val="000000"/>
        </w:rPr>
        <w:t>”</w:t>
      </w:r>
      <w:r>
        <w:rPr>
          <w:rFonts w:ascii="Times New Roman" w:hAnsi="Times New Roman"/>
          <w:color w:val="000000"/>
          <w:sz w:val="24"/>
        </w:rPr>
        <w:t>). Any Tax Neutrality Payment will be calculated by the Company based on based on the withholding rates the Company has in effect for you at the time the Travel Reimbursement is reimbursed or provided to you (not to exceed the maximum statutory rates), and the Company’s determination of the Tax Neutrality Payment will be final and binding. In order to receive any taxable Travel Reimbursement or Tax Neutrality Payment, you must remain employed with the Company through the date the applicable Travel Reimbursement or Tax Neutrality Payment, as applicable, is paid or provided to you (or the applicable taxing authorities, as applicable). Further, you are expected to submit appropriate substantiation of airfare and hotel expenses eligible for Travel Reimbursement within thirty (30) days following the date such expenses are incurred, and, once appropriate substantiation (in the good faith determination of the Company) has been submitted, the Travel Reimbursement and any related Tax Neutrality Payment will be paid to you (or the applicable taxing authorities, as applicable) within thirty (30) days. In addition, the Company will also reimburse you for other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r>
        <w:rPr>
          <w:color w:val="000000"/>
        </w:rPr>
        <w:t xml:space="preserve">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32"/>
        <w:jc w:val="both"/>
        <w:rPr/>
      </w:pPr>
      <w:r>
        <w:rPr>
          <w:rFonts w:ascii="Times New Roman" w:hAnsi="Times New Roman"/>
          <w:b/>
          <w:color w:val="000000"/>
          <w:sz w:val="24"/>
        </w:rPr>
        <w:t>Severance</w:t>
      </w:r>
      <w:r>
        <w:rPr>
          <w:rFonts w:ascii="Times New Roman" w:hAnsi="Times New Roman"/>
          <w:color w:val="000000"/>
          <w:sz w:val="24"/>
        </w:rPr>
        <w:t xml:space="preserve">. You will be eligible to participate in the Company’s severance benefit plan, program or policy established or to be established for senior-level employees that is applicable to you consistent with your position within the Company. Additional information regarding such arrangement will be provided to you following your commencement of employment with the Company or as such arrangement is established by the Company.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32"/>
        <w:jc w:val="both"/>
        <w:rPr/>
      </w:pPr>
      <w:r>
        <w:rPr>
          <w:rFonts w:ascii="Times New Roman" w:hAnsi="Times New Roman"/>
          <w:b/>
          <w:color w:val="000000"/>
          <w:sz w:val="24"/>
        </w:rPr>
        <w:t>Confidentiality Agreement</w:t>
      </w:r>
      <w:r>
        <w:rPr>
          <w:rFonts w:ascii="Times New Roman" w:hAnsi="Times New Roman"/>
          <w:color w:val="000000"/>
          <w:sz w:val="24"/>
        </w:rPr>
        <w:t>. As an employee of the Company, you will have access to certain confidential information of the Company and, during the course of your employment, you may develop certain information or inventions that will be the property of the Company. To protect the interests of the Company, you agree to sign and comply with an At-Will Employment, Confidential Information, Invention Assignment Agreement</w:t>
      </w:r>
      <w:r>
        <w:rPr>
          <w:color w:val="000000"/>
        </w:rPr>
        <w:t xml:space="preserve"> </w:t>
      </w:r>
      <w:r>
        <w:rPr>
          <w:rFonts w:ascii="Times New Roman" w:hAnsi="Times New Roman"/>
          <w:color w:val="000000"/>
          <w:sz w:val="24"/>
        </w:rPr>
        <w:t>(the “</w:t>
      </w:r>
      <w:r>
        <w:rPr>
          <w:rFonts w:ascii="Times New Roman" w:hAnsi="Times New Roman"/>
          <w:b/>
          <w:color w:val="000000"/>
          <w:sz w:val="24"/>
        </w:rPr>
        <w:t>Confidentiality Agreement</w:t>
      </w:r>
      <w:r>
        <w:rPr>
          <w:color w:val="000000"/>
        </w:rPr>
        <w:t>”</w:t>
      </w:r>
      <w:r>
        <w:rPr>
          <w:rFonts w:ascii="Times New Roman" w:hAnsi="Times New Roman"/>
          <w:color w:val="000000"/>
          <w:sz w:val="24"/>
        </w:rPr>
        <w:t xml:space="preserve">) which requires, among other provisions, the assignment of patent rights to any invention made during your employment at the Company, and non-disclosure of Company proprietary information. Please note that we must receive your signed Confidentiality Agreement before your first day of employment.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32"/>
        <w:jc w:val="both"/>
        <w:rPr/>
      </w:pPr>
      <w:r>
        <w:rPr>
          <w:rFonts w:ascii="Times New Roman" w:hAnsi="Times New Roman"/>
          <w:b/>
          <w:color w:val="000000"/>
          <w:sz w:val="24"/>
        </w:rPr>
        <w:t>At-Will Employment</w:t>
      </w:r>
      <w:r>
        <w:rPr>
          <w:rFonts w:ascii="Times New Roman" w:hAnsi="Times New Roman"/>
          <w:color w:val="000000"/>
          <w:sz w:val="24"/>
        </w:rPr>
        <w:t xml:space="preserve">. This Agreement does not imply any right to your continued employment for any period with the Company or any parent, subsidiary, or other affiliate of the Company.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32"/>
        <w:jc w:val="both"/>
        <w:rPr/>
      </w:pPr>
      <w:r>
        <w:rPr>
          <w:rFonts w:ascii="Times New Roman" w:hAnsi="Times New Roman"/>
          <w:b/>
          <w:color w:val="000000"/>
          <w:sz w:val="24"/>
        </w:rPr>
        <w:t>Protected Activity Not Prohibited</w:t>
      </w:r>
      <w:r>
        <w:rPr>
          <w:rFonts w:ascii="Times New Roman" w:hAnsi="Times New Roman"/>
          <w:color w:val="000000"/>
          <w:sz w:val="24"/>
        </w:rPr>
        <w:t xml:space="preserve">.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w:t>
      </w:r>
    </w:p>
    <w:p>
      <w:pPr>
        <w:pStyle w:val="TextBody"/>
        <w:bidi w:val="0"/>
        <w:ind w:left="0" w:right="471" w:hanging="0"/>
        <w:jc w:val="center"/>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32"/>
        <w:jc w:val="both"/>
        <w:rPr/>
      </w:pPr>
      <w:r>
        <w:rPr>
          <w:rFonts w:ascii="Times New Roman" w:hAnsi="Times New Roman"/>
          <w:color w:val="000000"/>
          <w:sz w:val="24"/>
        </w:rPr>
        <w:t>the National Labor Relations Board (“</w:t>
      </w:r>
      <w:r>
        <w:rPr>
          <w:rFonts w:ascii="Times New Roman" w:hAnsi="Times New Roman"/>
          <w:b/>
          <w:color w:val="000000"/>
          <w:sz w:val="24"/>
        </w:rPr>
        <w:t>Government Agencies</w:t>
      </w:r>
      <w:r>
        <w:rPr>
          <w:color w:val="000000"/>
        </w:rPr>
        <w:t>”</w:t>
      </w:r>
      <w:r>
        <w:rPr>
          <w:rFonts w:ascii="Times New Roman" w:hAnsi="Times New Roman"/>
          <w:color w:val="000000"/>
          <w:sz w:val="24"/>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hAnsi="Times New Roman"/>
          <w:b/>
          <w:color w:val="000000"/>
          <w:sz w:val="24"/>
          <w:u w:val="single"/>
        </w:rPr>
        <w:t>Appendix A</w:t>
      </w:r>
      <w:r>
        <w:rPr>
          <w:rFonts w:ascii="Times New Roman" w:hAnsi="Times New Roman"/>
          <w:color w:val="000000"/>
          <w:sz w:val="24"/>
        </w:rPr>
        <w:t>.</w:t>
      </w:r>
      <w:r>
        <w:rPr>
          <w:color w:val="000000"/>
        </w:rPr>
        <w:t xml:space="preserve"> </w:t>
      </w:r>
    </w:p>
    <w:p>
      <w:pPr>
        <w:pStyle w:val="TextBody"/>
        <w:bidi w:val="0"/>
        <w:spacing w:before="0" w:after="232"/>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32"/>
        <w:jc w:val="both"/>
        <w:rPr/>
      </w:pPr>
      <w:r>
        <w:rPr>
          <w:rFonts w:ascii="Times New Roman" w:hAnsi="Times New Roman"/>
          <w:b/>
          <w:color w:val="000000"/>
          <w:sz w:val="24"/>
        </w:rPr>
        <w:t>Additional Employment Provisions</w:t>
      </w:r>
      <w:r>
        <w:rPr>
          <w:rFonts w:ascii="Times New Roman" w:hAnsi="Times New Roman"/>
          <w:color w:val="000000"/>
          <w:sz w:val="24"/>
        </w:rPr>
        <w:t xml:space="preserve">.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During the term of your employment with the Company, you agree to 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13.</w:t>
      </w:r>
    </w:p>
    <w:p>
      <w:pPr>
        <w:pStyle w:val="TextBody"/>
        <w:bidi w:val="0"/>
        <w:jc w:val="both"/>
        <w:rPr/>
      </w:pPr>
      <w:r>
        <w:rPr>
          <w:rFonts w:ascii="Times New Roman" w:hAnsi="Times New Roman"/>
          <w:b/>
          <w:color w:val="000000"/>
          <w:sz w:val="24"/>
        </w:rPr>
        <w:t>Taxes</w:t>
      </w:r>
      <w:r>
        <w:rPr>
          <w:rFonts w:ascii="Times New Roman" w:hAnsi="Times New Roman"/>
          <w:color w:val="000000"/>
          <w:sz w:val="24"/>
        </w:rPr>
        <w:t>. The Company (or its affiliate, as applicable) will have the right and authority to deduct from any payments or benefits under this Agreement all applicable federal, state, and local taxes or other required withholdings and payroll deductions (“</w:t>
      </w:r>
      <w:r>
        <w:rPr>
          <w:rFonts w:ascii="Times New Roman" w:hAnsi="Times New Roman"/>
          <w:b/>
          <w:color w:val="000000"/>
          <w:sz w:val="24"/>
        </w:rPr>
        <w:t>Withholdings</w:t>
      </w:r>
      <w:r>
        <w:rPr>
          <w:color w:val="000000"/>
        </w:rPr>
        <w:t>”</w:t>
      </w:r>
      <w:r>
        <w:rPr>
          <w:rFonts w:ascii="Times New Roman" w:hAnsi="Times New Roman"/>
          <w:color w:val="000000"/>
          <w:sz w:val="24"/>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Neither the Company nor any of its affiliates will have any responsibility, liability or obligation to pay your taxes arising from or relating to any payments or benefits under this Agreement. This Agreement and the terms herein are intended to comply with or be exempt from the requirements of Section 409A of the Internal Revenue Code of 1986, as amended, and the Treasury Regulations and any formal guidance promulgated thereunder (“</w:t>
      </w:r>
      <w:r>
        <w:rPr>
          <w:rFonts w:ascii="Times New Roman" w:hAnsi="Times New Roman"/>
          <w:b/>
          <w:color w:val="000000"/>
          <w:sz w:val="24"/>
        </w:rPr>
        <w:t>Section 409A</w:t>
      </w:r>
      <w:r>
        <w:rPr>
          <w:color w:val="000000"/>
        </w:rPr>
        <w:t>”</w:t>
      </w:r>
      <w:r>
        <w:rPr>
          <w:rFonts w:ascii="Times New Roman" w:hAnsi="Times New Roman"/>
          <w:color w:val="000000"/>
          <w:sz w:val="24"/>
        </w:rPr>
        <w:t xml:space="preserve">), so </w:t>
      </w:r>
    </w:p>
    <w:p>
      <w:pPr>
        <w:pStyle w:val="TextBody"/>
        <w:bidi w:val="0"/>
        <w:ind w:left="0" w:right="471" w:hanging="0"/>
        <w:jc w:val="center"/>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4"/>
        </w:rPr>
        <w:t>that none of the payments and benefits to be provided hereunder will be subject to the additional tax imposed by Section 409A, and any ambiguities or ambiguous terms herein will be interpreted to so comply or be so exempt. You must be employed by the Company on the payment date in order to receive any taxable Travel Reimbursements or Tax Neutrality Payments. Accordingly, such reimbursements and benefits are intended to be exempt from Section 409A pursuant to the “short-term deferral” rule set forth in Section 1.409A-1(b)(4) of the Treasury Regulations. Nonetheless, any taxable reimbursements payable to you under Section 7 above will be paid, less applicable withholdings, only with respect to expenses incurred while you are employed by the Company, no later than the last day of your taxable year immediately following your taxable year in which the expense was incurred by you. No such amounts reimbursable to you in one taxable year of yours will affect the amounts reimbursable to you in another taxable year. In no event will the Company or any of its affiliates have any responsibility, liability or obligation to reimburse or indemnify you, or hold you harmless, for any tax imposed, or other costs incurred, as a result of Section 409A.</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4"/>
        </w:rPr>
        <w:t>To accept the Company’s offer, please sign and date in the spaces indicated below and return this Agreement to me. A duplicate original is enclosed for your records. If you accept our offer, your first day of employment will be November 6, 2020 (your “</w:t>
      </w:r>
      <w:r>
        <w:rPr>
          <w:rFonts w:ascii="Times New Roman" w:hAnsi="Times New Roman"/>
          <w:b/>
          <w:color w:val="000000"/>
          <w:sz w:val="24"/>
        </w:rPr>
        <w:t>Start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along with the Confidentiality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November 5, 2020.</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Times New Roman" w:hAnsi="Times New Roman"/>
          <w:color w:val="000000"/>
          <w:sz w:val="24"/>
        </w:rPr>
        <w:t>We look forward to your favorable reply and to working with you at Seer, Inc.</w:t>
      </w:r>
      <w:r>
        <w:rPr>
          <w:rFonts w:ascii="Times New Roman" w:hAnsi="Times New Roman"/>
          <w:color w:val="000000"/>
          <w:sz w:val="20"/>
        </w:rPr>
        <w:t xml:space="preserve"> </w:t>
      </w:r>
    </w:p>
    <w:tbl>
      <w:tblPr>
        <w:tblW w:w="1512" w:type="dxa"/>
        <w:jc w:val="left"/>
        <w:tblInd w:w="0" w:type="dxa"/>
        <w:tblLayout w:type="fixed"/>
        <w:tblCellMar>
          <w:top w:w="28" w:type="dxa"/>
          <w:left w:w="28" w:type="dxa"/>
          <w:bottom w:w="28" w:type="dxa"/>
          <w:right w:w="28" w:type="dxa"/>
        </w:tblCellMar>
      </w:tblPr>
      <w:tblGrid>
        <w:gridCol w:w="161"/>
        <w:gridCol w:w="1351"/>
      </w:tblGrid>
      <w:tr>
        <w:trPr/>
        <w:tc>
          <w:tcPr>
            <w:tcW w:w="1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Sincerely,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SEER, INC.</w:t>
            </w:r>
          </w:p>
        </w:tc>
      </w:tr>
    </w:tbl>
    <w:p>
      <w:pPr>
        <w:pStyle w:val="TextBody"/>
        <w:bidi w:val="0"/>
        <w:jc w:val="center"/>
        <w:rPr/>
      </w:pPr>
      <w:r>
        <w:rPr/>
        <w:t> </w:t>
      </w:r>
    </w:p>
    <w:tbl>
      <w:tblPr>
        <w:tblW w:w="2592" w:type="dxa"/>
        <w:jc w:val="left"/>
        <w:tblInd w:w="0" w:type="dxa"/>
        <w:tblLayout w:type="fixed"/>
        <w:tblCellMar>
          <w:top w:w="28" w:type="dxa"/>
          <w:left w:w="28" w:type="dxa"/>
          <w:bottom w:w="28" w:type="dxa"/>
          <w:right w:w="28" w:type="dxa"/>
        </w:tblCellMar>
      </w:tblPr>
      <w:tblGrid>
        <w:gridCol w:w="161"/>
        <w:gridCol w:w="2431"/>
      </w:tblGrid>
      <w:tr>
        <w:trPr/>
        <w:tc>
          <w:tcPr>
            <w:tcW w:w="16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By: /s/ Omid Farokhzad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Omid Farokhzad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CEO</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Seer, Inc.</w:t>
            </w:r>
          </w:p>
        </w:tc>
      </w:tr>
    </w:tbl>
    <w:p>
      <w:pPr>
        <w:pStyle w:val="TextBody"/>
        <w:bidi w:val="0"/>
        <w:spacing w:before="0" w:after="232"/>
        <w:jc w:val="both"/>
        <w:rPr>
          <w:rFonts w:ascii="Times New Roman" w:hAnsi="Times New Roman"/>
          <w:sz w:val="20"/>
        </w:rPr>
      </w:pPr>
      <w:r>
        <w:rPr>
          <w:rFonts w:ascii="Times New Roman" w:hAnsi="Times New Roman"/>
          <w:color w:val="000000"/>
          <w:sz w:val="24"/>
        </w:rPr>
        <w:t>Agreed to and accepted: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u w:val="single"/>
        </w:rPr>
        <w:t>/s/ Elona Kogan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Elona Kogan</w:t>
      </w:r>
      <w:r>
        <w:rPr>
          <w:rFonts w:ascii="Times New Roman" w:hAnsi="Times New Roman"/>
          <w:color w:val="000000"/>
          <w:sz w:val="20"/>
        </w:rPr>
        <w:t xml:space="preserve"> </w:t>
      </w:r>
    </w:p>
    <w:p>
      <w:pPr>
        <w:pStyle w:val="TextBody"/>
        <w:bidi w:val="0"/>
        <w:spacing w:before="0" w:after="471"/>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November 4, 2020</w:t>
      </w:r>
    </w:p>
    <w:p>
      <w:pPr>
        <w:pStyle w:val="TextBody"/>
        <w:bidi w:val="0"/>
        <w:spacing w:before="0" w:after="458"/>
        <w:jc w:val="left"/>
        <w:rPr/>
      </w:pPr>
      <w:r>
        <w:rPr/>
        <w:t> </w:t>
      </w:r>
    </w:p>
    <w:p>
      <w:pPr>
        <w:pStyle w:val="TextBody"/>
        <w:bidi w:val="0"/>
        <w:ind w:left="0" w:right="471" w:hanging="0"/>
        <w:jc w:val="center"/>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458"/>
        <w:jc w:val="left"/>
        <w:rPr>
          <w:rFonts w:ascii="Times New Roman" w:hAnsi="Times New Roman"/>
          <w:sz w:val="20"/>
        </w:rPr>
      </w:pPr>
      <w:r>
        <w:rPr>
          <w:rFonts w:ascii="Times New Roman" w:hAnsi="Times New Roman"/>
          <w:color w:val="000000"/>
          <w:sz w:val="24"/>
        </w:rPr>
        <w:t>Enclosures</w:t>
      </w:r>
      <w:r>
        <w:rPr>
          <w:rFonts w:ascii="Times New Roman" w:hAnsi="Times New Roman"/>
          <w:color w:val="000000"/>
          <w:sz w:val="20"/>
        </w:rPr>
        <w:t xml:space="preserve"> </w:t>
      </w:r>
    </w:p>
    <w:p>
      <w:pPr>
        <w:pStyle w:val="TextBody"/>
        <w:bidi w:val="0"/>
        <w:spacing w:before="0" w:after="12"/>
        <w:jc w:val="both"/>
        <w:rPr>
          <w:color w:val="000000"/>
        </w:rPr>
      </w:pPr>
      <w:r>
        <w:rPr>
          <w:color w:val="000000"/>
        </w:rPr>
        <w:t>•</w:t>
      </w:r>
    </w:p>
    <w:p>
      <w:pPr>
        <w:pStyle w:val="TextBody"/>
        <w:bidi w:val="0"/>
        <w:spacing w:before="0" w:after="12"/>
        <w:jc w:val="both"/>
        <w:rPr>
          <w:rFonts w:ascii="Times New Roman" w:hAnsi="Times New Roman"/>
          <w:color w:val="000000"/>
          <w:sz w:val="24"/>
        </w:rPr>
      </w:pPr>
      <w:r>
        <w:rPr>
          <w:rFonts w:ascii="Times New Roman" w:hAnsi="Times New Roman"/>
          <w:color w:val="000000"/>
          <w:sz w:val="24"/>
        </w:rPr>
        <w:t xml:space="preserve">Duplicate Original Letter </w:t>
      </w:r>
    </w:p>
    <w:p>
      <w:pPr>
        <w:pStyle w:val="TextBody"/>
        <w:bidi w:val="0"/>
        <w:spacing w:before="0" w:after="12"/>
        <w:jc w:val="both"/>
        <w:rPr>
          <w:color w:val="000000"/>
        </w:rPr>
      </w:pPr>
      <w:r>
        <w:rPr>
          <w:color w:val="000000"/>
        </w:rPr>
        <w:t>•</w:t>
      </w:r>
    </w:p>
    <w:p>
      <w:pPr>
        <w:pStyle w:val="TextBody"/>
        <w:bidi w:val="0"/>
        <w:spacing w:before="0" w:after="12"/>
        <w:jc w:val="both"/>
        <w:rPr>
          <w:rFonts w:ascii="Times New Roman" w:hAnsi="Times New Roman"/>
          <w:color w:val="000000"/>
          <w:sz w:val="24"/>
        </w:rPr>
      </w:pPr>
      <w:r>
        <w:rPr>
          <w:rFonts w:ascii="Times New Roman" w:hAnsi="Times New Roman"/>
          <w:color w:val="000000"/>
          <w:sz w:val="24"/>
        </w:rPr>
        <w:t xml:space="preserve">At-Will Employment, Confidential Information, Invention Assignment Agreement </w:t>
      </w:r>
    </w:p>
    <w:p>
      <w:pPr>
        <w:pStyle w:val="TextBody"/>
        <w:bidi w:val="0"/>
        <w:spacing w:before="0" w:after="12"/>
        <w:jc w:val="both"/>
        <w:rPr>
          <w:color w:val="000000"/>
        </w:rPr>
      </w:pPr>
      <w:r>
        <w:rPr>
          <w:color w:val="000000"/>
        </w:rPr>
        <w:t>•</w:t>
      </w:r>
    </w:p>
    <w:p>
      <w:pPr>
        <w:pStyle w:val="TextBody"/>
        <w:bidi w:val="0"/>
        <w:spacing w:before="0" w:after="12"/>
        <w:jc w:val="both"/>
        <w:rPr>
          <w:rFonts w:ascii="Times New Roman" w:hAnsi="Times New Roman"/>
          <w:color w:val="000000"/>
          <w:sz w:val="24"/>
        </w:rPr>
      </w:pPr>
      <w:r>
        <w:rPr>
          <w:rFonts w:ascii="Times New Roman" w:hAnsi="Times New Roman"/>
          <w:color w:val="000000"/>
          <w:sz w:val="24"/>
        </w:rPr>
        <w:t xml:space="preserve">DE 2515 </w:t>
      </w:r>
    </w:p>
    <w:p>
      <w:pPr>
        <w:pStyle w:val="TextBody"/>
        <w:bidi w:val="0"/>
        <w:spacing w:before="0" w:after="12"/>
        <w:jc w:val="both"/>
        <w:rPr>
          <w:color w:val="000000"/>
        </w:rPr>
      </w:pPr>
      <w:r>
        <w:rPr>
          <w:color w:val="000000"/>
        </w:rPr>
        <w:t>•</w:t>
      </w:r>
    </w:p>
    <w:p>
      <w:pPr>
        <w:pStyle w:val="TextBody"/>
        <w:bidi w:val="0"/>
        <w:spacing w:before="0" w:after="12"/>
        <w:jc w:val="both"/>
        <w:rPr>
          <w:rFonts w:ascii="Times New Roman" w:hAnsi="Times New Roman"/>
          <w:color w:val="000000"/>
          <w:sz w:val="24"/>
        </w:rPr>
      </w:pPr>
      <w:r>
        <w:rPr>
          <w:rFonts w:ascii="Times New Roman" w:hAnsi="Times New Roman"/>
          <w:color w:val="000000"/>
          <w:sz w:val="24"/>
        </w:rPr>
        <w:t xml:space="preserve">DE 2511 </w:t>
      </w:r>
    </w:p>
    <w:p>
      <w:pPr>
        <w:pStyle w:val="TextBody"/>
        <w:bidi w:val="0"/>
        <w:spacing w:before="0" w:after="12"/>
        <w:jc w:val="both"/>
        <w:rPr>
          <w:color w:val="000000"/>
        </w:rPr>
      </w:pPr>
      <w:r>
        <w:rPr>
          <w:color w:val="000000"/>
        </w:rPr>
        <w:t>•</w:t>
      </w:r>
    </w:p>
    <w:p>
      <w:pPr>
        <w:pStyle w:val="TextBody"/>
        <w:bidi w:val="0"/>
        <w:spacing w:before="0" w:after="12"/>
        <w:jc w:val="both"/>
        <w:rPr/>
      </w:pPr>
      <w:r>
        <w:rPr>
          <w:rFonts w:ascii="Times New Roman" w:hAnsi="Times New Roman"/>
          <w:color w:val="000000"/>
          <w:sz w:val="24"/>
        </w:rPr>
        <w:t>DFEH 185</w:t>
      </w:r>
      <w:r>
        <w:rPr>
          <w:color w:val="000000"/>
        </w:rPr>
        <w:t xml:space="preserve"> </w:t>
      </w:r>
    </w:p>
    <w:p>
      <w:pPr>
        <w:pStyle w:val="TextBody"/>
        <w:bidi w:val="0"/>
        <w:spacing w:before="0" w:after="181"/>
        <w:jc w:val="both"/>
        <w:rPr>
          <w:color w:val="000000"/>
        </w:rPr>
      </w:pPr>
      <w:r>
        <w:rPr>
          <w:color w:val="000000"/>
        </w:rPr>
        <w:t>•</w:t>
      </w:r>
    </w:p>
    <w:p>
      <w:pPr>
        <w:pStyle w:val="TextBody"/>
        <w:bidi w:val="0"/>
        <w:spacing w:before="0" w:after="181"/>
        <w:jc w:val="both"/>
        <w:rPr/>
      </w:pPr>
      <w:r>
        <w:rPr>
          <w:rFonts w:ascii="Times New Roman" w:hAnsi="Times New Roman"/>
          <w:color w:val="000000"/>
          <w:sz w:val="24"/>
        </w:rPr>
        <w:t>Rights of Victims of Domestic Violence</w:t>
      </w:r>
      <w:r>
        <w:rPr>
          <w:color w:val="000000"/>
        </w:rPr>
        <w:t xml:space="preserve"> </w:t>
      </w:r>
    </w:p>
    <w:p>
      <w:pPr>
        <w:pStyle w:val="TextBody"/>
        <w:bidi w:val="0"/>
        <w:jc w:val="center"/>
        <w:rPr>
          <w:rFonts w:ascii="Times New Roman" w:hAnsi="Times New Roman"/>
          <w:sz w:val="20"/>
        </w:rPr>
      </w:pPr>
      <w:r>
        <w:rPr>
          <w:rFonts w:ascii="Times New Roman" w:hAnsi="Times New Roman"/>
          <w:b/>
          <w:color w:val="000000"/>
          <w:sz w:val="24"/>
          <w:u w:val="single"/>
        </w:rPr>
        <w:t>Appendix 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Section 7 of the Defend Trade Secrets Act of 2016</w:t>
      </w:r>
      <w:r>
        <w:rPr>
          <w:rFonts w:ascii="Times New Roman" w:hAnsi="Times New Roman"/>
          <w:color w:val="000000"/>
          <w:sz w:val="20"/>
        </w:rPr>
        <w:t xml:space="preserve"> </w:t>
      </w:r>
    </w:p>
    <w:p>
      <w:pPr>
        <w:pStyle w:val="TextBody"/>
        <w:bidi w:val="0"/>
        <w:spacing w:before="0" w:after="720"/>
        <w:jc w:val="both"/>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r>
        <w:rPr>
          <w:rFonts w:ascii="Times New Roman" w:hAnsi="Times New Roman"/>
          <w:color w:val="000000"/>
          <w:sz w:val="20"/>
        </w:rPr>
        <w:t xml:space="preserve"> </w:t>
      </w:r>
    </w:p>
    <w:p>
      <w:pPr>
        <w:pStyle w:val="TextBody"/>
        <w:bidi w:val="0"/>
        <w:ind w:left="0" w:right="471" w:hanging="0"/>
        <w:jc w:val="center"/>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40" w:after="283"/>
        <w:ind w:left="7200" w:right="0" w:firstLine="720"/>
        <w:jc w:val="right"/>
        <w:rPr>
          <w:rFonts w:ascii="Times New Roman" w:hAnsi="Times New Roman"/>
          <w:b/>
          <w:color w:val="000000"/>
          <w:sz w:val="22"/>
        </w:rPr>
      </w:pPr>
      <w:bookmarkStart w:id="41" w:name="ck0001726445-ex19_1.htm"/>
      <w:bookmarkStart w:id="42" w:name="ksck0001726445ex19_1"/>
      <w:bookmarkEnd w:id="41"/>
      <w:bookmarkEnd w:id="42"/>
      <w:r>
        <w:rPr>
          <w:rFonts w:ascii="Times New Roman" w:hAnsi="Times New Roman"/>
          <w:b/>
          <w:color w:val="000000"/>
          <w:sz w:val="22"/>
        </w:rPr>
        <w:t>Exhibit 19.1</w:t>
      </w:r>
      <w:r>
        <w:br w:type="page"/>
      </w:r>
    </w:p>
    <w:p>
      <w:pPr>
        <w:pStyle w:val="TextBody"/>
        <w:bidi w:val="0"/>
        <w:spacing w:before="240" w:after="283"/>
        <w:jc w:val="righ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SEER, INC.</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___________________</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spacing w:before="120" w:after="283"/>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120" w:after="283"/>
        <w:jc w:val="center"/>
        <w:rPr>
          <w:rFonts w:ascii="Times New Roman" w:hAnsi="Times New Roman"/>
          <w:b/>
          <w:caps/>
          <w:color w:val="000000"/>
          <w:sz w:val="24"/>
        </w:rPr>
      </w:pPr>
      <w:r>
        <w:rPr>
          <w:rFonts w:ascii="Times New Roman" w:hAnsi="Times New Roman"/>
          <w:b/>
          <w:caps/>
          <w:color w:val="000000"/>
          <w:sz w:val="24"/>
        </w:rPr>
        <w:t>Guidelines with Respect to</w:t>
      </w:r>
    </w:p>
    <w:p>
      <w:pPr>
        <w:pStyle w:val="TextBody"/>
        <w:bidi w:val="0"/>
        <w:jc w:val="center"/>
        <w:rPr>
          <w:rFonts w:ascii="Times New Roman" w:hAnsi="Times New Roman"/>
          <w:b/>
          <w:caps/>
          <w:color w:val="000000"/>
          <w:sz w:val="24"/>
        </w:rPr>
      </w:pPr>
      <w:r>
        <w:rPr>
          <w:rFonts w:ascii="Times New Roman" w:hAnsi="Times New Roman"/>
          <w:b/>
          <w:caps/>
          <w:color w:val="000000"/>
          <w:sz w:val="24"/>
        </w:rPr>
        <w:t>Certain Transactions in Securities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___________________</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(Adopted and approved on November 18, 2020 and</w:t>
      </w:r>
    </w:p>
    <w:p>
      <w:pPr>
        <w:pStyle w:val="TextBody"/>
        <w:bidi w:val="0"/>
        <w:jc w:val="center"/>
        <w:rPr>
          <w:rFonts w:ascii="Times New Roman" w:hAnsi="Times New Roman"/>
          <w:color w:val="000000"/>
          <w:sz w:val="24"/>
        </w:rPr>
      </w:pPr>
      <w:r>
        <w:rPr>
          <w:rFonts w:ascii="Times New Roman" w:hAnsi="Times New Roman"/>
          <w:color w:val="000000"/>
          <w:sz w:val="24"/>
        </w:rPr>
        <w:t>effective as of the Company’s initial public offering, as amended on April 18, 2023)</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9094"/>
        <w:gridCol w:w="1111"/>
      </w:tblGrid>
      <w:tr>
        <w:trPr/>
        <w:tc>
          <w:tcPr>
            <w:tcW w:w="909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INTRODUCTION</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Legal prohibitions on insider trading</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Detection and prosecution of insider trading</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Penalties for violation of insider trading laws and this Policy</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Compliance Officer</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Reporting violations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Personal responsibility</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PERSONS AND TRANSACTIONS COVERED BY THIS POLICY</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Persons covered by this Policy</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Types of transactions covered by this Policy</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Responsibilities regarding the nonpublic information of other companies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Applicability of this Policy after your departure</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MATERIAL NONPUBLIC INFORMATION</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9094" w:type="dxa"/>
            <w:tcBorders/>
            <w:shd w:fill="FFFFFF" w:val="clear"/>
            <w:vAlign w:val="center"/>
          </w:tcPr>
          <w:p>
            <w:pPr>
              <w:pStyle w:val="TableContents"/>
              <w:bidi w:val="0"/>
              <w:spacing w:before="0" w:after="283"/>
              <w:ind w:left="720" w:right="0" w:firstLine="720"/>
              <w:jc w:val="left"/>
              <w:rPr>
                <w:color w:val="000000"/>
              </w:rPr>
            </w:pPr>
            <w:r>
              <w:rPr>
                <w:color w:val="000000"/>
              </w:rPr>
              <w:t>“</w:t>
            </w:r>
            <w:r>
              <w:rPr>
                <w:rFonts w:ascii="Times New Roman" w:hAnsi="Times New Roman"/>
                <w:color w:val="000000"/>
                <w:sz w:val="22"/>
              </w:rPr>
              <w:t>Material” information</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9094" w:type="dxa"/>
            <w:tcBorders/>
            <w:shd w:fill="FFFFFF" w:val="clear"/>
            <w:vAlign w:val="center"/>
          </w:tcPr>
          <w:p>
            <w:pPr>
              <w:pStyle w:val="TableContents"/>
              <w:bidi w:val="0"/>
              <w:spacing w:before="0" w:after="283"/>
              <w:ind w:left="720" w:right="0" w:firstLine="720"/>
              <w:jc w:val="left"/>
              <w:rPr>
                <w:color w:val="000000"/>
              </w:rPr>
            </w:pPr>
            <w:r>
              <w:rPr>
                <w:color w:val="000000"/>
              </w:rPr>
              <w:t>“</w:t>
            </w:r>
            <w:r>
              <w:rPr>
                <w:rFonts w:ascii="Times New Roman" w:hAnsi="Times New Roman"/>
                <w:color w:val="000000"/>
                <w:sz w:val="22"/>
              </w:rPr>
              <w:t>Nonpublic” information</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POLICIES REGARDING MATERIAL NONPUBLIC INFORMATION</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Confidentiality of nonpublic information</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No trading on material nonpublic information</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No disclosing material nonpublic information for the benefit of others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Obligation to disclose material nonpublic information to the Company</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Responding to outside inquiries for information</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TRADING BLACKOUT PERIODS</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Quarterly blackout periods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Special blackout periods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Regulation BTR blackouts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No “safe harbors”</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PRE-CLEARANCE OF TRADES</w:t>
            </w:r>
          </w:p>
        </w:tc>
        <w:tc>
          <w:tcPr>
            <w:tcW w:w="1111" w:type="dxa"/>
            <w:tcBorders/>
            <w:shd w:fill="FFFFFF" w:val="clear"/>
            <w:vAlign w:val="center"/>
          </w:tcPr>
          <w:p>
            <w:pPr>
              <w:pStyle w:val="TableContents"/>
              <w:bidi w:val="0"/>
              <w:spacing w:before="240" w:after="283"/>
              <w:jc w:val="right"/>
              <w:rPr>
                <w:rFonts w:ascii="Times New Roman" w:hAnsi="Times New Roman"/>
                <w:color w:val="000000"/>
                <w:sz w:val="22"/>
              </w:rPr>
            </w:pPr>
            <w:r>
              <w:rPr>
                <w:rFonts w:ascii="Times New Roman" w:hAnsi="Times New Roman"/>
                <w:color w:val="000000"/>
                <w:sz w:val="22"/>
              </w:rPr>
              <w:t>11</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ADDITIONAL RESTRICTIONS AND GUIDANCE</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Short sales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Derivative securities and hedging transactions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Using Company securities as collateral for loans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Holding Company securities in margin accounts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Placing open orders with brokers</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r>
      <w:tr>
        <w:trPr/>
        <w:tc>
          <w:tcPr>
            <w:tcW w:w="9094"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LIMITED EXCEPTIONS</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Transactions pursuant to a trading plan that complies with SEC rules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Receipt and vesting of stock options, restricted stock units, restricted stock and stock appreciation rights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Exercise of stock options for cash and tax withholding requirements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Purchases from the employee stock purchase plan</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9094"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Stock splits, stock dividends and similar transactions</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center"/>
        <w:rPr>
          <w:rFonts w:ascii="Times New Roman" w:hAnsi="Times New Roman"/>
          <w:color w:val="000000"/>
          <w:sz w:val="22"/>
        </w:rPr>
      </w:pPr>
      <w:r>
        <w:rPr>
          <w:rFonts w:ascii="Times New Roman" w:hAnsi="Times New Roman"/>
          <w:color w:val="000000"/>
          <w:sz w:val="22"/>
        </w:rPr>
        <w:t>(Continued)</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Page</w:t>
      </w:r>
    </w:p>
    <w:tbl>
      <w:tblPr>
        <w:tblW w:w="8612" w:type="dxa"/>
        <w:jc w:val="left"/>
        <w:tblInd w:w="0" w:type="dxa"/>
        <w:tblLayout w:type="fixed"/>
        <w:tblCellMar>
          <w:top w:w="28" w:type="dxa"/>
          <w:left w:w="28" w:type="dxa"/>
          <w:bottom w:w="28" w:type="dxa"/>
          <w:right w:w="28" w:type="dxa"/>
        </w:tblCellMar>
      </w:tblPr>
      <w:tblGrid>
        <w:gridCol w:w="7501"/>
        <w:gridCol w:w="1111"/>
      </w:tblGrid>
      <w:tr>
        <w:trPr/>
        <w:tc>
          <w:tcPr>
            <w:tcW w:w="75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Estate planning</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Other exceptions</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r>
      <w:tr>
        <w:trPr/>
        <w:tc>
          <w:tcPr>
            <w:tcW w:w="7501"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COMPLIANCE WITH SECTION 16 OF THE SECURITIES EXCHANGE ACT</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Obligations under Section 16</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Notification requirements to facilitate Section 16 reporting</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Personal responsibility</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ADDITIONAL INFORMATION</w:t>
            </w:r>
          </w:p>
        </w:tc>
        <w:tc>
          <w:tcPr>
            <w:tcW w:w="1111" w:type="dxa"/>
            <w:tcBorders/>
            <w:shd w:fill="FFFFFF" w:val="cle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Delivery of Policy</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Amendments</w:t>
            </w:r>
          </w:p>
        </w:tc>
        <w:tc>
          <w:tcPr>
            <w:tcW w:w="111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vAlign w:val="center"/>
          </w:tcPr>
          <w:p>
            <w:pPr>
              <w:pStyle w:val="TableContents"/>
              <w:bidi w:val="0"/>
              <w:spacing w:before="0" w:after="283"/>
              <w:ind w:left="720" w:right="0" w:firstLine="720"/>
              <w:jc w:val="left"/>
              <w:rPr>
                <w:rFonts w:ascii="Times New Roman" w:hAnsi="Times New Roman"/>
                <w:color w:val="000000"/>
                <w:sz w:val="22"/>
              </w:rPr>
            </w:pPr>
            <w:r>
              <w:rPr>
                <w:rFonts w:ascii="Times New Roman" w:hAnsi="Times New Roman"/>
                <w:color w:val="000000"/>
                <w:sz w:val="22"/>
              </w:rPr>
              <w:t>Current Version of Policy</w:t>
            </w:r>
          </w:p>
        </w:tc>
        <w:tc>
          <w:tcPr>
            <w:tcW w:w="1111"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 (Pre-Clearance Checklist)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II (Requirements for Trading Plans)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III (Guidelines for Preparing Trading Plans)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INTRODUCTION</w:t>
      </w:r>
    </w:p>
    <w:p>
      <w:pPr>
        <w:pStyle w:val="TextBody"/>
        <w:bidi w:val="0"/>
        <w:spacing w:before="240" w:after="283"/>
        <w:jc w:val="both"/>
        <w:rPr>
          <w:rFonts w:ascii="Times New Roman" w:hAnsi="Times New Roman"/>
          <w:sz w:val="20"/>
        </w:rPr>
      </w:pPr>
      <w:r>
        <w:rPr>
          <w:rFonts w:ascii="Times New Roman" w:hAnsi="Times New Roman"/>
          <w:color w:val="000000"/>
          <w:sz w:val="24"/>
        </w:rPr>
        <w:t>Seer, Inc. (together with its subsidiaries,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Legal prohibitions on insider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pStyle w:val="TextBody"/>
        <w:bidi w:val="0"/>
        <w:spacing w:before="240" w:after="283"/>
        <w:jc w:val="both"/>
        <w:rPr>
          <w:rFonts w:ascii="Times New Roman" w:hAnsi="Times New Roman"/>
          <w:sz w:val="20"/>
        </w:rPr>
      </w:pPr>
      <w:r>
        <w:rPr>
          <w:rFonts w:ascii="Times New Roman" w:hAnsi="Times New Roman"/>
          <w:color w:val="000000"/>
          <w:sz w:val="24"/>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hAnsi="Times New Roman"/>
          <w:b/>
          <w:i/>
          <w:color w:val="000000"/>
          <w:sz w:val="24"/>
        </w:rPr>
        <w:t>tipping</w:t>
      </w:r>
      <w:r>
        <w:rPr>
          <w:rFonts w:ascii="Times New Roman" w:hAnsi="Times New Roman"/>
          <w:color w:val="000000"/>
          <w:sz w:val="20"/>
        </w:rPr>
        <w:t>”</w:t>
      </w:r>
      <w:r>
        <w:rPr>
          <w:rFonts w:ascii="Times New Roman" w:hAnsi="Times New Roman"/>
          <w:color w:val="000000"/>
          <w:sz w:val="24"/>
        </w:rPr>
        <w:t>) is also illegal. Both the person who provides the information, recommendation or opinion and the person who trades based on it may be liable.</w:t>
      </w:r>
    </w:p>
    <w:p>
      <w:pPr>
        <w:pStyle w:val="TextBody"/>
        <w:bidi w:val="0"/>
        <w:spacing w:before="240" w:after="283"/>
        <w:jc w:val="both"/>
        <w:rPr>
          <w:rFonts w:ascii="Times New Roman" w:hAnsi="Times New Roman"/>
          <w:sz w:val="20"/>
        </w:rPr>
      </w:pPr>
      <w:r>
        <w:rPr>
          <w:rFonts w:ascii="Times New Roman" w:hAnsi="Times New Roman"/>
          <w:color w:val="000000"/>
          <w:sz w:val="24"/>
        </w:rPr>
        <w:t>These illegal activities are commonly referred to as “</w:t>
      </w:r>
      <w:r>
        <w:rPr>
          <w:rFonts w:ascii="Times New Roman" w:hAnsi="Times New Roman"/>
          <w:b/>
          <w:i/>
          <w:color w:val="000000"/>
          <w:sz w:val="24"/>
        </w:rPr>
        <w:t>insider trading</w:t>
      </w:r>
      <w:r>
        <w:rPr>
          <w:rFonts w:ascii="Times New Roman" w:hAnsi="Times New Roman"/>
          <w:color w:val="000000"/>
          <w:sz w:val="20"/>
        </w:rPr>
        <w:t>”</w:t>
      </w:r>
      <w:r>
        <w:rPr>
          <w:rFonts w:ascii="Times New Roman" w:hAnsi="Times New Roman"/>
          <w:color w:val="000000"/>
          <w:sz w:val="24"/>
        </w:rPr>
        <w:t>. State securities laws and securities laws of other jurisdictions also impose restrictions on insider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Detection and prosecution of insider trading</w:t>
      </w:r>
    </w:p>
    <w:p>
      <w:pPr>
        <w:pStyle w:val="TextBody"/>
        <w:bidi w:val="0"/>
        <w:spacing w:before="240" w:after="283"/>
        <w:jc w:val="both"/>
        <w:rPr>
          <w:rFonts w:ascii="Times New Roman" w:hAnsi="Times New Roman"/>
          <w:sz w:val="20"/>
        </w:rPr>
      </w:pPr>
      <w:r>
        <w:rPr>
          <w:rFonts w:ascii="Times New Roman" w:hAnsi="Times New Roman"/>
          <w:color w:val="000000"/>
          <w:sz w:val="24"/>
        </w:rPr>
        <w:t>The U.S.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The Financial Industry Regulatory Authority and the stock exchanges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Penalties for violation of insider trading laws and this Policy</w:t>
      </w:r>
    </w:p>
    <w:p>
      <w:pPr>
        <w:pStyle w:val="TextBody"/>
        <w:bidi w:val="0"/>
        <w:spacing w:before="240" w:after="283"/>
        <w:jc w:val="both"/>
        <w:rPr>
          <w:rFonts w:ascii="Times New Roman" w:hAnsi="Times New Roman"/>
          <w:sz w:val="20"/>
        </w:rPr>
      </w:pPr>
      <w:r>
        <w:rPr>
          <w:rFonts w:ascii="Times New Roman" w:hAnsi="Times New Roman"/>
          <w:i/>
          <w:color w:val="000000"/>
          <w:sz w:val="24"/>
        </w:rPr>
        <w:t>Civil and criminal penalties.</w:t>
      </w:r>
      <w:r>
        <w:rPr>
          <w:rFonts w:ascii="Times New Roman" w:hAnsi="Times New Roman"/>
          <w:color w:val="000000"/>
          <w:sz w:val="20"/>
        </w:rPr>
        <w:t xml:space="preserve"> </w:t>
      </w:r>
      <w:r>
        <w:rPr>
          <w:rFonts w:ascii="Times New Roman" w:hAnsi="Times New Roman"/>
          <w:color w:val="000000"/>
          <w:sz w:val="24"/>
        </w:rPr>
        <w:t>As of the effective date of this Policy, potential penalties for insider trading violations under U.S. federal securities laws include:</w:t>
      </w:r>
    </w:p>
    <w:p>
      <w:pPr>
        <w:pStyle w:val="TextBody"/>
        <w:bidi w:val="0"/>
        <w:spacing w:before="120" w:after="283"/>
        <w:jc w:val="both"/>
        <w:rPr/>
      </w:pPr>
      <w:r>
        <w:rPr>
          <w:color w:val="000000"/>
        </w:rPr>
        <w:t xml:space="preserve"> </w:t>
      </w:r>
      <w:r>
        <w:rPr>
          <w:rFonts w:ascii="Times New Roman" w:hAnsi="Times New Roman"/>
          <w:color w:val="000000"/>
          <w:sz w:val="24"/>
        </w:rPr>
        <w:t>damages in a private lawsuit;</w:t>
      </w:r>
    </w:p>
    <w:p>
      <w:pPr>
        <w:pStyle w:val="TextBody"/>
        <w:bidi w:val="0"/>
        <w:spacing w:before="120" w:after="283"/>
        <w:jc w:val="both"/>
        <w:rPr/>
      </w:pPr>
      <w:r>
        <w:rPr>
          <w:color w:val="000000"/>
        </w:rPr>
        <w:t xml:space="preserve"> </w:t>
      </w:r>
      <w:r>
        <w:rPr>
          <w:rFonts w:ascii="Times New Roman" w:hAnsi="Times New Roman"/>
          <w:color w:val="000000"/>
          <w:sz w:val="24"/>
        </w:rPr>
        <w:t>disgorging any profits made or losses avoided;</w:t>
      </w:r>
    </w:p>
    <w:p>
      <w:pPr>
        <w:pStyle w:val="TextBody"/>
        <w:bidi w:val="0"/>
        <w:spacing w:before="120" w:after="283"/>
        <w:jc w:val="both"/>
        <w:rPr/>
      </w:pPr>
      <w:r>
        <w:rPr>
          <w:color w:val="000000"/>
        </w:rPr>
        <w:t xml:space="preserve"> </w:t>
      </w:r>
      <w:r>
        <w:rPr>
          <w:rFonts w:ascii="Times New Roman" w:hAnsi="Times New Roman"/>
          <w:color w:val="000000"/>
          <w:sz w:val="24"/>
        </w:rPr>
        <w:t>imprisonment for up to 20 years;</w:t>
      </w:r>
    </w:p>
    <w:p>
      <w:pPr>
        <w:pStyle w:val="TextBody"/>
        <w:bidi w:val="0"/>
        <w:spacing w:before="120" w:after="283"/>
        <w:jc w:val="both"/>
        <w:rPr/>
      </w:pPr>
      <w:r>
        <w:rPr>
          <w:color w:val="000000"/>
        </w:rPr>
        <w:t xml:space="preserve"> </w:t>
      </w:r>
      <w:r>
        <w:rPr>
          <w:rFonts w:ascii="Times New Roman" w:hAnsi="Times New Roman"/>
          <w:color w:val="000000"/>
          <w:sz w:val="24"/>
        </w:rPr>
        <w:t>criminal fines of up to $5 million for individuals and $25 million for entities;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color w:val="000000"/>
        </w:rPr>
        <w:t xml:space="preserve"> </w:t>
      </w:r>
      <w:r>
        <w:rPr>
          <w:rFonts w:ascii="Times New Roman" w:hAnsi="Times New Roman"/>
          <w:color w:val="000000"/>
          <w:sz w:val="24"/>
        </w:rPr>
        <w:t>civil fines of up to three times the profit gained or loss avoided;</w:t>
      </w:r>
    </w:p>
    <w:p>
      <w:pPr>
        <w:pStyle w:val="TextBody"/>
        <w:bidi w:val="0"/>
        <w:spacing w:before="120" w:after="283"/>
        <w:jc w:val="both"/>
        <w:rPr/>
      </w:pPr>
      <w:r>
        <w:rPr>
          <w:color w:val="000000"/>
        </w:rPr>
        <w:t xml:space="preserve"> </w:t>
      </w:r>
      <w:r>
        <w:rPr>
          <w:rFonts w:ascii="Times New Roman" w:hAnsi="Times New Roman"/>
          <w:color w:val="000000"/>
          <w:sz w:val="24"/>
        </w:rPr>
        <w:t>a bar against serving as an officer or director of a public company; and</w:t>
      </w:r>
    </w:p>
    <w:p>
      <w:pPr>
        <w:pStyle w:val="TextBody"/>
        <w:bidi w:val="0"/>
        <w:spacing w:before="120" w:after="283"/>
        <w:jc w:val="both"/>
        <w:rPr/>
      </w:pPr>
      <w:r>
        <w:rPr>
          <w:color w:val="000000"/>
        </w:rPr>
        <w:t xml:space="preserve"> </w:t>
      </w:r>
      <w:r>
        <w:rPr>
          <w:rFonts w:ascii="Times New Roman" w:hAnsi="Times New Roman"/>
          <w:color w:val="000000"/>
          <w:sz w:val="24"/>
        </w:rPr>
        <w:t>an injunction against future violations.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Civil and criminal penalties also apply to tipping. The SEC has imposed large penalties in tipping cases even when the disclosing person did not trade or gain any benefit from another person’s trading.</w:t>
      </w:r>
    </w:p>
    <w:p>
      <w:pPr>
        <w:pStyle w:val="TextBody"/>
        <w:bidi w:val="0"/>
        <w:spacing w:before="240" w:after="283"/>
        <w:jc w:val="both"/>
        <w:rPr>
          <w:rFonts w:ascii="Times New Roman" w:hAnsi="Times New Roman"/>
          <w:sz w:val="20"/>
        </w:rPr>
      </w:pPr>
      <w:r>
        <w:rPr>
          <w:rFonts w:ascii="Times New Roman" w:hAnsi="Times New Roman"/>
          <w:i/>
          <w:color w:val="000000"/>
          <w:sz w:val="24"/>
        </w:rPr>
        <w:t>Controlling person liability.</w:t>
      </w:r>
      <w:r>
        <w:rPr>
          <w:rFonts w:ascii="Times New Roman" w:hAnsi="Times New Roman"/>
          <w:color w:val="000000"/>
          <w:sz w:val="20"/>
        </w:rPr>
        <w:t xml:space="preserve"> </w:t>
      </w:r>
      <w:r>
        <w:rPr>
          <w:rFonts w:ascii="Times New Roman" w:hAnsi="Times New Roman"/>
          <w:color w:val="000000"/>
          <w:sz w:val="24"/>
        </w:rPr>
        <w:t>As of the effective date of this Policy, the penalty for “controlling person” liability is a civil fine of up to the greater of $1.425 million or three times the profit gained or loss avoided as a result of the insider trading violations, as well as potential criminal fines and imprisonment.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4"/>
        </w:rPr>
        <w:t>Company disciplinary actions.</w:t>
      </w:r>
      <w:r>
        <w:rPr>
          <w:rFonts w:ascii="Times New Roman" w:hAnsi="Times New Roman"/>
          <w:color w:val="000000"/>
          <w:sz w:val="20"/>
        </w:rPr>
        <w:t xml:space="preserve"> </w:t>
      </w:r>
      <w:r>
        <w:rPr>
          <w:rFonts w:ascii="Times New Roman" w:hAnsi="Times New Roman"/>
          <w:color w:val="000000"/>
          <w:sz w:val="24"/>
        </w:rPr>
        <w:t>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Compliance Officer</w:t>
      </w:r>
    </w:p>
    <w:p>
      <w:pPr>
        <w:pStyle w:val="TextBody"/>
        <w:bidi w:val="0"/>
        <w:spacing w:before="240" w:after="283"/>
        <w:jc w:val="both"/>
        <w:rPr>
          <w:rFonts w:ascii="Times New Roman" w:hAnsi="Times New Roman"/>
          <w:sz w:val="20"/>
        </w:rPr>
      </w:pPr>
      <w:r>
        <w:rPr>
          <w:rFonts w:ascii="Times New Roman" w:hAnsi="Times New Roman"/>
          <w:color w:val="000000"/>
          <w:sz w:val="24"/>
        </w:rPr>
        <w:t>Please direct any questions, requests or reports as to any of the matters discussed in this Policy to the Chief Financial Officer of the Company (the “</w:t>
      </w:r>
      <w:r>
        <w:rPr>
          <w:rFonts w:ascii="Times New Roman" w:hAnsi="Times New Roman"/>
          <w:b/>
          <w:i/>
          <w:color w:val="000000"/>
          <w:sz w:val="24"/>
        </w:rPr>
        <w:t>Compliance</w:t>
      </w:r>
      <w:r>
        <w:rPr>
          <w:rFonts w:ascii="Times New Roman" w:hAnsi="Times New Roman"/>
          <w:color w:val="000000"/>
          <w:sz w:val="20"/>
        </w:rPr>
        <w:t xml:space="preserve"> </w:t>
      </w:r>
      <w:r>
        <w:rPr>
          <w:rFonts w:ascii="Times New Roman" w:hAnsi="Times New Roman"/>
          <w:b/>
          <w:i/>
          <w:color w:val="000000"/>
          <w:sz w:val="24"/>
        </w:rPr>
        <w:t>Officer</w:t>
      </w:r>
      <w:r>
        <w:rPr>
          <w:rFonts w:ascii="Times New Roman" w:hAnsi="Times New Roman"/>
          <w:color w:val="000000"/>
          <w:sz w:val="20"/>
        </w:rPr>
        <w:t>”</w:t>
      </w:r>
      <w:r>
        <w:rPr>
          <w:rFonts w:ascii="Times New Roman" w:hAnsi="Times New Roman"/>
          <w:color w:val="000000"/>
          <w:sz w:val="24"/>
        </w:rPr>
        <w:t>). The Compliance Officer is generally responsible for the administration of this Policy. The Compliance Officer may select others to assist with the execution of his or her duties.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Reporting violations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your responsibility to help enforce this Policy. You should be alert to possible violations and promptly report violations or suspected violations of this Policy to a Compliance Officer. If your situation requires that your identity be kept secret, your anonymity will be preserved to the greatest extent reasonably possible, or otherwise permitted by law. If you wish to remain anonymous, send a letter addressed to a Compliance Officer at Seer, Inc., 3800 Bridge Parkway, Suite 102, Redwood City, California 94065, or contact the whistleblower hotline, by online web portal at https://www.whistleblowerservices.com/SEER or by phone at (877) 652-2089. If a Compliance Officer is implicated in your report, then you should report it through the whistleblower hotline. If you make an anonymous report, please provide as much detail as possible, including any evidence that you believe may be relevant to the issue.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Personal responsibility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 The rules relating to insider trading can be complex, and a violation of insider trading laws can carry severe consequences.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PERSONS AND TRANSACTIONS COVERED BY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Persons covered by this Policy</w:t>
      </w:r>
    </w:p>
    <w:p>
      <w:pPr>
        <w:pStyle w:val="TextBody"/>
        <w:bidi w:val="0"/>
        <w:spacing w:before="220" w:after="283"/>
        <w:jc w:val="both"/>
        <w:rPr>
          <w:rFonts w:ascii="Times New Roman" w:hAnsi="Times New Roman"/>
          <w:sz w:val="20"/>
        </w:rPr>
      </w:pPr>
      <w:r>
        <w:rPr>
          <w:rFonts w:ascii="Times New Roman" w:hAnsi="Times New Roman"/>
          <w:color w:val="000000"/>
          <w:sz w:val="24"/>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Types of transactions covered by this Policy</w:t>
      </w:r>
    </w:p>
    <w:p>
      <w:pPr>
        <w:pStyle w:val="TextBody"/>
        <w:bidi w:val="0"/>
        <w:spacing w:before="22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this Policy applies to </w:t>
      </w:r>
      <w:r>
        <w:rPr>
          <w:rFonts w:ascii="Times New Roman" w:hAnsi="Times New Roman"/>
          <w:i/>
          <w:color w:val="000000"/>
          <w:sz w:val="24"/>
        </w:rPr>
        <w:t>all</w:t>
      </w:r>
      <w:r>
        <w:rPr>
          <w:rFonts w:ascii="Times New Roman" w:hAnsi="Times New Roman"/>
          <w:color w:val="000000"/>
          <w:sz w:val="20"/>
        </w:rPr>
        <w:t xml:space="preserve"> </w:t>
      </w:r>
      <w:r>
        <w:rPr>
          <w:rFonts w:ascii="Times New Roman" w:hAnsi="Times New Roman"/>
          <w:color w:val="000000"/>
          <w:sz w:val="24"/>
        </w:rPr>
        <w:t xml:space="preserve">transactions </w:t>
      </w:r>
      <w:r>
        <w:rPr>
          <w:rFonts w:ascii="Times New Roman" w:hAnsi="Times New Roman"/>
          <w:i/>
          <w:color w:val="000000"/>
          <w:sz w:val="24"/>
        </w:rPr>
        <w:t>involving</w:t>
      </w:r>
      <w:r>
        <w:rPr>
          <w:rFonts w:ascii="Times New Roman" w:hAnsi="Times New Roman"/>
          <w:color w:val="000000"/>
          <w:sz w:val="20"/>
        </w:rPr>
        <w:t xml:space="preserve"> </w:t>
      </w:r>
      <w:r>
        <w:rPr>
          <w:rFonts w:ascii="Times New Roman" w:hAnsi="Times New Roman"/>
          <w:color w:val="000000"/>
          <w:sz w:val="24"/>
        </w:rPr>
        <w:t>the securities of the Company or the securities of other companies as to which you possess material nonpublic information obtained in the course of your service with the Company. This Policy therefore applies to purchases, sales and other transfers of common stock, options, restricted stock units, warrants, preferred stock, debt securities (such as debentures, bonds and notes) and other securities of the Company and such other companies, whether direct or indirect (including transactions made on your behalf by money managers), and any offer to engage in the foregoing transactions. This Policy also applies to any disposition in the form of a gift of any securities of the Company and any distribution to holders of interests in an entity if the entity is subject to this Policy. This Policy also applies to any arrangements that affect economic exposure to changes in the prices of these securities. These arrangements may include, among other things, transactions in derivative securities (such as exchange</w:t>
        <w:noBreakHyphen/>
        <w:t>traded put or call options, swaps, caps and collars), hedging and pledging transactions, short sales and certain decisions with respect to participation in benefit plans, and any offer to engage in the foregoing transactions. You should note that there are no exceptions from insider trading laws or this Policy based on the size of the transaction or the type of consideration received.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Responsibilities regarding the nonpublic information of other companies</w:t>
      </w:r>
    </w:p>
    <w:p>
      <w:pPr>
        <w:pStyle w:val="TextBody"/>
        <w:bidi w:val="0"/>
        <w:spacing w:before="220" w:after="283"/>
        <w:jc w:val="both"/>
        <w:rPr>
          <w:rFonts w:ascii="Times New Roman" w:hAnsi="Times New Roman"/>
          <w:sz w:val="20"/>
        </w:rPr>
      </w:pPr>
      <w:r>
        <w:rPr>
          <w:rFonts w:ascii="Times New Roman" w:hAnsi="Times New Roman"/>
          <w:color w:val="000000"/>
          <w:sz w:val="24"/>
        </w:rPr>
        <w:t>This Policy prohibits the unauthorized disclosure or other misuse of any nonpublic information of other companies, including but not limited to the Company’s distributors, vendors, customers, collaborators, suppliers and competitors. This Policy also prohibits insider trading and tipping based on the material nonpublic information of other companies.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Applicability of this Policy after your departure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You are expected to comply with this Policy until such time as you are no longer affiliated with the Company. Regardless of whether you are employed or affiliated with the Company, if you are aware of material nonpublic information, you will be subject to the insider trading laws and you may not trade in Seer, Inc.’s securities or in the securities from which you have obtained material nonpublic information in the course of performing services for Seer, Inc. until after that information has become public or is no longer material. There are no exceptions based on personal circumstances.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MATERIAL NONPUBLIC INFORMATION</w:t>
      </w:r>
    </w:p>
    <w:p>
      <w:pPr>
        <w:pStyle w:val="TextBody"/>
        <w:bidi w:val="0"/>
        <w:spacing w:before="240" w:after="283"/>
        <w:jc w:val="both"/>
        <w:rPr>
          <w:color w:val="000000"/>
        </w:rPr>
      </w:pPr>
      <w:r>
        <w:rPr>
          <w:color w:val="000000"/>
        </w:rPr>
        <w:t>“</w:t>
      </w:r>
      <w:r>
        <w:rPr>
          <w:rFonts w:ascii="Times New Roman" w:hAnsi="Times New Roman"/>
          <w:b/>
          <w:color w:val="000000"/>
          <w:sz w:val="24"/>
        </w:rPr>
        <w:t>Material”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not possible to define all categories of “material” information. However, some examples of information that would often be regarded as material include information with respect to:</w:t>
      </w:r>
    </w:p>
    <w:p>
      <w:pPr>
        <w:pStyle w:val="TextBody"/>
        <w:bidi w:val="0"/>
        <w:spacing w:before="120" w:after="283"/>
        <w:jc w:val="both"/>
        <w:rPr/>
      </w:pPr>
      <w:r>
        <w:rPr>
          <w:color w:val="000000"/>
        </w:rPr>
        <w:t xml:space="preserve"> </w:t>
      </w:r>
      <w:r>
        <w:rPr>
          <w:rFonts w:ascii="Times New Roman" w:hAnsi="Times New Roman"/>
          <w:color w:val="000000"/>
          <w:sz w:val="24"/>
        </w:rPr>
        <w:t>Clinical trial results;</w:t>
      </w:r>
    </w:p>
    <w:p>
      <w:pPr>
        <w:pStyle w:val="TextBody"/>
        <w:bidi w:val="0"/>
        <w:spacing w:before="120" w:after="283"/>
        <w:jc w:val="both"/>
        <w:rPr/>
      </w:pPr>
      <w:r>
        <w:rPr>
          <w:color w:val="000000"/>
        </w:rPr>
        <w:t xml:space="preserve"> </w:t>
      </w:r>
      <w:r>
        <w:rPr>
          <w:rFonts w:ascii="Times New Roman" w:hAnsi="Times New Roman"/>
          <w:color w:val="000000"/>
          <w:sz w:val="24"/>
        </w:rPr>
        <w:t>Significant developments in research and development or relating to intellectual property;</w:t>
      </w:r>
    </w:p>
    <w:p>
      <w:pPr>
        <w:pStyle w:val="TextBody"/>
        <w:bidi w:val="0"/>
        <w:spacing w:before="120" w:after="283"/>
        <w:jc w:val="both"/>
        <w:rPr/>
      </w:pPr>
      <w:r>
        <w:rPr>
          <w:color w:val="000000"/>
        </w:rPr>
        <w:t xml:space="preserve"> </w:t>
      </w:r>
      <w:r>
        <w:rPr>
          <w:rFonts w:ascii="Times New Roman" w:hAnsi="Times New Roman"/>
          <w:color w:val="000000"/>
          <w:sz w:val="24"/>
        </w:rPr>
        <w:t>Financial results, financial condition, earnings pre-announcements, guidance, projections or forecasts, particularly if inconsistent with the expectations of the investment community;</w:t>
      </w:r>
    </w:p>
    <w:p>
      <w:pPr>
        <w:pStyle w:val="TextBody"/>
        <w:bidi w:val="0"/>
        <w:spacing w:before="120" w:after="283"/>
        <w:jc w:val="both"/>
        <w:rPr/>
      </w:pPr>
      <w:r>
        <w:rPr>
          <w:color w:val="000000"/>
        </w:rPr>
        <w:t xml:space="preserve"> </w:t>
      </w:r>
      <w:r>
        <w:rPr>
          <w:rFonts w:ascii="Times New Roman" w:hAnsi="Times New Roman"/>
          <w:color w:val="000000"/>
          <w:sz w:val="24"/>
        </w:rPr>
        <w:t>Restatements of financial results, or material impairments, write-offs or restructurings;</w:t>
      </w:r>
    </w:p>
    <w:p>
      <w:pPr>
        <w:pStyle w:val="TextBody"/>
        <w:bidi w:val="0"/>
        <w:spacing w:before="120" w:after="283"/>
        <w:jc w:val="both"/>
        <w:rPr/>
      </w:pPr>
      <w:r>
        <w:rPr>
          <w:color w:val="000000"/>
        </w:rPr>
        <w:t xml:space="preserve"> </w:t>
      </w:r>
      <w:r>
        <w:rPr>
          <w:rFonts w:ascii="Times New Roman" w:hAnsi="Times New Roman"/>
          <w:color w:val="000000"/>
          <w:sz w:val="24"/>
        </w:rPr>
        <w:t>Changes in independent auditors, or notification that the Company may no longer rely on an audit report;</w:t>
      </w:r>
    </w:p>
    <w:p>
      <w:pPr>
        <w:pStyle w:val="TextBody"/>
        <w:bidi w:val="0"/>
        <w:spacing w:before="120" w:after="283"/>
        <w:jc w:val="both"/>
        <w:rPr/>
      </w:pPr>
      <w:r>
        <w:rPr>
          <w:color w:val="000000"/>
        </w:rPr>
        <w:t xml:space="preserve"> </w:t>
      </w:r>
      <w:r>
        <w:rPr>
          <w:rFonts w:ascii="Times New Roman" w:hAnsi="Times New Roman"/>
          <w:color w:val="000000"/>
          <w:sz w:val="24"/>
        </w:rPr>
        <w:t>Significant changes in business plans or budgets;</w:t>
      </w:r>
    </w:p>
    <w:p>
      <w:pPr>
        <w:pStyle w:val="TextBody"/>
        <w:bidi w:val="0"/>
        <w:spacing w:before="120" w:after="283"/>
        <w:jc w:val="both"/>
        <w:rPr/>
      </w:pPr>
      <w:r>
        <w:rPr>
          <w:color w:val="000000"/>
        </w:rPr>
        <w:t xml:space="preserve"> </w:t>
      </w:r>
      <w:r>
        <w:rPr>
          <w:rFonts w:ascii="Times New Roman" w:hAnsi="Times New Roman"/>
          <w:color w:val="000000"/>
          <w:sz w:val="24"/>
        </w:rPr>
        <w:t>Creation of significant financial obligations, or any significant default under or acceleration of any financial obligation;</w:t>
      </w:r>
    </w:p>
    <w:p>
      <w:pPr>
        <w:pStyle w:val="TextBody"/>
        <w:bidi w:val="0"/>
        <w:spacing w:before="120" w:after="283"/>
        <w:jc w:val="both"/>
        <w:rPr/>
      </w:pPr>
      <w:r>
        <w:rPr>
          <w:color w:val="000000"/>
        </w:rPr>
        <w:t xml:space="preserve"> </w:t>
      </w:r>
      <w:r>
        <w:rPr>
          <w:rFonts w:ascii="Times New Roman" w:hAnsi="Times New Roman"/>
          <w:color w:val="000000"/>
          <w:sz w:val="24"/>
        </w:rPr>
        <w:t>Impending bankruptcy or financial liquidity problems;</w:t>
      </w:r>
    </w:p>
    <w:p>
      <w:pPr>
        <w:pStyle w:val="TextBody"/>
        <w:bidi w:val="0"/>
        <w:spacing w:before="120" w:after="283"/>
        <w:jc w:val="both"/>
        <w:rPr/>
      </w:pPr>
      <w:r>
        <w:rPr>
          <w:color w:val="000000"/>
        </w:rPr>
        <w:t xml:space="preserve"> </w:t>
      </w:r>
      <w:r>
        <w:rPr>
          <w:rFonts w:ascii="Times New Roman" w:hAnsi="Times New Roman"/>
          <w:color w:val="000000"/>
          <w:sz w:val="24"/>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120" w:after="283"/>
        <w:jc w:val="both"/>
        <w:rPr/>
      </w:pPr>
      <w:r>
        <w:rPr>
          <w:color w:val="000000"/>
        </w:rPr>
        <w:t xml:space="preserve"> </w:t>
      </w:r>
      <w:r>
        <w:rPr>
          <w:rFonts w:ascii="Times New Roman" w:hAnsi="Times New Roman"/>
          <w:color w:val="000000"/>
          <w:sz w:val="24"/>
        </w:rPr>
        <w:t>Product introductions, modifications, defects or recalls or significant pricing changes or other product announcements of a significant nature;</w:t>
      </w:r>
    </w:p>
    <w:p>
      <w:pPr>
        <w:pStyle w:val="TextBody"/>
        <w:bidi w:val="0"/>
        <w:spacing w:before="120" w:after="283"/>
        <w:jc w:val="both"/>
        <w:rPr/>
      </w:pPr>
      <w:r>
        <w:rPr>
          <w:color w:val="000000"/>
        </w:rPr>
        <w:t xml:space="preserve"> </w:t>
      </w:r>
      <w:r>
        <w:rPr>
          <w:rFonts w:ascii="Times New Roman" w:hAnsi="Times New Roman"/>
          <w:color w:val="000000"/>
          <w:sz w:val="24"/>
        </w:rPr>
        <w:t>Significant legal or regulatory developments, whether actual or threatened;</w:t>
      </w:r>
    </w:p>
    <w:p>
      <w:pPr>
        <w:pStyle w:val="TextBody"/>
        <w:bidi w:val="0"/>
        <w:spacing w:before="120" w:after="283"/>
        <w:jc w:val="both"/>
        <w:rPr/>
      </w:pPr>
      <w:r>
        <w:rPr>
          <w:color w:val="000000"/>
        </w:rPr>
        <w:t xml:space="preserve"> </w:t>
      </w:r>
      <w:r>
        <w:rPr>
          <w:rFonts w:ascii="Times New Roman" w:hAnsi="Times New Roman"/>
          <w:color w:val="000000"/>
          <w:sz w:val="24"/>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120" w:after="283"/>
        <w:jc w:val="both"/>
        <w:rPr/>
      </w:pPr>
      <w:r>
        <w:rPr>
          <w:color w:val="000000"/>
        </w:rPr>
        <w:t xml:space="preserve"> </w:t>
      </w:r>
      <w:r>
        <w:rPr>
          <w:rFonts w:ascii="Times New Roman" w:hAnsi="Times New Roman"/>
          <w:color w:val="000000"/>
          <w:sz w:val="24"/>
        </w:rPr>
        <w:t>Significant corporate events, such as a pending or proposed merger, joint venture or tender offer, a significant investment, the acquisition or disposition of a significant business or asset or a change in control of the company;</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color w:val="000000"/>
          <w:sz w:val="24"/>
        </w:rPr>
        <w:t>Major personnel changes, such as changes in senior management or layoffs;</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color w:val="000000"/>
        </w:rPr>
        <w:t xml:space="preserve"> </w:t>
      </w:r>
      <w:r>
        <w:rPr>
          <w:rFonts w:ascii="Times New Roman" w:hAnsi="Times New Roman"/>
          <w:color w:val="000000"/>
          <w:sz w:val="24"/>
        </w:rPr>
        <w:t>Data breaches or other cybersecurity events;</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color w:val="000000"/>
          <w:sz w:val="24"/>
        </w:rPr>
        <w:t>Updates regarding any prior material disclosure that has materially changed; and</w:t>
      </w:r>
    </w:p>
    <w:p>
      <w:pPr>
        <w:pStyle w:val="TextBody"/>
        <w:bidi w:val="0"/>
        <w:spacing w:before="120" w:after="283"/>
        <w:jc w:val="both"/>
        <w:rPr/>
      </w:pPr>
      <w:r>
        <w:rPr>
          <w:color w:val="000000"/>
        </w:rPr>
        <w:t xml:space="preserve"> </w:t>
      </w:r>
      <w:r>
        <w:rPr>
          <w:rFonts w:ascii="Times New Roman" w:hAnsi="Times New Roman"/>
          <w:color w:val="000000"/>
          <w:sz w:val="24"/>
        </w:rPr>
        <w:t>The existence of a special blackout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pStyle w:val="TextBody"/>
        <w:bidi w:val="0"/>
        <w:spacing w:before="240" w:after="283"/>
        <w:jc w:val="both"/>
        <w:rPr>
          <w:color w:val="000000"/>
        </w:rPr>
      </w:pPr>
      <w:r>
        <w:rPr>
          <w:color w:val="000000"/>
        </w:rPr>
        <w:t>“</w:t>
      </w:r>
      <w:r>
        <w:rPr>
          <w:rFonts w:ascii="Times New Roman" w:hAnsi="Times New Roman"/>
          <w:b/>
          <w:color w:val="000000"/>
          <w:sz w:val="24"/>
        </w:rPr>
        <w:t>Nonpublic” information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Information is considered nonpublic if the information has not been broadly disseminated to the public for a sufficient period to be reflected in the price of the security. As a general rule, information should be considered nonpublic until the start of the second </w:t>
      </w:r>
      <w:r>
        <w:rPr>
          <w:rFonts w:ascii="Times New Roman" w:hAnsi="Times New Roman"/>
          <w:b/>
          <w:i/>
          <w:color w:val="000000"/>
          <w:sz w:val="24"/>
        </w:rPr>
        <w:t>full trading day</w:t>
      </w:r>
      <w:r>
        <w:rPr>
          <w:rFonts w:ascii="Times New Roman" w:hAnsi="Times New Roman"/>
          <w:color w:val="000000"/>
          <w:sz w:val="20"/>
        </w:rPr>
        <w:t xml:space="preserve"> </w:t>
      </w:r>
      <w:r>
        <w:rPr>
          <w:rFonts w:ascii="Times New Roman" w:hAnsi="Times New Roman"/>
          <w:color w:val="000000"/>
          <w:sz w:val="24"/>
        </w:rPr>
        <w:t>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a Compliance Officer.</w:t>
      </w:r>
    </w:p>
    <w:p>
      <w:pPr>
        <w:pStyle w:val="TextBody"/>
        <w:bidi w:val="0"/>
        <w:spacing w:before="240" w:after="283"/>
        <w:jc w:val="both"/>
        <w:rPr>
          <w:rFonts w:ascii="Times New Roman" w:hAnsi="Times New Roman"/>
          <w:sz w:val="20"/>
        </w:rPr>
      </w:pPr>
      <w:r>
        <w:rPr>
          <w:rFonts w:ascii="Times New Roman" w:hAnsi="Times New Roman"/>
          <w:color w:val="000000"/>
          <w:sz w:val="24"/>
        </w:rPr>
        <w:t>The term “</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national stock exchanges and the National Association of Securities Dealers, Inc. Automated Quotation System are open for trading. A “</w:t>
      </w:r>
      <w:r>
        <w:rPr>
          <w:rFonts w:ascii="Times New Roman" w:hAnsi="Times New Roman"/>
          <w:b/>
          <w:i/>
          <w:color w:val="000000"/>
          <w:sz w:val="24"/>
        </w:rPr>
        <w:t>full</w:t>
      </w:r>
      <w:r>
        <w:rPr>
          <w:rFonts w:ascii="Times New Roman" w:hAnsi="Times New Roman"/>
          <w:color w:val="000000"/>
          <w:sz w:val="20"/>
        </w:rPr>
        <w:t xml:space="preserve">” </w:t>
      </w:r>
      <w:r>
        <w:rPr>
          <w:rFonts w:ascii="Times New Roman" w:hAnsi="Times New Roman"/>
          <w:color w:val="000000"/>
          <w:sz w:val="24"/>
        </w:rPr>
        <w:t>trading day has elapsed when, after the public disclosure, trading in the relevant security has opened and then closed.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POLICIES REGARDING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Confidentiality of nonpublic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pStyle w:val="TextBody"/>
        <w:bidi w:val="0"/>
        <w:spacing w:before="240" w:after="283"/>
        <w:jc w:val="both"/>
        <w:rPr>
          <w:rFonts w:ascii="Times New Roman" w:hAnsi="Times New Roman"/>
          <w:sz w:val="20"/>
        </w:rPr>
      </w:pPr>
      <w:r>
        <w:rPr>
          <w:rFonts w:ascii="Times New Roman" w:hAnsi="Times New Roman"/>
          <w:color w:val="000000"/>
          <w:sz w:val="24"/>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into an appropriate nondisclosure agreement that restricts the disclosure and use of the information, if applicable). This restriction also applies to internal communications within the Company and to communications with consultants, contractors and advisors of the Company. In cases where disclosing nonpublic information to third parties is required, you should coordinate with a Compliance Officer.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directors, officers, employees, consultants, contractors and advisors of the Company are required to sign and comply with an At Will Employment, Confidential Information, Invention Assignment, and Arbitration Agreement, or in the case of consultants, contractors and advisors, an agreement that has substantially similar terms.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trading on 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you may not, directly or indirectly through others, engage in any transaction involving the Company’s securities </w:t>
      </w:r>
      <w:r>
        <w:rPr>
          <w:rFonts w:ascii="Times New Roman" w:hAnsi="Times New Roman"/>
          <w:i/>
          <w:color w:val="000000"/>
          <w:sz w:val="24"/>
        </w:rPr>
        <w:t>while aware of</w:t>
      </w:r>
      <w:r>
        <w:rPr>
          <w:rFonts w:ascii="Times New Roman" w:hAnsi="Times New Roman"/>
          <w:color w:val="000000"/>
          <w:sz w:val="20"/>
        </w:rPr>
        <w:t xml:space="preserve"> </w:t>
      </w:r>
      <w:r>
        <w:rPr>
          <w:rFonts w:ascii="Times New Roman" w:hAnsi="Times New Roman"/>
          <w:color w:val="000000"/>
          <w:sz w:val="24"/>
        </w:rPr>
        <w:t>material nonpublic information relating to the Company. It is not an excuse that you did not “use” the information in your transaction.</w:t>
      </w:r>
    </w:p>
    <w:p>
      <w:pPr>
        <w:pStyle w:val="TextBody"/>
        <w:bidi w:val="0"/>
        <w:spacing w:before="240" w:after="283"/>
        <w:jc w:val="both"/>
        <w:rPr>
          <w:rFonts w:ascii="Times New Roman" w:hAnsi="Times New Roman"/>
          <w:sz w:val="20"/>
        </w:rPr>
      </w:pPr>
      <w:r>
        <w:rPr>
          <w:rFonts w:ascii="Times New Roman" w:hAnsi="Times New Roman"/>
          <w:color w:val="000000"/>
          <w:sz w:val="24"/>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disclosing material nonpublic information for the benefit of others</w:t>
      </w:r>
    </w:p>
    <w:p>
      <w:pPr>
        <w:pStyle w:val="TextBody"/>
        <w:bidi w:val="0"/>
        <w:spacing w:before="240" w:after="283"/>
        <w:jc w:val="both"/>
        <w:rPr>
          <w:rFonts w:ascii="Times New Roman" w:hAnsi="Times New Roman"/>
          <w:sz w:val="20"/>
        </w:rPr>
      </w:pPr>
      <w:r>
        <w:rPr>
          <w:rFonts w:ascii="Times New Roman" w:hAnsi="Times New Roman"/>
          <w:color w:val="000000"/>
          <w:sz w:val="24"/>
        </w:rPr>
        <w:t>You may not disclose material nonpublic information concerning the Company or any other company to friends, family members or any other person or entity not authorized to receive such</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Obligation to disclose material nonpublic information to the Company</w:t>
      </w:r>
    </w:p>
    <w:p>
      <w:pPr>
        <w:pStyle w:val="TextBody"/>
        <w:bidi w:val="0"/>
        <w:spacing w:before="240" w:after="283"/>
        <w:jc w:val="both"/>
        <w:rPr>
          <w:rFonts w:ascii="Times New Roman" w:hAnsi="Times New Roman"/>
          <w:sz w:val="20"/>
        </w:rPr>
      </w:pPr>
      <w:r>
        <w:rPr>
          <w:rFonts w:ascii="Times New Roman" w:hAnsi="Times New Roman"/>
          <w:color w:val="000000"/>
          <w:sz w:val="24"/>
        </w:rPr>
        <w:t>You may not enter into any transaction, including those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unless you have disclosed any material nonpublic information that you become aware of in the course of your service with the Company, and that senior management is not aware of, to a Compliance Officer. If you are a member of senior management, the information must be disclosed to the Chief Executive Officer, and if you are the Chief Executive Officer or a director, you must disclose the information to the Company’s Board of Directors before any transaction is permissible.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Responding to outside inquiries for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you receive an inquiry from someone outside of the Company, such as a stock analyst, for information, you should refer the inquiry to the Chief Financial Officer or the Company’s Head of Investor Relations, if any.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TRADING BLACKOUT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Company’s 401(k)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important to note that whether or not you are subject to blackout periods, you remain subject to the prohibitions on trading on the basis of material nonpublic information and any other applicable restrictions in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Quarterly blackout periods</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directors, executive officers and those employees, consultants, contractors and advisors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Quarterly blackout periods begin at 4 p.m. EST on the fourteenth calendar day of the third month of each fiscal quarter and end at the start of the second full trading day following the date of public disclosure of the financial results for the previous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before="240" w:after="283"/>
        <w:jc w:val="both"/>
        <w:rPr>
          <w:rFonts w:ascii="Times New Roman" w:hAnsi="Times New Roman"/>
          <w:sz w:val="20"/>
        </w:rPr>
      </w:pPr>
      <w:r>
        <w:rPr>
          <w:rFonts w:ascii="Times New Roman" w:hAnsi="Times New Roman"/>
          <w:color w:val="000000"/>
          <w:sz w:val="24"/>
        </w:rPr>
        <w:t>Individuals subject to quarterly blackout periods will be informed by a Compliance Officer that they are listed on the covered persons list maintained by the Compliance Officer (the “</w:t>
      </w:r>
      <w:r>
        <w:rPr>
          <w:rFonts w:ascii="Times New Roman" w:hAnsi="Times New Roman"/>
          <w:b/>
          <w:color w:val="000000"/>
          <w:sz w:val="24"/>
        </w:rPr>
        <w:t>Covered Persons List</w:t>
      </w:r>
      <w:r>
        <w:rPr>
          <w:rFonts w:ascii="Times New Roman" w:hAnsi="Times New Roman"/>
          <w:color w:val="000000"/>
          <w:sz w:val="20"/>
        </w:rPr>
        <w:t>”</w:t>
      </w:r>
      <w:r>
        <w:rPr>
          <w:rFonts w:ascii="Times New Roman" w:hAnsi="Times New Roman"/>
          <w:color w:val="000000"/>
          <w:sz w:val="24"/>
        </w:rPr>
        <w:t>). From time to time, the Company may revise the Covered Persons List.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Special blackout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From time to time, the Company may also prohibit directors, officers, employees, consultants, contractors and advisors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material clinical data results or a significant transaction or business development. However, special blackout periods may be declared for any reason.</w:t>
      </w:r>
    </w:p>
    <w:p>
      <w:pPr>
        <w:pStyle w:val="TextBody"/>
        <w:bidi w:val="0"/>
        <w:spacing w:before="240" w:after="283"/>
        <w:jc w:val="both"/>
        <w:rPr>
          <w:rFonts w:ascii="Times New Roman" w:hAnsi="Times New Roman"/>
          <w:sz w:val="20"/>
        </w:rPr>
      </w:pPr>
      <w:r>
        <w:rPr>
          <w:rFonts w:ascii="Times New Roman" w:hAnsi="Times New Roman"/>
          <w:color w:val="000000"/>
          <w:sz w:val="24"/>
        </w:rPr>
        <w:t>The Company will notify those persons subject to a special blackout period. Each person who has been so identified and notified by the Company may not engage in any transaction involving the Company’s securities until instructed otherwise by a Compliance Officer, and should not disclose to others the fact of such suspension of trading.</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Regulation BTR blackouts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“safe harbors”</w:t>
      </w:r>
    </w:p>
    <w:p>
      <w:pPr>
        <w:pStyle w:val="TextBody"/>
        <w:bidi w:val="0"/>
        <w:spacing w:before="240" w:after="283"/>
        <w:jc w:val="both"/>
        <w:rPr>
          <w:rFonts w:ascii="Times New Roman" w:hAnsi="Times New Roman"/>
          <w:sz w:val="20"/>
        </w:rPr>
      </w:pPr>
      <w:r>
        <w:rPr>
          <w:rFonts w:ascii="Times New Roman" w:hAnsi="Times New Roman"/>
          <w:color w:val="000000"/>
          <w:sz w:val="24"/>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PRE-CLEARANCE OF TRADES</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directors, executive officers and any other persons identified on the Covered Persons List of this Policy as being subject to pre-clearance requirements must obtain pre-clearance prior to engaging in any transaction involving the Company’s securities. This is done by submitting a pre-clearance request on the form provided by a Compliance Officer to a Compliance Officer and obtaining the required signature from a Compliance Officer prior to the desired transaction date. The Compliance Officer should use the Pre-Clearance Checklist (see </w:t>
      </w:r>
      <w:r>
        <w:rPr>
          <w:rFonts w:ascii="Times New Roman" w:hAnsi="Times New Roman"/>
          <w:b/>
          <w:color w:val="000000"/>
          <w:sz w:val="24"/>
        </w:rPr>
        <w:t>Schedule I</w:t>
      </w:r>
      <w:r>
        <w:rPr>
          <w:rFonts w:ascii="Times New Roman" w:hAnsi="Times New Roman"/>
          <w:color w:val="000000"/>
          <w:sz w:val="24"/>
        </w:rPr>
        <w:t>) before signing a pre-clearance request. A Compliance Officer may not engage in a transaction involving the Company’s securities unless the Chief Executive Officer has pre</w:t>
        <w:noBreakHyphen/>
        <w:t>cleared the transaction or, in the case the Compliance Officer engaging in the transaction is the Chief Executive Officer, another Compliance Officer has pre-cleared the transaction. All trades must be executed within three trading days of any pre-clearance.</w:t>
      </w:r>
    </w:p>
    <w:p>
      <w:pPr>
        <w:pStyle w:val="TextBody"/>
        <w:bidi w:val="0"/>
        <w:spacing w:before="240" w:after="283"/>
        <w:jc w:val="both"/>
        <w:rPr>
          <w:rFonts w:ascii="Times New Roman" w:hAnsi="Times New Roman"/>
          <w:sz w:val="20"/>
        </w:rPr>
      </w:pPr>
      <w:r>
        <w:rPr>
          <w:rFonts w:ascii="Times New Roman" w:hAnsi="Times New Roman"/>
          <w:color w:val="000000"/>
          <w:sz w:val="24"/>
        </w:rPr>
        <w:t>These pre-clearance procedures are intended to decrease insider trading risks associated with transactions by individuals with regular or special access to material nonpublic information. In addition, requiring pre</w:t>
      </w:r>
      <w:r>
        <w:rPr>
          <w:rFonts w:ascii="Times New Roman" w:hAnsi="Times New Roman"/>
          <w:color w:val="000000"/>
          <w:sz w:val="20"/>
        </w:rPr>
        <w:noBreakHyphen/>
      </w:r>
      <w:r>
        <w:rPr>
          <w:rFonts w:ascii="Times New Roman" w:hAnsi="Times New Roman"/>
          <w:color w:val="000000"/>
          <w:sz w:val="24"/>
        </w:rPr>
        <w:t>clearance of transactions by directors and officers facilitates compliance with Rule 144 resale restrictions under the Securities Act of 1933, as amended, the liability and reporting provisions of Section 16 under the Securities Exchange Act of 1934, as amended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and Regulation BTR. Pre-clearance of a trade, however, is not a defense to a claim of insider trading and does not excuse you from otherwise complying with insider trading laws or this Policy.</w:t>
      </w:r>
    </w:p>
    <w:p>
      <w:pPr>
        <w:pStyle w:val="TextBody"/>
        <w:bidi w:val="0"/>
        <w:spacing w:before="240" w:after="283"/>
        <w:jc w:val="both"/>
        <w:rPr>
          <w:rFonts w:ascii="Times New Roman" w:hAnsi="Times New Roman"/>
          <w:sz w:val="20"/>
        </w:rPr>
      </w:pPr>
      <w:r>
        <w:rPr>
          <w:rFonts w:ascii="Times New Roman" w:hAnsi="Times New Roman"/>
          <w:color w:val="000000"/>
          <w:sz w:val="24"/>
        </w:rPr>
        <w:t>A Compliance Officer is under no obligation to approve a transaction submitted for pre</w:t>
        <w:noBreakHyphen/>
        <w:t>clearance, and may determine not to permit the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From time to time, the Company may identify other persons who should be subject to the pre-clearance requirements set forth above, and a Compliance Officer may update and revise the Covered Persons List as appropriate.</w:t>
      </w:r>
    </w:p>
    <w:p>
      <w:pPr>
        <w:pStyle w:val="TextBody"/>
        <w:bidi w:val="0"/>
        <w:spacing w:before="240" w:after="283"/>
        <w:jc w:val="both"/>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ADDITIONAL RESTRICTIONS AND GUIDANCE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Short sales</w:t>
      </w:r>
    </w:p>
    <w:p>
      <w:pPr>
        <w:pStyle w:val="TextBody"/>
        <w:bidi w:val="0"/>
        <w:spacing w:before="240" w:after="283"/>
        <w:jc w:val="both"/>
        <w:rPr>
          <w:rFonts w:ascii="Times New Roman" w:hAnsi="Times New Roman"/>
          <w:sz w:val="20"/>
        </w:rPr>
      </w:pPr>
      <w:r>
        <w:rPr>
          <w:rFonts w:ascii="Times New Roman" w:hAnsi="Times New Roman"/>
          <w:color w:val="000000"/>
          <w:sz w:val="24"/>
        </w:rPr>
        <w:t>Short sales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the sale of a security that must be borrowed to make delivery) and “selling short against the box”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Derivative securities and hedging transactions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also subject to this prohibition;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as described in the “</w:t>
      </w:r>
      <w:r>
        <w:rPr>
          <w:rFonts w:ascii="Times New Roman" w:hAnsi="Times New Roman"/>
          <w:b/>
          <w:color w:val="000000"/>
          <w:sz w:val="24"/>
        </w:rPr>
        <w:t>Limited Exceptions</w:t>
      </w:r>
      <w:r>
        <w:rPr>
          <w:rFonts w:ascii="Times New Roman" w:hAnsi="Times New Roman"/>
          <w:color w:val="000000"/>
          <w:sz w:val="20"/>
        </w:rPr>
        <w:t xml:space="preserve">” </w:t>
      </w:r>
      <w:r>
        <w:rPr>
          <w:rFonts w:ascii="Times New Roman" w:hAnsi="Times New Roman"/>
          <w:color w:val="000000"/>
          <w:sz w:val="24"/>
        </w:rPr>
        <w:t>section of this Policy, you are not prohibited from exercising any stock options issued under any of the Company’s benefit plans or other compensatory arrangements in accordance with the terms of such plans or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Transactions in derivative securities may reflect a short</w:t>
      </w:r>
      <w:r>
        <w:rPr>
          <w:rFonts w:ascii="Times New Roman" w:hAnsi="Times New Roman"/>
          <w:color w:val="000000"/>
          <w:sz w:val="20"/>
        </w:rPr>
        <w:noBreakHyphen/>
      </w:r>
      <w:r>
        <w:rPr>
          <w:rFonts w:ascii="Times New Roman" w:hAnsi="Times New Roman"/>
          <w:color w:val="000000"/>
          <w:sz w:val="24"/>
        </w:rPr>
        <w:t>term and speculative interest in the Company’s securities and may create the appearance of impropriety, even where a transaction does not involve trading on inside information. Trading in derivatives may also focus attention on short</w:t>
        <w:noBreakHyphen/>
        <w:t>term performance at the expense of the Company’s long</w:t>
        <w:noBreakHyphen/>
        <w:t xml:space="preserve">term objectives. In addition, the application of securities laws to derivatives transactions can be complex, and persons engaging in derivatives transactions may subject themselves to an increased risk of violating securities laws. “Guidelines for Preparing Trading Plans” are set forth in </w:t>
      </w:r>
      <w:r>
        <w:rPr>
          <w:rFonts w:ascii="Times New Roman" w:hAnsi="Times New Roman"/>
          <w:b/>
          <w:color w:val="000000"/>
          <w:sz w:val="24"/>
        </w:rPr>
        <w:t>Schedule III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Using Company securities as collateral for loans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Regulation BTR violations (for officers and directors), violations of this Policy and unfavorable publicity for you and the Company.</w:t>
      </w:r>
    </w:p>
    <w:p>
      <w:pPr>
        <w:pStyle w:val="TextBody"/>
        <w:bidi w:val="0"/>
        <w:jc w:val="left"/>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Holding Company securities in margin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Regulation BTR violations (for officers and directors), violations of this Policy and unfavorable publicity for you and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Placing open orders with brokers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in accordance with an approved trading plan (as discussed below), you should exercise caution when placing open orders, such as limit orders or stop orders, with brokers, particularly where the order is likely to remain outstanding for an extended period of time. If you are subject to the blackout window, open orders should be canceled prior to entering a blackout window, as this may result in the execution of a trade at a time when you are aware of material nonpublic information or otherwise are not permitted to trade in Company securities, which may result in inadvertent insider trading violations, Section 16 and Regulation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LIMITED EXCEPTIONS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Transactions pursuant to a trading plan that complies with SEC rules</w:t>
      </w:r>
    </w:p>
    <w:p>
      <w:pPr>
        <w:pStyle w:val="TextBody"/>
        <w:bidi w:val="0"/>
        <w:spacing w:before="240" w:after="283"/>
        <w:jc w:val="both"/>
        <w:rPr>
          <w:rFonts w:ascii="Times New Roman" w:hAnsi="Times New Roman"/>
          <w:sz w:val="20"/>
        </w:rPr>
      </w:pPr>
      <w:r>
        <w:rPr>
          <w:rFonts w:ascii="Times New Roman" w:hAnsi="Times New Roman"/>
          <w:color w:val="000000"/>
          <w:sz w:val="24"/>
        </w:rPr>
        <w:t>The SEC has enacted rules that provide an affirmative defense against alleged violations of U.S. federal insider trading laws for transactions pursuant to trading plans that meet certain requirements. In general, these rules, as set forth in Rule 10b5</w:t>
        <w:noBreakHyphen/>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Transactions made pursuant to a written trading plan that (i) complies with the affirmative defense set forth in Rule 10b5</w:t>
        <w:noBreakHyphen/>
        <w:t xml:space="preserve">1, (ii) complies with the “Requirements for Trading Plans” set forth in </w:t>
      </w:r>
      <w:r>
        <w:rPr>
          <w:rFonts w:ascii="Times New Roman" w:hAnsi="Times New Roman"/>
          <w:b/>
          <w:color w:val="000000"/>
          <w:sz w:val="24"/>
        </w:rPr>
        <w:t xml:space="preserve">Schedule II </w:t>
      </w:r>
      <w:r>
        <w:rPr>
          <w:rFonts w:ascii="Times New Roman" w:hAnsi="Times New Roman"/>
          <w:color w:val="000000"/>
          <w:sz w:val="24"/>
        </w:rPr>
        <w:t>and (iii) is approved by a Compliance Officer, are not subject to the restrictions in this Policy against trades made while aware of material nonpublic information or to the pre</w:t>
        <w:noBreakHyphen/>
        <w:t>clearance procedures or blackout periods established under this Policy. If the Compliance Officer is the requester, then the Company’s Chief Executive Officer or General Counsel must approve the written 10b5-1 trading plan. In approving a trading plan, a Compliance Officer may, in furtherance of the objectives expressed in this Policy, impose criteria in addition to those set forth in Rule 10b5</w:t>
        <w:noBreakHyphen/>
        <w:t>1. You should therefore confer with a Compliance Officer prior to entering into any trading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w:t>
        <w:noBreakHyphen/>
        <w:t>1 and ensuring that the trading plan complies with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Trading plans must be filed with a Compliance Officer and must be accompanied with an executed certificate stating that the trading plan complies with Rule 10b5</w:t>
        <w:noBreakHyphen/>
        <w:t>1 and any other criteria established by the Company. The Company may publicly disclose information regarding trading plans that you may enter.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Receipt and vesting of stock options, restricted stock units, restricted stock and stock appreciation rights</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under this Policy do not apply to the acceptance or purchase of stock options, restricted stock units, restricted stock, stock appreciation rights or other equity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compensation awards issued or offered by the Company. The trading restrictions under this Policy also do not apply to the vesting, cancellation or forfeiture of stock options, restricted stock units, restricted stock, stock appreciation rights or other equity compensation awards from the Company in accordance with applicable plans and agreements; however, this exception does not apply to any market activity associated with such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Exercise of stock options for cash and tax withholding requirements</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under this Policy do not apply to the exercise of stock options for cash under the Company’s stock option plans. However, the trading restrictions under this Policy do apply to market activity associated with the exercise of stock options under the Company’s stock option plans, such as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under this Policy do not apply to net share withholding with respect to equity awards where shares are withheld and sold by the Company in order to satisfy tax withholding requirements, if (x) permitted by the Company’s Board of Directors or the Company’s Talent and Compensation Committee (the “</w:t>
      </w:r>
      <w:r>
        <w:rPr>
          <w:rFonts w:ascii="Times New Roman" w:hAnsi="Times New Roman"/>
          <w:b/>
          <w:color w:val="000000"/>
          <w:sz w:val="24"/>
        </w:rPr>
        <w:t>TCC</w:t>
      </w:r>
      <w:r>
        <w:rPr>
          <w:rFonts w:ascii="Times New Roman" w:hAnsi="Times New Roman"/>
          <w:color w:val="000000"/>
          <w:sz w:val="20"/>
        </w:rPr>
        <w:t>”</w:t>
      </w:r>
      <w:r>
        <w:rPr>
          <w:rFonts w:ascii="Times New Roman" w:hAnsi="Times New Roman"/>
          <w:color w:val="000000"/>
          <w:sz w:val="24"/>
        </w:rPr>
        <w:t>) and the award agreement governing such equity award and (y) so long as the individual makes the election in writing at a time when a trading blackout is not in place and the individual is not in possession of material nonpublic information. Likewise, the trading restrictions under this Policy do not apply to sell to cover transactions where shares are sold on an individual’s behalf upon vesting of equity awards sold in order to satisfy tax withholding requirements, if (x) permitted by the Company’s Board of Directors or the TCC and the award agreement governing such equity award and (y) so long as the individual makes the election in writing at a time when a trading blackout is not in place and the individual is not in possession of material nonpublic information; however, this exception does not apply to any other sale of such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Purchases from the employee stock purchase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Stock splits, stock dividends and similar transactions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Estate planning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trading restrictions under this Policy do not apply to transfers by will or the laws of descent or distribution and, provided that prior written notice is provided to a Compliance Officer, distributions or transfers (such as certain tax planning or estate planning transfers) that effect only a change in the form of beneficial interest without changing your pecuniary interest in the Company’s securities.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Other exceptions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other exception from this Policy must be approved by a Compliance Officer, in consultation with the Company’s Board of Directors or an independent committee of the Board of Directors.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COMPLIANCE WITH SECTION 16 OF THE SECURITIES EXCHANGE ACT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Obligations under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the Company’s officers and directors and certain other individuals are required to comply with Section 16 of the Securities Exchange Act of 1934, and the related rules and regulations, which set forth (i) reporting obligations, (ii) limitations on “short</w:t>
        <w:noBreakHyphen/>
        <w:t>swing” transactions, which are certain matching purchases and sales of the Company’s securities within a six-month period, and (iii) limitations on short sales. The Company has provided, or will provide, memoranda and other materials addressing these matters.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Notification requirements to facilitate Section 16 reporting</w:t>
      </w:r>
    </w:p>
    <w:p>
      <w:pPr>
        <w:pStyle w:val="TextBody"/>
        <w:bidi w:val="0"/>
        <w:spacing w:before="240" w:after="283"/>
        <w:jc w:val="both"/>
        <w:rPr>
          <w:rFonts w:ascii="Times New Roman" w:hAnsi="Times New Roman"/>
          <w:sz w:val="20"/>
        </w:rPr>
      </w:pPr>
      <w:r>
        <w:rPr>
          <w:rFonts w:ascii="Times New Roman" w:hAnsi="Times New Roman"/>
          <w:color w:val="000000"/>
          <w:sz w:val="24"/>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 xml:space="preserve">trade date, number of shares, exact price, </w:t>
      </w:r>
      <w:r>
        <w:rPr>
          <w:rFonts w:ascii="Times New Roman" w:hAnsi="Times New Roman"/>
          <w:i/>
          <w:color w:val="000000"/>
          <w:sz w:val="24"/>
        </w:rPr>
        <w:t>etc.</w:t>
      </w:r>
      <w:r>
        <w:rPr>
          <w:rFonts w:ascii="Times New Roman" w:hAnsi="Times New Roman"/>
          <w:color w:val="000000"/>
          <w:sz w:val="24"/>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Personal responsibility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obligation to file Section 16 reports, and to otherwise comply with Section 16, is personal. The Company is not responsible for the failure to comply with Section 16 requirements.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rPr>
        <w:t>ADDITIONAL</w:t>
      </w:r>
      <w:r>
        <w:rPr>
          <w:rFonts w:ascii="Times New Roman" w:hAnsi="Times New Roman"/>
          <w:caps/>
          <w:color w:val="000000"/>
          <w:sz w:val="20"/>
        </w:rPr>
        <w:t xml:space="preserve"> </w:t>
      </w:r>
      <w:r>
        <w:rPr>
          <w:rFonts w:ascii="Times New Roman" w:hAnsi="Times New Roman"/>
          <w:b/>
          <w:caps/>
          <w:color w:val="000000"/>
          <w:sz w:val="24"/>
        </w:rPr>
        <w:t>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Delivery of Policy</w:t>
      </w:r>
    </w:p>
    <w:p>
      <w:pPr>
        <w:pStyle w:val="TextBody"/>
        <w:bidi w:val="0"/>
        <w:spacing w:before="240" w:after="283"/>
        <w:jc w:val="both"/>
        <w:rPr>
          <w:rFonts w:ascii="Times New Roman" w:hAnsi="Times New Roman"/>
          <w:sz w:val="20"/>
        </w:rPr>
      </w:pPr>
      <w:r>
        <w:rPr>
          <w:rFonts w:ascii="Times New Roman" w:hAnsi="Times New Roman"/>
          <w:color w:val="000000"/>
          <w:sz w:val="24"/>
        </w:rPr>
        <w:t>This Policy will be delivered to all directors, officers, employees, consultants, contractors and advisors of the Company when they commence service with the Company. In addition, this Policy (or a summary of this Policy) will be circulated periodically. Each director, officer, employee, consultant, contractor and advisor of the Company is required to acknowledge that he or she understands, and agrees to comply with, this Policy.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Amendments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are committed to continuously reviewing and updating our policies and procedures. The Company therefore reserves the right to amend, alter or terminate this Policy at any time and for any reason, subject to applicable law. Unless otherwise permitted by this Policy, any amendments must be approved by the Company’s Board of Directors.</w:t>
      </w:r>
    </w:p>
    <w:p>
      <w:pPr>
        <w:pStyle w:val="TextBody"/>
        <w:bidi w:val="0"/>
        <w:spacing w:before="240" w:after="60"/>
        <w:jc w:val="both"/>
        <w:rPr>
          <w:rFonts w:ascii="Times New Roman" w:hAnsi="Times New Roman"/>
          <w:b/>
          <w:color w:val="000000"/>
          <w:sz w:val="24"/>
        </w:rPr>
      </w:pPr>
      <w:r>
        <w:rPr>
          <w:rFonts w:ascii="Times New Roman" w:hAnsi="Times New Roman"/>
          <w:b/>
          <w:color w:val="000000"/>
          <w:sz w:val="24"/>
        </w:rPr>
        <w:t>Current Version of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the Company’s current policies regarding insider trading may be obtained by contacting a Compliance Officer.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policies in this Insider Trading Policy do not constitute a complete list of Company policies or a complete list of the types of conduct that can result in discipline, up to and including discharge.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jc w:val="center"/>
        <w:rPr/>
      </w:pPr>
      <w:r>
        <w:rPr/>
        <w:t> </w:t>
      </w:r>
    </w:p>
    <w:p>
      <w:pPr>
        <w:pStyle w:val="TextBody"/>
        <w:bidi w:val="0"/>
        <w:jc w:val="center"/>
        <w:rPr>
          <w:rFonts w:ascii="Times New Roman" w:hAnsi="Times New Roman"/>
          <w:b/>
          <w:caps/>
          <w:color w:val="000000"/>
          <w:sz w:val="24"/>
          <w:u w:val="single"/>
        </w:rPr>
      </w:pPr>
      <w:r>
        <w:rPr>
          <w:rFonts w:ascii="Times New Roman" w:hAnsi="Times New Roman"/>
          <w:b/>
          <w:caps/>
          <w:color w:val="000000"/>
          <w:sz w:val="24"/>
          <w:u w:val="single"/>
        </w:rPr>
        <w:t>Seer, INC.</w:t>
      </w:r>
    </w:p>
    <w:p>
      <w:pPr>
        <w:pStyle w:val="TextBody"/>
        <w:bidi w:val="0"/>
        <w:spacing w:before="240" w:after="360"/>
        <w:jc w:val="center"/>
        <w:rPr>
          <w:rFonts w:ascii="Times New Roman" w:hAnsi="Times New Roman"/>
          <w:b/>
          <w:color w:val="000000"/>
          <w:sz w:val="24"/>
          <w:u w:val="single"/>
        </w:rPr>
      </w:pPr>
      <w:r>
        <w:rPr>
          <w:rFonts w:ascii="Times New Roman" w:hAnsi="Times New Roman"/>
          <w:b/>
          <w:color w:val="000000"/>
          <w:sz w:val="24"/>
          <w:u w:val="single"/>
        </w:rPr>
        <w:t>INSIDER TRADING POLICY — PRE</w:t>
        <w:noBreakHyphen/>
        <w:t>CLEARANCE CHECKLIST</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No blackout period.</w:t>
      </w:r>
      <w:r>
        <w:rPr>
          <w:rFonts w:ascii="Times New Roman" w:hAnsi="Times New Roman"/>
          <w:color w:val="000000"/>
          <w:sz w:val="20"/>
        </w:rPr>
        <w:t xml:space="preserve"> </w:t>
      </w:r>
      <w:r>
        <w:rPr>
          <w:rFonts w:ascii="Times New Roman" w:hAnsi="Times New Roman"/>
          <w:color w:val="000000"/>
          <w:sz w:val="24"/>
        </w:rPr>
        <w:t>The proposed trade will not be made during a quarterly or special blackout period.</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No pension fund blackout under Regulation BTR.*</w:t>
      </w:r>
      <w:r>
        <w:rPr>
          <w:rFonts w:ascii="Times New Roman" w:hAnsi="Times New Roman"/>
          <w:color w:val="000000"/>
          <w:sz w:val="20"/>
        </w:rPr>
        <w:t xml:space="preserve"> </w:t>
      </w:r>
      <w:r>
        <w:rPr>
          <w:rFonts w:ascii="Times New Roman" w:hAnsi="Times New Roman"/>
          <w:color w:val="000000"/>
          <w:sz w:val="24"/>
        </w:rPr>
        <w:t>There is no pension fund blackout period in effect.</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No prohibition under Insider Trading Policy.</w:t>
      </w:r>
      <w:r>
        <w:rPr>
          <w:rFonts w:ascii="Times New Roman" w:hAnsi="Times New Roman"/>
          <w:color w:val="000000"/>
          <w:sz w:val="20"/>
        </w:rPr>
        <w:t xml:space="preserve"> </w:t>
      </w:r>
      <w:r>
        <w:rPr>
          <w:rFonts w:ascii="Times New Roman" w:hAnsi="Times New Roman"/>
          <w:color w:val="000000"/>
          <w:sz w:val="24"/>
        </w:rPr>
        <w:t>The person confirmed that the proposed transaction is not prohibited under the Insider Trading Policy.</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Section 16 compliance.*</w:t>
      </w:r>
      <w:r>
        <w:rPr>
          <w:rFonts w:ascii="Times New Roman" w:hAnsi="Times New Roman"/>
          <w:color w:val="000000"/>
          <w:sz w:val="20"/>
        </w:rPr>
        <w:t xml:space="preserve"> </w:t>
      </w:r>
      <w:r>
        <w:rPr>
          <w:rFonts w:ascii="Times New Roman" w:hAnsi="Times New Roman"/>
          <w:color w:val="000000"/>
          <w:sz w:val="24"/>
        </w:rPr>
        <w:t>The person confirmed that the proposed trade will not give rise to any potential liability under Section 16 as a result of matched past (or intended future)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Form 4 filing.*</w:t>
      </w:r>
      <w:r>
        <w:rPr>
          <w:rFonts w:ascii="Times New Roman" w:hAnsi="Times New Roman"/>
          <w:color w:val="000000"/>
          <w:sz w:val="20"/>
        </w:rPr>
        <w:t xml:space="preserve"> </w:t>
      </w:r>
      <w:r>
        <w:rPr>
          <w:rFonts w:ascii="Times New Roman" w:hAnsi="Times New Roman"/>
          <w:color w:val="000000"/>
          <w:sz w:val="24"/>
        </w:rPr>
        <w:t>A Form 4 has been or will be completed and will be timely filed with the SEC, if applicable.</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Rule 144 compliance.</w:t>
      </w:r>
    </w:p>
    <w:p>
      <w:pPr>
        <w:pStyle w:val="TextBody"/>
        <w:bidi w:val="0"/>
        <w:spacing w:before="120" w:after="283"/>
        <w:jc w:val="both"/>
        <w:rPr>
          <w:rFonts w:ascii="Times New Roman" w:hAnsi="Times New Roman"/>
          <w:sz w:val="20"/>
        </w:rPr>
      </w:pPr>
      <w:r>
        <w:rPr>
          <w:rFonts w:ascii="Times New Roman" w:hAnsi="Times New Roman"/>
          <w:color w:val="000000"/>
          <w:sz w:val="24"/>
        </w:rPr>
        <w:t>FORMCHECKBOX The “current public information” requirement has been met (</w:t>
      </w:r>
      <w:r>
        <w:rPr>
          <w:rFonts w:ascii="Times New Roman" w:hAnsi="Times New Roman"/>
          <w:i/>
          <w:color w:val="000000"/>
          <w:sz w:val="24"/>
        </w:rPr>
        <w:t>i.e.</w:t>
      </w:r>
      <w:r>
        <w:rPr>
          <w:rFonts w:ascii="Times New Roman" w:hAnsi="Times New Roman"/>
          <w:color w:val="000000"/>
          <w:sz w:val="24"/>
        </w:rPr>
        <w:t>, all 10</w:t>
        <w:noBreakHyphen/>
        <w:t>Ks, 10</w:t>
        <w:noBreakHyphen/>
        <w:t>Qs and other relevant reports during the last 12 months have been filed);</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FORMCHECKBOX The shares that the person proposes to trade are not restricted or, if restricted, the applicable holding period has been met;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FORMCHECKBOX Volume limitations (greater of 1% of outstanding securities of the same class or the average weekly trading volume during the last four weeks) are not exceeded, and the person is not part of an aggregated group;</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FORMCHECKBOX The manner of sale requirements will be met (a “broker’s transaction” or directly with a market maker or a “riskless principal transaction”); and</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FORMCHECKBOX A Form 144 has been completed and will be timely filed with the SEC.</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FORMCHECKBOX </w:t>
      </w:r>
      <w:r>
        <w:rPr>
          <w:rFonts w:ascii="Times New Roman" w:hAnsi="Times New Roman"/>
          <w:b/>
          <w:color w:val="000000"/>
          <w:sz w:val="24"/>
        </w:rPr>
        <w:t>Rule 10b</w:t>
        <w:noBreakHyphen/>
        <w:t>5 concerns.</w:t>
      </w:r>
      <w:r>
        <w:rPr>
          <w:rFonts w:ascii="Times New Roman" w:hAnsi="Times New Roman"/>
          <w:color w:val="000000"/>
          <w:sz w:val="20"/>
        </w:rPr>
        <w:t xml:space="preserve"> </w:t>
      </w:r>
      <w:r>
        <w:rPr>
          <w:rFonts w:ascii="Times New Roman" w:hAnsi="Times New Roman"/>
          <w:color w:val="000000"/>
          <w:sz w:val="24"/>
        </w:rPr>
        <w:t>The person has been reminded that trading is prohibited when in possession of any material nonpublic information regarding the Company that has not been adequately disclosed to the public. The individual has discussed with a Compliance Officer any information known to the individual or a Compliance Officer that the individual believes may be material.</w:t>
      </w:r>
    </w:p>
    <w:p>
      <w:pPr>
        <w:pStyle w:val="TextBody"/>
        <w:bidi w:val="0"/>
        <w:spacing w:before="120" w:after="283"/>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i/>
          <w:color w:val="000000"/>
          <w:sz w:val="24"/>
        </w:rPr>
        <w:t>Applies if the individual is a director or an officer subject to Section 16 of the 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SEER, INC.</w:t>
      </w:r>
    </w:p>
    <w:p>
      <w:pPr>
        <w:pStyle w:val="TextBody"/>
        <w:bidi w:val="0"/>
        <w:jc w:val="center"/>
        <w:rPr>
          <w:rFonts w:ascii="Times New Roman" w:hAnsi="Times New Roman"/>
          <w:b/>
          <w:color w:val="000000"/>
          <w:sz w:val="24"/>
        </w:rPr>
      </w:pPr>
      <w:r>
        <w:rPr>
          <w:rFonts w:ascii="Times New Roman" w:hAnsi="Times New Roman"/>
          <w:b/>
          <w:color w:val="000000"/>
          <w:sz w:val="24"/>
        </w:rPr>
        <w:t>REQUIREMENTS FOR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transactions under a trading plan to be exempt from (i) the prohibitions in the Company’s Insider Trading Policy with respect to transactions made while aware of material nonpublic information and (ii) the pre-clearance procedures and blackout periods established under the Insider Trading Policy, the trading plan must comply with the affirmative defense set forth in Exchange Act Rule 10b5</w:t>
        <w:noBreakHyphen/>
        <w:t>1 and must meet the following requirements: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 The trading plan must be in writing and signed by the person adopting the trading plan. The person adopting the trading plan may not have an outstanding (and may not subsequently enter into any additional) trading plan except as permitted by Rule 10b5-1.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 The trading plan must be adopted at a time when:</w:t>
      </w:r>
    </w:p>
    <w:p>
      <w:pPr>
        <w:pStyle w:val="TextBody"/>
        <w:bidi w:val="0"/>
        <w:spacing w:before="120" w:after="283"/>
        <w:jc w:val="both"/>
        <w:rPr/>
      </w:pPr>
      <w:r>
        <w:rPr>
          <w:color w:val="000000"/>
        </w:rPr>
        <w:t xml:space="preserve"> </w:t>
      </w:r>
      <w:r>
        <w:rPr>
          <w:rFonts w:ascii="Times New Roman" w:hAnsi="Times New Roman"/>
          <w:color w:val="000000"/>
          <w:sz w:val="24"/>
        </w:rPr>
        <w:t>the person adopting the trading plan is not aware of any material nonpublic information; and</w:t>
      </w:r>
    </w:p>
    <w:p>
      <w:pPr>
        <w:pStyle w:val="TextBody"/>
        <w:bidi w:val="0"/>
        <w:spacing w:before="120" w:after="283"/>
        <w:jc w:val="both"/>
        <w:rPr/>
      </w:pPr>
      <w:r>
        <w:rPr>
          <w:color w:val="000000"/>
        </w:rPr>
        <w:t xml:space="preserve"> </w:t>
      </w:r>
      <w:r>
        <w:rPr>
          <w:rFonts w:ascii="Times New Roman" w:hAnsi="Times New Roman"/>
          <w:color w:val="000000"/>
          <w:sz w:val="24"/>
        </w:rPr>
        <w:t>there is no quarterly, special or other trading blackout in effect with respect to the person adopting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 The trading plan must be entered in good faith and not as part of a plan or scheme to evade the prohibitions of Rule 10b5</w:t>
        <w:noBreakHyphen/>
        <w:t>1, and the person adopting the trading plan must act in good faith with respect to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 The trading plan must include representations that, on the date of adoption of the trading plan, the person adopting the trading plan:</w:t>
      </w:r>
    </w:p>
    <w:p>
      <w:pPr>
        <w:pStyle w:val="TextBody"/>
        <w:bidi w:val="0"/>
        <w:spacing w:before="240" w:after="283"/>
        <w:jc w:val="both"/>
        <w:rPr/>
      </w:pPr>
      <w:r>
        <w:rPr>
          <w:color w:val="000000"/>
        </w:rPr>
        <w:t xml:space="preserve"> </w:t>
      </w:r>
      <w:r>
        <w:rPr>
          <w:rFonts w:ascii="Times New Roman" w:hAnsi="Times New Roman"/>
          <w:color w:val="000000"/>
          <w:sz w:val="24"/>
        </w:rPr>
        <w:t>is not aware of material nonpublic information about the securities or the Company; and</w:t>
      </w:r>
    </w:p>
    <w:p>
      <w:pPr>
        <w:pStyle w:val="TextBody"/>
        <w:bidi w:val="0"/>
        <w:spacing w:before="240" w:after="283"/>
        <w:jc w:val="both"/>
        <w:rPr/>
      </w:pPr>
      <w:r>
        <w:rPr>
          <w:color w:val="000000"/>
        </w:rPr>
        <w:t xml:space="preserve"> </w:t>
      </w:r>
      <w:r>
        <w:rPr>
          <w:rFonts w:ascii="Times New Roman" w:hAnsi="Times New Roman"/>
          <w:color w:val="000000"/>
          <w:sz w:val="24"/>
        </w:rPr>
        <w:t>is adopting the trading plan in good faith and not as part of a plan or scheme to evade the prohibitions of Rule 10b5-1.</w:t>
      </w:r>
    </w:p>
    <w:p>
      <w:pPr>
        <w:pStyle w:val="TextBody"/>
        <w:bidi w:val="0"/>
        <w:spacing w:before="240" w:after="283"/>
        <w:jc w:val="both"/>
        <w:rPr>
          <w:rFonts w:ascii="Times New Roman" w:hAnsi="Times New Roman"/>
          <w:sz w:val="20"/>
        </w:rPr>
      </w:pPr>
      <w:r>
        <w:rPr>
          <w:rFonts w:ascii="Times New Roman" w:hAnsi="Times New Roman"/>
          <w:color w:val="000000"/>
          <w:sz w:val="24"/>
        </w:rPr>
        <w:t>5. 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r>
        <w:rPr>
          <w:rFonts w:ascii="Times New Roman" w:hAnsi="Times New Roman"/>
          <w:color w:val="000000"/>
          <w:sz w:val="20"/>
        </w:rPr>
        <w:t xml:space="preserve"> </w:t>
      </w:r>
      <w:r>
        <w:rPr>
          <w:rFonts w:ascii="Times New Roman" w:hAnsi="Times New Roman"/>
          <w:color w:val="000000"/>
          <w:sz w:val="24"/>
        </w:rPr>
        <w:t>Subject to Section 8, an individual may conduct transactions with respect to securities not subject to a trading plan.</w:t>
      </w:r>
    </w:p>
    <w:p>
      <w:pPr>
        <w:pStyle w:val="TextBody"/>
        <w:bidi w:val="0"/>
        <w:spacing w:before="240" w:after="283"/>
        <w:jc w:val="both"/>
        <w:rPr>
          <w:rFonts w:ascii="Times New Roman" w:hAnsi="Times New Roman"/>
          <w:sz w:val="20"/>
        </w:rPr>
      </w:pPr>
      <w:r>
        <w:rPr>
          <w:rFonts w:ascii="Times New Roman" w:hAnsi="Times New Roman"/>
          <w:color w:val="000000"/>
          <w:sz w:val="24"/>
        </w:rPr>
        <w:t>6. The first trade under the trading plan for directors and officers (as defined in Rule 16a-1(f) of the Securities Exchange Act of 1934, as amended) may not occur until after the expiration of a cooling-off period consisting of the later of (a) 90 calendar days after the adoption of the trading plan and (b) two business days after the filing by the Company of its financial results in a Form 10-Q or Form 10-K for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completed fiscal quarter in which the trading plan was adopted (but, in any event, this required cooling-off period is subject to a maximum of 120 days after the adoption of the trading plan). The first trade under the trading plan for all other persons (other than the Company) may not occur until the expiration of a cooling-off period that is 30 calendar days after adoption of the trading plan. The trading plan must have a minimum term of six months (starting from the date of adoption of the trading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All transactions during the term of the trading plan (except for the other “Limited Exceptions” identified in the Company’s Insider Trading Policy and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gifts) must be conducted through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before="240" w:after="283"/>
        <w:jc w:val="both"/>
        <w:rPr>
          <w:rFonts w:ascii="Times New Roman" w:hAnsi="Times New Roman"/>
          <w:sz w:val="20"/>
        </w:rPr>
      </w:pPr>
      <w:r>
        <w:rPr>
          <w:rFonts w:ascii="Times New Roman" w:hAnsi="Times New Roman"/>
          <w:color w:val="000000"/>
          <w:sz w:val="24"/>
        </w:rPr>
        <w:t>8. Any modification or change to the amount, price or timing of transactions under the trading plan is deemed the termination of the trading plan, and the adoption of a new trading plan (“</w:t>
      </w:r>
      <w:r>
        <w:rPr>
          <w:rFonts w:ascii="Times New Roman" w:hAnsi="Times New Roman"/>
          <w:b/>
          <w:i/>
          <w:color w:val="000000"/>
          <w:sz w:val="24"/>
        </w:rPr>
        <w:t>Modification</w:t>
      </w:r>
      <w:r>
        <w:rPr>
          <w:rFonts w:ascii="Times New Roman" w:hAnsi="Times New Roman"/>
          <w:color w:val="000000"/>
          <w:sz w:val="20"/>
        </w:rPr>
        <w:t>”</w:t>
      </w:r>
      <w:r>
        <w:rPr>
          <w:rFonts w:ascii="Times New Roman" w:hAnsi="Times New Roman"/>
          <w:color w:val="000000"/>
          <w:sz w:val="24"/>
        </w:rPr>
        <w:t>). Therefore, a Modification is subject to the same conditions as a new trading plan as set forth in Sections 1 through 7 herein.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9. Within six months preceding the adoption or a Modification of a trading plan, a person may not have otherwise adopted or done a Modification to a plan more than once.</w:t>
      </w:r>
    </w:p>
    <w:p>
      <w:pPr>
        <w:pStyle w:val="TextBody"/>
        <w:bidi w:val="0"/>
        <w:spacing w:before="240" w:after="283"/>
        <w:jc w:val="both"/>
        <w:rPr>
          <w:rFonts w:ascii="Times New Roman" w:hAnsi="Times New Roman"/>
          <w:sz w:val="20"/>
        </w:rPr>
      </w:pPr>
      <w:r>
        <w:rPr>
          <w:rFonts w:ascii="Times New Roman" w:hAnsi="Times New Roman"/>
          <w:color w:val="000000"/>
          <w:sz w:val="24"/>
        </w:rPr>
        <w:t>10. A person may adopt a trading plan designed to cover a single trade only once in any consecutive 12-month period except as permitted by Rule 10b5-1.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11. If the person that adopted the trading plan terminates the plan prior to its stated duration, he or she may not trade in the Company’s securities until after the expiration of 30 calendar days following termination, and then only in accordance with the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 The Company must be promptly notified of any Modification or termination of the trading plan and any suspension of trading under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 The Company must have authority to require the suspension or cancellation of the trading plan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 If the trading plan grants discretion to a stockbroker or other person with respect to the execution of trades under the trading plan:</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color w:val="000000"/>
        </w:rPr>
        <w:t xml:space="preserve"> </w:t>
      </w:r>
      <w:r>
        <w:rPr>
          <w:rFonts w:ascii="Times New Roman" w:hAnsi="Times New Roman"/>
          <w:color w:val="000000"/>
          <w:sz w:val="24"/>
        </w:rPr>
        <w:t>trades made under the trading plan must be executed by someone other than the stockbroker or other person that executes trades in other securities for the person adopting the trading plan;</w:t>
      </w:r>
    </w:p>
    <w:p>
      <w:pPr>
        <w:pStyle w:val="TextBody"/>
        <w:bidi w:val="0"/>
        <w:spacing w:before="120" w:after="283"/>
        <w:jc w:val="both"/>
        <w:rPr/>
      </w:pPr>
      <w:r>
        <w:rPr>
          <w:color w:val="000000"/>
        </w:rPr>
        <w:t xml:space="preserve"> </w:t>
      </w:r>
      <w:r>
        <w:rPr>
          <w:rFonts w:ascii="Times New Roman" w:hAnsi="Times New Roman"/>
          <w:color w:val="000000"/>
          <w:sz w:val="24"/>
        </w:rPr>
        <w:t>the person adopting the trading plan may not confer with the person administering the trading plan regarding the Company or its securities; and</w:t>
      </w:r>
    </w:p>
    <w:p>
      <w:pPr>
        <w:pStyle w:val="TextBody"/>
        <w:bidi w:val="0"/>
        <w:spacing w:before="120" w:after="283"/>
        <w:jc w:val="both"/>
        <w:rPr/>
      </w:pPr>
      <w:r>
        <w:rPr>
          <w:color w:val="000000"/>
        </w:rPr>
        <w:t xml:space="preserve"> </w:t>
      </w:r>
      <w:r>
        <w:rPr>
          <w:rFonts w:ascii="Times New Roman" w:hAnsi="Times New Roman"/>
          <w:color w:val="000000"/>
          <w:sz w:val="24"/>
        </w:rPr>
        <w:t>the person administering the trading plan must provide prompt notice to the Company of the execution of a transaction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 All transactions under the trading plan must be in accordance with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 The trading plan (including any Modification) must meet such other requirements as the Compliance Officer may determine.</w:t>
      </w:r>
    </w:p>
    <w:p>
      <w:pPr>
        <w:pStyle w:val="TextBody"/>
        <w:bidi w:val="0"/>
        <w:spacing w:before="240" w:after="283"/>
        <w:jc w:val="both"/>
        <w:rPr>
          <w:rFonts w:ascii="Times New Roman" w:hAnsi="Times New Roman"/>
          <w:sz w:val="20"/>
        </w:rPr>
      </w:pPr>
      <w:r>
        <w:rPr>
          <w:rFonts w:ascii="Times New Roman" w:hAnsi="Times New Roman"/>
          <w:color w:val="000000"/>
          <w:sz w:val="24"/>
        </w:rPr>
        <w:t>17. Any trading plans adopted or modified prior to February 27, 2023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are permitted to continue in place until all trades are executed thereunder or they expire by their terms (“</w:t>
      </w:r>
      <w:r>
        <w:rPr>
          <w:rFonts w:ascii="Times New Roman" w:hAnsi="Times New Roman"/>
          <w:b/>
          <w:i/>
          <w:color w:val="000000"/>
          <w:sz w:val="24"/>
        </w:rPr>
        <w:t>Pre-effective Plans</w:t>
      </w:r>
      <w:r>
        <w:rPr>
          <w:rFonts w:ascii="Times New Roman" w:hAnsi="Times New Roman"/>
          <w:color w:val="000000"/>
          <w:sz w:val="20"/>
        </w:rPr>
        <w:t>”</w:t>
      </w:r>
      <w:r>
        <w:rPr>
          <w:rFonts w:ascii="Times New Roman" w:hAnsi="Times New Roman"/>
          <w:color w:val="000000"/>
          <w:sz w:val="24"/>
        </w:rPr>
        <w:t>). If the person undertakes a Modification of a Pre-effective Plan on or after the Effective Date, then the Modification must meet all of the requirements set forth herein.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III</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SEER, INC.</w:t>
      </w:r>
    </w:p>
    <w:p>
      <w:pPr>
        <w:pStyle w:val="TextBody"/>
        <w:bidi w:val="0"/>
        <w:jc w:val="center"/>
        <w:rPr>
          <w:rFonts w:ascii="Times New Roman" w:hAnsi="Times New Roman"/>
          <w:b/>
          <w:color w:val="000000"/>
          <w:sz w:val="24"/>
        </w:rPr>
      </w:pPr>
      <w:r>
        <w:rPr>
          <w:rFonts w:ascii="Times New Roman" w:hAnsi="Times New Roman"/>
          <w:b/>
          <w:color w:val="000000"/>
          <w:sz w:val="24"/>
        </w:rPr>
        <w:t>GUIDELINES FOR PREPARING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consider the following important guidelines in connection with preparing a trading plan. These guidelines should not serve as a substitute for obtaining professional advice and assistance in connection with preparing a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Learn the rules applicable to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 has enacted rules that provide an affirmative defense against alleged violations of U.S. federal insider trading laws for transactions pursuant to trading plans that meet certain requirements. In general, these rules, as set forth in Rule 10b5</w:t>
        <w:noBreakHyphen/>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transaction(s), (ii) specify an objective method for determining the amount, price and date of the transaction(s) and/or (iii) place any subsequent discretion for determining the amount, price and date of the transaction(s) in another person who is not, at the time of any transaction, aware of material nonpublic information.</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discussion above provides only a summary of the relevant rules. You are responsible for understanding the rules applicable to trading plans and ensuring that your trading plan complies with the requirements of Rule 10b5</w:t>
        <w:noBreakHyphen/>
        <w:t>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Hire legal and other advisors to assist in preparing the plan</w:t>
      </w:r>
    </w:p>
    <w:p>
      <w:pPr>
        <w:pStyle w:val="TextBody"/>
        <w:bidi w:val="0"/>
        <w:spacing w:before="240" w:after="283"/>
        <w:jc w:val="both"/>
        <w:rPr>
          <w:rFonts w:ascii="Times New Roman" w:hAnsi="Times New Roman"/>
          <w:sz w:val="20"/>
        </w:rPr>
      </w:pPr>
      <w:r>
        <w:rPr>
          <w:rFonts w:ascii="Times New Roman" w:hAnsi="Times New Roman"/>
          <w:color w:val="000000"/>
          <w:sz w:val="24"/>
        </w:rPr>
        <w:t>You should hire your own advisors, including your own legal counsel, in connection with adopting a trading plan. Neither the company nor its legal counsel assumes responsibility for determining whether your trading plan complies with Rule 10b5</w:t>
        <w:noBreakHyphen/>
        <w:t>1.</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Assess whether a trading plan is suitable for you</w:t>
      </w:r>
    </w:p>
    <w:p>
      <w:pPr>
        <w:pStyle w:val="TextBody"/>
        <w:bidi w:val="0"/>
        <w:spacing w:before="240" w:after="283"/>
        <w:jc w:val="both"/>
        <w:rPr>
          <w:rFonts w:ascii="Times New Roman" w:hAnsi="Times New Roman"/>
          <w:sz w:val="20"/>
        </w:rPr>
      </w:pPr>
      <w:r>
        <w:rPr>
          <w:rFonts w:ascii="Times New Roman" w:hAnsi="Times New Roman"/>
          <w:color w:val="000000"/>
          <w:sz w:val="24"/>
        </w:rPr>
        <w:t>Trading plans may not be appropriate for many people. You should therefore carefully consider whether it is advisable for you to adopt a trading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several potential benefits to adopting a trading plan:</w:t>
      </w:r>
    </w:p>
    <w:p>
      <w:pPr>
        <w:pStyle w:val="TextBody"/>
        <w:bidi w:val="0"/>
        <w:spacing w:before="120" w:after="283"/>
        <w:jc w:val="both"/>
        <w:rPr/>
      </w:pPr>
      <w:r>
        <w:rPr>
          <w:color w:val="000000"/>
        </w:rPr>
        <w:t xml:space="preserve"> </w:t>
      </w:r>
      <w:r>
        <w:rPr>
          <w:rFonts w:ascii="Times New Roman" w:hAnsi="Times New Roman"/>
          <w:i/>
          <w:color w:val="000000"/>
          <w:sz w:val="24"/>
        </w:rPr>
        <w:t xml:space="preserve">Affirmative defense to insider trading actions by the SEC. </w:t>
      </w:r>
      <w:r>
        <w:rPr>
          <w:rFonts w:ascii="Times New Roman" w:hAnsi="Times New Roman"/>
          <w:color w:val="000000"/>
          <w:sz w:val="24"/>
        </w:rPr>
        <w:t>Trading plans enable insiders to obtain liquidity and portfolio diversification while limiting exposure to insider trading liability. Trades pursuant to a compliant trading plan are subject to an affirmative defense in actions by the SEC. Trading pursuant to trading plans may also help to limit the company’s exposure to liability under securities laws.</w:t>
      </w:r>
    </w:p>
    <w:p>
      <w:pPr>
        <w:pStyle w:val="TextBody"/>
        <w:bidi w:val="0"/>
        <w:spacing w:before="120" w:after="283"/>
        <w:jc w:val="both"/>
        <w:rPr/>
      </w:pPr>
      <w:r>
        <w:rPr>
          <w:color w:val="000000"/>
        </w:rPr>
        <w:t xml:space="preserve"> </w:t>
      </w:r>
      <w:r>
        <w:rPr>
          <w:rFonts w:ascii="Times New Roman" w:hAnsi="Times New Roman"/>
          <w:i/>
          <w:color w:val="000000"/>
          <w:sz w:val="24"/>
        </w:rPr>
        <w:t xml:space="preserve">More trading opportunities. </w:t>
      </w:r>
      <w:r>
        <w:rPr>
          <w:rFonts w:ascii="Times New Roman" w:hAnsi="Times New Roman"/>
          <w:color w:val="000000"/>
          <w:sz w:val="24"/>
        </w:rPr>
        <w:t>Trades under a company-approved Rule 10b5</w:t>
        <w:noBreakHyphen/>
        <w:t>1 trading plan are not subject to the blackout restrictions and pre-clearance requirements in the company’s insider trading policy.</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color w:val="000000"/>
        </w:rPr>
        <w:t xml:space="preserve"> </w:t>
      </w:r>
      <w:r>
        <w:rPr>
          <w:rFonts w:ascii="Times New Roman" w:hAnsi="Times New Roman"/>
          <w:i/>
          <w:color w:val="000000"/>
          <w:sz w:val="24"/>
        </w:rPr>
        <w:t xml:space="preserve">Reduced adverse perceptions. </w:t>
      </w:r>
      <w:r>
        <w:rPr>
          <w:rFonts w:ascii="Times New Roman" w:hAnsi="Times New Roman"/>
          <w:color w:val="000000"/>
          <w:sz w:val="24"/>
        </w:rPr>
        <w:t>Sales pursuant to a trading plan may be better received by investors and the media. Open market sales by corporate insiders may attract unwanted attention due to the perception of many investors that such sales may reflect a lack of confidence in the company. These trades may come under even more scrutiny if they are concentrated during the relatively brief trading windows mandated by the company’s insider trading policy. With appropriate disclosure, trading pursuant to a plan may help to limit the perception that the trades were based on undisclosed information. Moreover, since trades under company-approved trading plans are not subject to the company’s trading blackout periods, trading plans may enable insiders to make smaller, periodic trades, which may attract less public attention.</w:t>
      </w:r>
    </w:p>
    <w:p>
      <w:pPr>
        <w:pStyle w:val="TextBody"/>
        <w:bidi w:val="0"/>
        <w:spacing w:before="120" w:after="283"/>
        <w:jc w:val="both"/>
        <w:rPr/>
      </w:pPr>
      <w:r>
        <w:rPr>
          <w:color w:val="000000"/>
        </w:rPr>
        <w:t xml:space="preserve"> </w:t>
      </w:r>
      <w:r>
        <w:rPr>
          <w:rFonts w:ascii="Times New Roman" w:hAnsi="Times New Roman"/>
          <w:i/>
          <w:color w:val="000000"/>
          <w:sz w:val="24"/>
        </w:rPr>
        <w:t xml:space="preserve">Administrative benefits. </w:t>
      </w:r>
      <w:r>
        <w:rPr>
          <w:rFonts w:ascii="Times New Roman" w:hAnsi="Times New Roman"/>
          <w:color w:val="000000"/>
          <w:sz w:val="24"/>
        </w:rPr>
        <w:t>Use of a plan may enable you to reduce the time spent on executing trades (including obtaining any required pre-clearance of trades) and managing your portfolio of company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adopting a trading plan, however, you should assess the risks and limitations of trading plans, including the following:</w:t>
      </w:r>
    </w:p>
    <w:p>
      <w:pPr>
        <w:pStyle w:val="TextBody"/>
        <w:bidi w:val="0"/>
        <w:spacing w:before="120" w:after="283"/>
        <w:jc w:val="both"/>
        <w:rPr/>
      </w:pPr>
      <w:r>
        <w:rPr>
          <w:color w:val="000000"/>
        </w:rPr>
        <w:t xml:space="preserve"> </w:t>
      </w:r>
      <w:r>
        <w:rPr>
          <w:rFonts w:ascii="Times New Roman" w:hAnsi="Times New Roman"/>
          <w:i/>
          <w:color w:val="000000"/>
          <w:sz w:val="24"/>
        </w:rPr>
        <w:t xml:space="preserve">Reduced flexibility. </w:t>
      </w:r>
      <w:r>
        <w:rPr>
          <w:rFonts w:ascii="Times New Roman" w:hAnsi="Times New Roman"/>
          <w:color w:val="000000"/>
          <w:sz w:val="24"/>
        </w:rPr>
        <w:t xml:space="preserve">Use of a trading plan requires you to plan your trades and finances in advance. The company requires that, during the duration of a plan, all trades be conducted through the plan. Sales outside of a plan are not subject to the affirmative defense, and may create a presumption that other sales under the plan were not made pursuant to a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plan. Careful advanced planning is also critical because deviation from or cancellation of an established trading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to account for changes in market condition or personal finances) may jeopardize the availability of the affirmative defense. Plans are therefore advisable for only those individuals who are able to bear significant risk on their stock.</w:t>
      </w:r>
    </w:p>
    <w:p>
      <w:pPr>
        <w:pStyle w:val="TextBody"/>
        <w:bidi w:val="0"/>
        <w:spacing w:before="120" w:after="283"/>
        <w:jc w:val="both"/>
        <w:rPr/>
      </w:pPr>
      <w:r>
        <w:rPr>
          <w:color w:val="000000"/>
        </w:rPr>
        <w:t xml:space="preserve"> </w:t>
      </w:r>
      <w:r>
        <w:rPr>
          <w:rFonts w:ascii="Times New Roman" w:hAnsi="Times New Roman"/>
          <w:i/>
          <w:color w:val="000000"/>
          <w:sz w:val="24"/>
        </w:rPr>
        <w:t xml:space="preserve">Exposure to private claims. </w:t>
      </w:r>
      <w:r>
        <w:rPr>
          <w:rFonts w:ascii="Times New Roman" w:hAnsi="Times New Roman"/>
          <w:color w:val="000000"/>
          <w:sz w:val="24"/>
        </w:rPr>
        <w:t>Rule 10b5</w:t>
        <w:noBreakHyphen/>
        <w:t>1 provides an affirmative defense to federal insider trading liability, but does not apply to private securities class action lawsuits.</w:t>
      </w:r>
    </w:p>
    <w:p>
      <w:pPr>
        <w:pStyle w:val="TextBody"/>
        <w:bidi w:val="0"/>
        <w:spacing w:before="120" w:after="283"/>
        <w:jc w:val="both"/>
        <w:rPr/>
      </w:pPr>
      <w:r>
        <w:rPr>
          <w:color w:val="000000"/>
        </w:rPr>
        <w:t xml:space="preserve"> </w:t>
      </w:r>
      <w:r>
        <w:rPr>
          <w:rFonts w:ascii="Times New Roman" w:hAnsi="Times New Roman"/>
          <w:i/>
          <w:color w:val="000000"/>
          <w:sz w:val="24"/>
        </w:rPr>
        <w:t>Affirmative defense must be proved.</w:t>
      </w:r>
      <w:r>
        <w:rPr>
          <w:rFonts w:ascii="Times New Roman" w:hAnsi="Times New Roman"/>
          <w:color w:val="000000"/>
          <w:sz w:val="20"/>
        </w:rPr>
        <w:t xml:space="preserve"> </w:t>
      </w:r>
      <w:r>
        <w:rPr>
          <w:rFonts w:ascii="Times New Roman" w:hAnsi="Times New Roman"/>
          <w:color w:val="000000"/>
          <w:sz w:val="24"/>
        </w:rPr>
        <w:t>An insider that trades based on a trading plan will have the burden of proving that the trading plan satisfies the requirements set forth in Rule 10b5</w:t>
        <w:noBreakHyphen/>
        <w:t>1. Moreover, a trading plan will not necessarily prevent someone from bringing a lawsuit and will not necessarily avoid adverse media coverage.</w:t>
      </w:r>
    </w:p>
    <w:p>
      <w:pPr>
        <w:pStyle w:val="TextBody"/>
        <w:bidi w:val="0"/>
        <w:spacing w:before="120" w:after="283"/>
        <w:jc w:val="both"/>
        <w:rPr/>
      </w:pPr>
      <w:r>
        <w:rPr>
          <w:color w:val="000000"/>
        </w:rPr>
        <w:t xml:space="preserve"> </w:t>
      </w:r>
      <w:r>
        <w:rPr>
          <w:rFonts w:ascii="Times New Roman" w:hAnsi="Times New Roman"/>
          <w:i/>
          <w:color w:val="000000"/>
          <w:sz w:val="24"/>
        </w:rPr>
        <w:t xml:space="preserve">Time required to prepare a plan. </w:t>
      </w:r>
      <w:r>
        <w:rPr>
          <w:rFonts w:ascii="Times New Roman" w:hAnsi="Times New Roman"/>
          <w:color w:val="000000"/>
          <w:sz w:val="24"/>
        </w:rPr>
        <w:t>The preparation of a trading plan requires careful attention to ensure compliance with Rule 10b5</w:t>
        <w:noBreakHyphen/>
        <w:t>1 and any company-imposed requirements.</w:t>
      </w:r>
    </w:p>
    <w:p>
      <w:pPr>
        <w:pStyle w:val="TextBody"/>
        <w:bidi w:val="0"/>
        <w:spacing w:before="120" w:after="283"/>
        <w:jc w:val="both"/>
        <w:rPr/>
      </w:pPr>
      <w:r>
        <w:rPr>
          <w:color w:val="000000"/>
        </w:rPr>
        <w:t xml:space="preserve"> </w:t>
      </w:r>
      <w:r>
        <w:rPr>
          <w:rFonts w:ascii="Times New Roman" w:hAnsi="Times New Roman"/>
          <w:i/>
          <w:color w:val="000000"/>
          <w:sz w:val="24"/>
        </w:rPr>
        <w:t xml:space="preserve">SEC concerns over potential abuse of trading plans. </w:t>
      </w:r>
      <w:r>
        <w:rPr>
          <w:rFonts w:ascii="Times New Roman" w:hAnsi="Times New Roman"/>
          <w:color w:val="000000"/>
          <w:sz w:val="24"/>
        </w:rPr>
        <w:t>The SEC may give trading plans a skeptical reading given concerns over the potential abuse of trading plans by insiders.</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Allocate sufficient time to prepare a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process of preparing a plan and the related documentation may take some time, and you should plan accordingly.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Ensure that the trading plan complies with all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preparing a plan, your primary objective should be to ensure that all elements of the Rule 10b5</w:t>
        <w:noBreakHyphen/>
        <w:t>1 trading plan defense are adequately addressed.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also be sure that the trading plan complies with other applicable law. For example:</w:t>
      </w:r>
    </w:p>
    <w:p>
      <w:pPr>
        <w:pStyle w:val="TextBody"/>
        <w:bidi w:val="0"/>
        <w:spacing w:before="120" w:after="283"/>
        <w:jc w:val="both"/>
        <w:rPr/>
      </w:pPr>
      <w:r>
        <w:rPr>
          <w:color w:val="000000"/>
        </w:rPr>
        <w:t xml:space="preserve"> </w:t>
      </w:r>
      <w:r>
        <w:rPr>
          <w:rFonts w:ascii="Times New Roman" w:hAnsi="Times New Roman"/>
          <w:color w:val="000000"/>
          <w:sz w:val="24"/>
        </w:rPr>
        <w:t>You should consider any Rule 144 volume limitations when devising trading instructions or formulas.</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color w:val="000000"/>
          <w:sz w:val="24"/>
        </w:rPr>
        <w:t>You should consider any burdens created by Rule 144 and Section 16 filing requirements when devising trading instructions or formulas.</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color w:val="000000"/>
          <w:sz w:val="24"/>
        </w:rPr>
        <w:t>In developing trading instructions or formulas, you should account for potential “short-swing” trading liability under Section 16(b).</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Ensure that the trading plan complies with company-imposed requirements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ensure that the trading plan complies with any company-imposed requirements, which may be in addition to the requirements under Rule 10b5</w:t>
        <w:noBreakHyphen/>
        <w:t>1. Please contact a Compliance Officer under the insider trading policy for further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Develop trading instructions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Rule 10b5</w:t>
        <w:noBreakHyphen/>
        <w:t>1 allows significant flexibility in designing trading instructions or formulas. For example, you can:</w:t>
      </w:r>
    </w:p>
    <w:p>
      <w:pPr>
        <w:pStyle w:val="TextBody"/>
        <w:bidi w:val="0"/>
        <w:spacing w:before="120" w:after="283"/>
        <w:jc w:val="both"/>
        <w:rPr/>
      </w:pPr>
      <w:r>
        <w:rPr>
          <w:color w:val="000000"/>
        </w:rPr>
        <w:t xml:space="preserve"> </w:t>
      </w:r>
      <w:r>
        <w:rPr>
          <w:rFonts w:ascii="Times New Roman" w:hAnsi="Times New Roman"/>
          <w:color w:val="000000"/>
          <w:sz w:val="24"/>
        </w:rPr>
        <w:t>construct a matrix with different sale amounts at different price targets;</w:t>
      </w:r>
    </w:p>
    <w:p>
      <w:pPr>
        <w:pStyle w:val="TextBody"/>
        <w:bidi w:val="0"/>
        <w:spacing w:before="120" w:after="283"/>
        <w:jc w:val="both"/>
        <w:rPr/>
      </w:pPr>
      <w:r>
        <w:rPr>
          <w:color w:val="000000"/>
        </w:rPr>
        <w:t xml:space="preserve"> </w:t>
      </w:r>
      <w:r>
        <w:rPr>
          <w:rFonts w:ascii="Times New Roman" w:hAnsi="Times New Roman"/>
          <w:color w:val="000000"/>
          <w:sz w:val="24"/>
        </w:rPr>
        <w:t>base trading decisions on the performance of the company’s stock against various market or industry indices, price gaps or personal financial milestones;</w:t>
      </w:r>
    </w:p>
    <w:p>
      <w:pPr>
        <w:pStyle w:val="TextBody"/>
        <w:bidi w:val="0"/>
        <w:spacing w:before="120" w:after="283"/>
        <w:jc w:val="both"/>
        <w:rPr/>
      </w:pPr>
      <w:r>
        <w:rPr>
          <w:color w:val="000000"/>
        </w:rPr>
        <w:t xml:space="preserve"> </w:t>
      </w:r>
      <w:r>
        <w:rPr>
          <w:rFonts w:ascii="Times New Roman" w:hAnsi="Times New Roman"/>
          <w:color w:val="000000"/>
          <w:sz w:val="24"/>
        </w:rPr>
        <w:t>tie transactions to independent events, such as the timing of tuition or mortgage payments or other financial obligations;</w:t>
      </w:r>
    </w:p>
    <w:p>
      <w:pPr>
        <w:pStyle w:val="TextBody"/>
        <w:bidi w:val="0"/>
        <w:spacing w:before="120" w:after="283"/>
        <w:jc w:val="both"/>
        <w:rPr/>
      </w:pPr>
      <w:r>
        <w:rPr>
          <w:color w:val="000000"/>
        </w:rPr>
        <w:t xml:space="preserve"> </w:t>
      </w:r>
      <w:r>
        <w:rPr>
          <w:rFonts w:ascii="Times New Roman" w:hAnsi="Times New Roman"/>
          <w:color w:val="000000"/>
          <w:sz w:val="24"/>
        </w:rPr>
        <w:t>prioritize the sale (or exercise and sale) of particular securities based on factors such as tax treatment, tax basis, expiration dates and exercise prices; and</w:t>
      </w:r>
    </w:p>
    <w:p>
      <w:pPr>
        <w:pStyle w:val="TextBody"/>
        <w:bidi w:val="0"/>
        <w:spacing w:before="120" w:after="283"/>
        <w:jc w:val="both"/>
        <w:rPr/>
      </w:pPr>
      <w:r>
        <w:rPr>
          <w:color w:val="000000"/>
        </w:rPr>
        <w:t xml:space="preserve"> </w:t>
      </w:r>
      <w:r>
        <w:rPr>
          <w:rFonts w:ascii="Times New Roman" w:hAnsi="Times New Roman"/>
          <w:color w:val="000000"/>
          <w:sz w:val="24"/>
        </w:rPr>
        <w:t>establish a trading plan for a single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Various types of transactions may be structured to fit the affirmative defense under Rule 10b5</w:t>
        <w:noBreakHyphen/>
        <w:t>1. For example, a trading plan can cover pre-scheduled stock option exercises and sales. This may be helpful in avoiding a situation where a blackout period may effectively block exercise of an in-the-money option that is about to expire because a same-day sale is necessary to fund payment of the exercise price and/or taxes. If properly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structured, employee stock purchase plan transactions and 401(k) plan transactions can also qualify for the affirmative defense.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find it helpful to discuss trading strategies with a broker or another market professional prior to adopting a trading plan, particularly if the trading plan covers large amounts of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also carefully consider the guidance below when designing trading instructions or formulas.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Avoid unnecessarily complicated instructions</w:t>
      </w:r>
    </w:p>
    <w:p>
      <w:pPr>
        <w:pStyle w:val="TextBody"/>
        <w:bidi w:val="0"/>
        <w:spacing w:before="240" w:after="283"/>
        <w:jc w:val="both"/>
        <w:rPr>
          <w:rFonts w:ascii="Times New Roman" w:hAnsi="Times New Roman"/>
          <w:sz w:val="20"/>
        </w:rPr>
      </w:pPr>
      <w:r>
        <w:rPr>
          <w:rFonts w:ascii="Times New Roman" w:hAnsi="Times New Roman"/>
          <w:color w:val="000000"/>
          <w:sz w:val="24"/>
        </w:rPr>
        <w:t>You should be careful to avoid unnecessarily complicated instructions or formulas. Complicated instructions or formulas may result in mistakes in execution by the person administering the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due to a misunderstanding or misapplication of an instruction or formula or the failure to complete a calculation in time to exploit a market opportunity). In addition, while an elaborate trading plan may reduce the inference of insider trading in some instances, elaborate trading plans may look suspicious in other instances.</w:t>
      </w:r>
    </w:p>
    <w:p>
      <w:pPr>
        <w:pStyle w:val="TextBody"/>
        <w:bidi w:val="0"/>
        <w:spacing w:before="240" w:after="283"/>
        <w:jc w:val="both"/>
        <w:rPr>
          <w:rFonts w:ascii="Times New Roman" w:hAnsi="Times New Roman"/>
          <w:sz w:val="20"/>
        </w:rPr>
      </w:pPr>
      <w:r>
        <w:rPr>
          <w:rFonts w:ascii="Times New Roman" w:hAnsi="Times New Roman"/>
          <w:color w:val="000000"/>
          <w:sz w:val="24"/>
        </w:rPr>
        <w:t>In general, instructions and formulas should be carefully and explicitly drafted to avoid potential misunderstandings. You should try to provide as much detail as possible to facilitate the proper execution of the trading plan. For example, if you have shares in more than one brokerage account, the plan should specify which shares are subject to the plan. Likewise, if you possess several series of options, the plan should specify which options to exercise. It may also be helpful to include examples of different scenarios in the instructions, and/or to review the trading instructions in advance with the person administering the plan, to help ensure that you are in agreement as to how the instructions or formulas are to operate. If you plan to adopt particularly complicated instructions, you may want to consider hiring a money manager to assist in implementing your plan.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Exercise caution when adopting plans based on specific prices, floors or ceilings</w:t>
      </w:r>
    </w:p>
    <w:p>
      <w:pPr>
        <w:pStyle w:val="TextBody"/>
        <w:bidi w:val="0"/>
        <w:spacing w:before="240" w:after="283"/>
        <w:jc w:val="both"/>
        <w:rPr>
          <w:rFonts w:ascii="Times New Roman" w:hAnsi="Times New Roman"/>
          <w:sz w:val="20"/>
        </w:rPr>
      </w:pPr>
      <w:r>
        <w:rPr>
          <w:rFonts w:ascii="Times New Roman" w:hAnsi="Times New Roman"/>
          <w:color w:val="000000"/>
          <w:sz w:val="24"/>
        </w:rPr>
        <w:t>Although Rule 10b5</w:t>
        <w:noBreakHyphen/>
        <w:t>1(c) permits plans based on “the market price on a particular date or a limit price, or a particular dollar price”, you should be careful when adopting plans that contain instructions that set specific prices, floors or ceilings (</w:t>
      </w:r>
      <w:r>
        <w:rPr>
          <w:rFonts w:ascii="Times New Roman" w:hAnsi="Times New Roman"/>
          <w:i/>
          <w:color w:val="000000"/>
          <w:sz w:val="24"/>
        </w:rPr>
        <w:t>e.g.</w:t>
      </w:r>
      <w:r>
        <w:rPr>
          <w:rFonts w:ascii="Times New Roman" w:hAnsi="Times New Roman"/>
          <w:color w:val="000000"/>
          <w:sz w:val="24"/>
        </w:rPr>
        <w:t>, limit orders or stop orders). These types of plans are riskier than plans that set specific numbers of shares to be sold, since it may be inferred from price-based instructions that, for example, you had a motive to inflate stock prices or had knowledge of events that would change prices. In addition, these types of plans may produce an irregular pattern of trades instead of a more regular trading pattern (which is more defensible). You may want to give some consideration, however, to including floors to avoid sales at prices that are unacceptably low (or to avoid a subsequent modification or termination of the trading plan to avoid such sales).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If you intend to adopt a plan with specific prices, floors or ceilings, you should consider carefully the prices at which trades are to be executed. A plan with specific prices, floors or ceilings may result in periods of no stock sales, which may run counter to the reasons for adopting a plan (</w:t>
      </w:r>
      <w:r>
        <w:rPr>
          <w:rFonts w:ascii="Times New Roman" w:hAnsi="Times New Roman"/>
          <w:i/>
          <w:color w:val="000000"/>
          <w:sz w:val="24"/>
        </w:rPr>
        <w:t xml:space="preserve">i.e., </w:t>
      </w:r>
      <w:r>
        <w:rPr>
          <w:rFonts w:ascii="Times New Roman" w:hAnsi="Times New Roman"/>
          <w:color w:val="000000"/>
          <w:sz w:val="24"/>
        </w:rPr>
        <w:t>cash flow and portfolio diversification). If your price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targets are high relative to then existing prices, you may want to wait on establishing a trading plan until the targets are more likely reachable. By delaying the adoption of a plan in that instance, you may be able to avoid risks associated with any subsequent modification or termination of an ineffective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the expected magnitude and timing of trades under the trading plan relative to the adoption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preparing a trading plan, you should give some consideration as to the expected timing and magnitude of trades relative to the adoption of the trading plan. Significant trading activity that occurs shortly after adoption of the plan may raise suspicion as to whether the trades were based on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whether expected trades under the trading plan will coincide with significant future announcements or developments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preparing a trading plan, you should give some consideration as to whether trades are expected to occur during quarterly trading blackout periods established under the company’s insider trading policy (or around the time other significant announcements or developments involving the company are expected). Even though transactions executed in accordance with a properly designed trading plan are subject to an affirmative defense against insider trading claims (and are exempt from trading blackout periods under the company’s insider trading policy), the investing public and media may not understand the nuances of trading pursuant to a trading plan. Trades that occur at times shortly before a company announces material news may therefore result in negative publicity for you and the company. In addition, trades that occur in the same general time frame as a significant announcement may raise questions as to whether the timing of the announcement was manipulated to your benefit. If you are generally indifferent as to the specific timing of a trade, you should try to avoid having trades occur, for example, before quarterly earnings announcements. An even more conservative approach would involve avoiding trades during the month of the company’s earnings release.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the expected magnitude and frequency of trades under the plan generally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preparing a trading plan, you should give some consideration generally to the expected magnitude and frequency of trades under the plan. Spreading out trades may decrease exposure to insider trading claims. A regular pattern of small sales helps to limit any inference that you sought to exploit material nonpublic information in developing your trading plan. A regular pattern of small sales may also help to negate any argument that the plan was not entered in good faith or that the plan was part of a scheme to evade the prohibitions of Rule 10b5</w:t>
        <w:noBreakHyphen/>
        <w:t>1. In contrast, occasional high-volume sales may send a negative signal to the investment community and, if any of those sales turn out to precede bad news, may attract attention from the SEC and private securities class action plaintiffs. Plans that involve a regular pattern of small sales may also be easier to administer. You should note, however, that frequent trades may give rise to significant Section 16 reporting obligations, to the extent applicable.</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You may want to limit the portion of your holdings that are subject to the trading plan to limit your overall exposure to situations where your trading instructions or formulas may not account for unexpected market changes. You may also want to cap or otherwise limit the amount of potential sales for a particular period (</w:t>
      </w:r>
      <w:r>
        <w:rPr>
          <w:rFonts w:ascii="Times New Roman" w:hAnsi="Times New Roman"/>
          <w:i/>
          <w:color w:val="000000"/>
          <w:sz w:val="24"/>
        </w:rPr>
        <w:t xml:space="preserve">e.g., </w:t>
      </w:r>
      <w:r>
        <w:rPr>
          <w:rFonts w:ascii="Times New Roman" w:hAnsi="Times New Roman"/>
          <w:color w:val="000000"/>
          <w:sz w:val="24"/>
        </w:rPr>
        <w:t>week,</w:t>
      </w:r>
      <w:r>
        <w:rPr>
          <w:rFonts w:ascii="Times New Roman" w:hAnsi="Times New Roman"/>
          <w:color w:val="000000"/>
          <w:sz w:val="20"/>
        </w:rPr>
        <w:t xml:space="preserve"> </w:t>
      </w:r>
      <w:r>
        <w:rPr>
          <w:rFonts w:ascii="Times New Roman" w:hAnsi="Times New Roman"/>
          <w:color w:val="000000"/>
          <w:sz w:val="24"/>
        </w:rPr>
        <w:t>month, quarter) to decrease the risk of unintended large sales (particularly if the trading plan provides for cumulative sales in the event of shortfalls).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Determine an appropriate duration for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Although Rule 10b5</w:t>
        <w:noBreakHyphen/>
        <w:t>1 does not prescribe any limits on the duration of trading plans, it is advisable to have trading plans terminate after a certain period. Requiring that trading plans have a set term will force you to re-evaluate your trading instructions periodically, and allows you to change your trading instructions (in conjunction with adopting a new plan upon the scheduled expiration of the existing plan) without raising any suspicions about the timing of those changes. It also allows you an opportunity to revert from a trading plan to normal, discretionary trading without raising questions about the timing of that switch.</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While it is important that you comply with company-imposed requirements as to the minimum duration for trading plans, you should also generally try to avoid adopting a plan that has an unnecessarily long duration.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w:t>
      </w:r>
      <w:r>
        <w:rPr>
          <w:rFonts w:ascii="Times New Roman" w:hAnsi="Times New Roman"/>
          <w:i/>
          <w:color w:val="000000"/>
          <w:sz w:val="24"/>
        </w:rPr>
        <w:t xml:space="preserve">bona fide </w:t>
      </w:r>
      <w:r>
        <w:rPr>
          <w:rFonts w:ascii="Times New Roman" w:hAnsi="Times New Roman"/>
          <w:color w:val="000000"/>
          <w:sz w:val="24"/>
        </w:rPr>
        <w:t>plan. In addition, subsequent trading will not be considered as pursuant to the trading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Accommodate for unexpected events that may warrant temporary suspension of trading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In preparing a plan, you should make allowances for unforeseen events that may warrant automatic suspension of transactions under the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 xml:space="preserve">a proxy contest, tender offer, merger, </w:t>
      </w:r>
      <w:r>
        <w:rPr>
          <w:rFonts w:ascii="Times New Roman" w:hAnsi="Times New Roman"/>
          <w:i/>
          <w:color w:val="000000"/>
          <w:sz w:val="24"/>
        </w:rPr>
        <w:t>etc.</w:t>
      </w:r>
      <w:r>
        <w:rPr>
          <w:rFonts w:ascii="Times New Roman" w:hAnsi="Times New Roman"/>
          <w:color w:val="000000"/>
          <w:sz w:val="24"/>
        </w:rPr>
        <w:t>). In particular, you should note that in the context of tender offers, you may be subject to liability under Exchange Act Rule 14e</w:t>
        <w:noBreakHyphen/>
        <w:t>3 for transactions under a plan.</w:t>
      </w:r>
    </w:p>
    <w:p>
      <w:pPr>
        <w:pStyle w:val="TextBody"/>
        <w:bidi w:val="0"/>
        <w:spacing w:before="240" w:after="283"/>
        <w:jc w:val="both"/>
        <w:rPr>
          <w:rFonts w:ascii="Times New Roman" w:hAnsi="Times New Roman"/>
          <w:sz w:val="20"/>
        </w:rPr>
      </w:pPr>
      <w:r>
        <w:rPr>
          <w:rFonts w:ascii="Times New Roman" w:hAnsi="Times New Roman"/>
          <w:color w:val="000000"/>
          <w:sz w:val="24"/>
        </w:rPr>
        <w:t>If the plan provides for purchases of securities, you should also consider whether it is appropriate to suspend trades in connection with securities offerings by the company to avoid potential liability under Regulation M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Account for the potential need to modify or terminate the plan</w:t>
      </w:r>
    </w:p>
    <w:p>
      <w:pPr>
        <w:pStyle w:val="TextBody"/>
        <w:bidi w:val="0"/>
        <w:spacing w:before="240" w:after="283"/>
        <w:jc w:val="both"/>
        <w:rPr>
          <w:rFonts w:ascii="Times New Roman" w:hAnsi="Times New Roman"/>
          <w:sz w:val="20"/>
        </w:rPr>
      </w:pPr>
      <w:r>
        <w:rPr>
          <w:rFonts w:ascii="Times New Roman" w:hAnsi="Times New Roman"/>
          <w:color w:val="000000"/>
          <w:sz w:val="24"/>
        </w:rPr>
        <w:t>While modifications are discouraged, there may be situations in which market volatility fundamentally alters the conditions under which you adopted the trading plan. To anticipate this possibility, it is advisable that a trading plan include formal provisions for its modification, subject to any company-imposed requirements with respect to the modification of plans. Modifications can then be made in a planned and limited manner, which may be helpful in defending against claims that modification of the trading plan undermines the good faith nature of the existing plan.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Similarly, it may be helpful to include a provision in the plan that permits you to terminate the plan. Although such a provision may not shield you from questions of bad faith in connection with terminating a plan, you would at least avoid having to defend why you acted in a manner that was inconsistent with the express terms of the plan. You may also want your trading plan to provide for automatic termination upon certain changes in personal circumstances such as death, bankruptcy or insolvency or divorce.</w:t>
      </w:r>
    </w:p>
    <w:p>
      <w:pPr>
        <w:pStyle w:val="TextBody"/>
        <w:bidi w:val="0"/>
        <w:spacing w:before="240" w:after="283"/>
        <w:jc w:val="both"/>
        <w:rPr>
          <w:rFonts w:ascii="Times New Roman" w:hAnsi="Times New Roman"/>
          <w:sz w:val="20"/>
        </w:rPr>
      </w:pPr>
      <w:r>
        <w:rPr>
          <w:rFonts w:ascii="Times New Roman" w:hAnsi="Times New Roman"/>
          <w:color w:val="000000"/>
          <w:sz w:val="24"/>
        </w:rPr>
        <w:t>You should be careful to restrict those circumstances in which the trading plan may be terminated without your consent. You may be subject to some hardship, for example, if the person administering the plan terminated your trading plan at a time when you possessed material nonpublic information. In that case, you would be prohibited from trading until you no longer possessed material nonpublic information (and possibly longer if, for example, the plan was terminated during a trading blackout period).</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Avoid modifying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try to avoid modifying the trading plan. Rule 10b5</w:t>
        <w:noBreakHyphen/>
        <w:t>1 requires that, to be covered by the affirmative defense, a transaction must occur pursuant to a trading plan. This requirement will not be satisfied if you alter or deviate from the trading plan (whether by changing the amount, price or timing of a purchase or sale) or if you enter into or alter a corresponding or hedging transaction or position with respect to transactions under the plan. In addition, modification of a trading plan brings into question whether the trading plan was entered in good faith and whether any prior transactions under the trading plan were in fact made pursuant to a plan for purposes of the requirements of Rule 10b5</w:t>
        <w:noBreakHyphen/>
        <w:t>1. Deviation from the trading plan also suggests that you may be modifying trading behavior to take advantage of material nonpublic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Although deviations will not be considered part of the existing trading plan for purposes of the affirmative defense, it is possible for a person acting in good faith to modify a trading plan at a time when the person is not aware of material nonpublic information. In such a situation, a purchase or sale that complies with the modified trading plan will be deemed to have been made pursuant to a new trading plan. You should note, however, that you will need to comply with company-imposed restrictions with respect to any modification of trading plans.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having an independent party administer the trading plan</w:t>
      </w:r>
    </w:p>
    <w:p>
      <w:pPr>
        <w:pStyle w:val="TextBody"/>
        <w:bidi w:val="0"/>
        <w:spacing w:before="240" w:after="283"/>
        <w:jc w:val="both"/>
        <w:rPr>
          <w:rFonts w:ascii="Times New Roman" w:hAnsi="Times New Roman"/>
          <w:sz w:val="20"/>
        </w:rPr>
      </w:pPr>
      <w:r>
        <w:rPr>
          <w:rFonts w:ascii="Times New Roman" w:hAnsi="Times New Roman"/>
          <w:color w:val="000000"/>
          <w:sz w:val="24"/>
        </w:rPr>
        <w:t>Having an independent party administer the trading plan may help to limit your exposure to potential liability for trades under the plan. Even if your trading plan is based on specific instructions or a specific formula, there is often some discretion in effecting trades under a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in deciding the specific time during a given trading day when orders will be entered) for which it may be appropriate to involve an independent decision maker.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general, when selecting someone to administer your trading plan, you should consider whether that person has a relationship with you or the company that could undermine the affirmative defense in the event of litigation. Consequently, it may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helpful to select a person with whom only a professional, arm’s-length relationship exists. You should, however, try to avoid using the person that regularly executes trades in your securities. Because you may be in frequent contact with that person, there is an increased likelihood that he or she may be in possession of material nonpublic information concerning the company when exercising discretionary authority under the plan (which is prohibited by Rule 10b5</w:t>
        <w:noBreakHyphen/>
        <w:t>1). You should also exercise caution if you are considering using a broker that is directly or indirectly affiliated with the company. If a broker works for a firm that is also the company’s investment banker, for example, there is a significant risk that the firm may have inside information concerning the company that may be imputed to the broker.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One possible approach is to have a separate department within a brokerage firm administer the plan. Many brokerage firms have a special trading desk dedicated to administering trading plans and have implemented related ethical wall procedures. A dedicated department in a brokerage firm may have more experience following complex instructions, will be more knowledgeable about the parameters of Rule 10b5</w:t>
        <w:noBreakHyphen/>
        <w:t>1 and will be less likely to be subject to influence by you.</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If you rely on someone to administer the trading plan, implement procedures to ensure their independence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help ensure that the person administering your plan is independent, your trading plan could specify that (i) you and the person administering the plan will only communicate in writing (thereby documenting all communications in case of future SEC inquiry), (ii) you will not communicate any information concerning the company or its securities to the person administering the plan and (iii) if you are using a broker, there must be ethical wall procedures to restrict communications within the brokerage firm regarding the company and your trades. To further address concerns as to the availability of the affirmative defense, it may be helpful to include a provision in your agreement with the third party that provides for the suspension or termination of trading authority if the third party becomes aware of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Protect your rights when working with brokers or other third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working with a broker or another third party in connection with a trading plan, you will typically be expected to enter into some sort of agreement with that person. Brokers, for example, will often have a standard form of stock sale agreement for purposes of implementing trading plans. Your trading instructions would typically be included as a section of the stock sale agreement or attached to the stock sale agreement as an exhibit.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While brokers will often request that you use their form of agreement, brokers will generally be amenable to the use of an alternative form or to revisions to their standard forms. Trading plans are for your benefit, and you should be proactive in defining the terms of the trading plan to ensure that your interests are adequately met. In particular, while you should consider recommendations and advice from the broker as to the trading plan generally, there should be no negotiation over the trading instructions.</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strongly advised that you have an attorney review any proposed form of trading plan for compliance with Rule 10b5</w:t>
        <w:noBreakHyphen/>
        <w:t>1 as well as to protect your legal rights generally. You should expect that third parties will request certain rights and protections (such as indemnification) that may be to your potential detriment.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Provide the person administering the trading plan with some flexibility in executing orders</w:t>
      </w:r>
    </w:p>
    <w:p>
      <w:pPr>
        <w:pStyle w:val="TextBody"/>
        <w:bidi w:val="0"/>
        <w:spacing w:before="240" w:after="283"/>
        <w:jc w:val="both"/>
        <w:rPr>
          <w:rFonts w:ascii="Times New Roman" w:hAnsi="Times New Roman"/>
          <w:sz w:val="20"/>
        </w:rPr>
      </w:pPr>
      <w:r>
        <w:rPr>
          <w:rFonts w:ascii="Times New Roman" w:hAnsi="Times New Roman"/>
          <w:color w:val="000000"/>
          <w:sz w:val="24"/>
        </w:rPr>
        <w:t>If a third party is administering the plan, you should try to provide that person with some flexibility in executing orders. Otherwise, trades may not occur as planned. Factors such as insufficient trading volume and market volatility may prevent trades from being executed as planned, particularly if the trading plan includes strict instructions with respect to the timing of transactions or provides for block purchases or sales. You should also consider how to handle any shortfalls that may occur if the person administering the plan is unable or otherwise fails to effect all transactions specified in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delegating the precise timing of trades to a third party</w:t>
      </w:r>
    </w:p>
    <w:p>
      <w:pPr>
        <w:pStyle w:val="TextBody"/>
        <w:bidi w:val="0"/>
        <w:spacing w:before="240" w:after="283"/>
        <w:jc w:val="both"/>
        <w:rPr>
          <w:rFonts w:ascii="Times New Roman" w:hAnsi="Times New Roman"/>
          <w:sz w:val="20"/>
        </w:rPr>
      </w:pPr>
      <w:r>
        <w:rPr>
          <w:rFonts w:ascii="Times New Roman" w:hAnsi="Times New Roman"/>
          <w:color w:val="000000"/>
          <w:sz w:val="24"/>
        </w:rPr>
        <w:t>Where appropriate, to minimize the risk of allegations that you (i) selected the precise timing of trades based on your knowledge of material nonpublic information or (ii) affected the timing of disclosure to manipulate the stock price to your benefit, you should consider delegating discretion regarding the exact timing of trades, within a specified period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five trading days), to a stockbroker or other third party administering the plan. This may also be beneficial since that other person may be able to maximize proceeds from sales by taking into account publicly available information and general market trend information when determining the precise timing of trades. In contrast, the use of a pre-designated date and/or time may lock you into a trade at an inopportune time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when prices are unusually low).</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3" w:name="ck0001726445-ex23_1.htm"/>
      <w:bookmarkStart w:id="44" w:name="ksck0001726445ex23_1"/>
      <w:bookmarkEnd w:id="43"/>
      <w:bookmarkEnd w:id="44"/>
      <w:r>
        <w:rPr>
          <w:rFonts w:ascii="Times New Roman" w:hAnsi="Times New Roman"/>
          <w:b/>
          <w:color w:val="000000"/>
          <w:sz w:val="22"/>
        </w:rPr>
        <w:t>Exhibit 23.1</w:t>
      </w:r>
      <w:r>
        <w:br w:type="page"/>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incorporation by reference in Registration Statements No. 333-270351, 333-263268, 333-252534, and 333-251158 on Form S-8 of our report dated March 4, 2024, relating to the financial statements of Seer, Inc. appearing in this Annual Report on Form 10-K for the year ended December 31, 2023.</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jc w:val="left"/>
        <w:rPr>
          <w:rFonts w:ascii="Times New Roman" w:hAnsi="Times New Roman"/>
          <w:color w:val="000000"/>
          <w:sz w:val="22"/>
        </w:rPr>
      </w:pPr>
      <w:r>
        <w:rPr>
          <w:rFonts w:ascii="Times New Roman" w:hAnsi="Times New Roman"/>
          <w:color w:val="000000"/>
          <w:sz w:val="22"/>
        </w:rPr>
        <w:t>San Francisco, California</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March 4,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45" w:name="ck0001726445-ex31_1.htm"/>
      <w:bookmarkStart w:id="46" w:name="ksck0001726445ex31_1"/>
      <w:bookmarkEnd w:id="45"/>
      <w:bookmarkEnd w:id="4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bookmarkStart w:id="47" w:name="section1"/>
      <w:bookmarkEnd w:id="47"/>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of Seer,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1786"/>
        <w:gridCol w:w="4996"/>
      </w:tblGrid>
      <w:tr>
        <w:trPr/>
        <w:tc>
          <w:tcPr>
            <w:tcW w:w="178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2024</w:t>
            </w:r>
          </w:p>
        </w:tc>
        <w:tc>
          <w:tcPr>
            <w:tcW w:w="49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Chair of the Board of Directors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48" w:name="ck0001726445-ex31_2.htm"/>
      <w:bookmarkStart w:id="49" w:name="ksck0001726445ex31_2"/>
      <w:bookmarkEnd w:id="48"/>
      <w:bookmarkEnd w:id="49"/>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bookmarkStart w:id="50" w:name="section11"/>
      <w:bookmarkEnd w:id="50"/>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of Seer,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1786"/>
        <w:gridCol w:w="3766"/>
      </w:tblGrid>
      <w:tr>
        <w:trPr/>
        <w:tc>
          <w:tcPr>
            <w:tcW w:w="178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2024</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ck0001726445-ex32_1.htm"/>
      <w:bookmarkStart w:id="52" w:name="ksck0001726445ex32_1"/>
      <w:bookmarkEnd w:id="51"/>
      <w:bookmarkEnd w:id="52"/>
      <w:r>
        <w:rPr>
          <w:rFonts w:ascii="Times New Roman" w:hAnsi="Times New Roman"/>
          <w:b/>
          <w:color w:val="000000"/>
          <w:sz w:val="20"/>
        </w:rPr>
        <w:t>Exhibit 32.1</w:t>
      </w:r>
      <w:r>
        <w:br w:type="page"/>
      </w:r>
    </w:p>
    <w:p>
      <w:pPr>
        <w:pStyle w:val="TextBody"/>
        <w:bidi w:val="0"/>
        <w:jc w:val="left"/>
        <w:rPr/>
      </w:pPr>
      <w:r>
        <w:rPr/>
        <w:t> </w:t>
      </w:r>
    </w:p>
    <w:p>
      <w:pPr>
        <w:pStyle w:val="TextBody"/>
        <w:bidi w:val="0"/>
        <w:jc w:val="left"/>
        <w:rPr>
          <w:rFonts w:ascii="Times New Roman" w:hAnsi="Times New Roman"/>
          <w:b/>
          <w:color w:val="000000"/>
          <w:sz w:val="20"/>
        </w:rPr>
      </w:pPr>
      <w:bookmarkStart w:id="53" w:name="section12"/>
      <w:bookmarkEnd w:id="53"/>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Annual Report of Seer, Inc. (the “Company”) on Form 10-K for the period ended December 31, 2023 as filed with the Securities and Exchange Commission on the date hereof (the “Report”), I, Omid Farokhzad, hereby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928" w:type="dxa"/>
        <w:jc w:val="left"/>
        <w:tblInd w:w="0" w:type="dxa"/>
        <w:tblLayout w:type="fixed"/>
        <w:tblCellMar>
          <w:top w:w="28" w:type="dxa"/>
          <w:left w:w="28" w:type="dxa"/>
          <w:bottom w:w="28" w:type="dxa"/>
          <w:right w:w="28" w:type="dxa"/>
        </w:tblCellMar>
      </w:tblPr>
      <w:tblGrid>
        <w:gridCol w:w="1786"/>
        <w:gridCol w:w="146"/>
        <w:gridCol w:w="49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Chair of the Board of Directors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ck0001726445-ex32_2.htm"/>
      <w:bookmarkStart w:id="55" w:name="ksck0001726445ex32_2"/>
      <w:bookmarkEnd w:id="54"/>
      <w:bookmarkEnd w:id="55"/>
      <w:r>
        <w:rPr>
          <w:rFonts w:ascii="Times New Roman" w:hAnsi="Times New Roman"/>
          <w:b/>
          <w:color w:val="000000"/>
          <w:sz w:val="20"/>
        </w:rPr>
        <w:t>Exhibit 32.2</w:t>
      </w:r>
      <w:r>
        <w:br w:type="page"/>
      </w:r>
    </w:p>
    <w:p>
      <w:pPr>
        <w:pStyle w:val="TextBody"/>
        <w:bidi w:val="0"/>
        <w:jc w:val="left"/>
        <w:rPr/>
      </w:pPr>
      <w:r>
        <w:rPr/>
        <w:t> </w:t>
      </w:r>
    </w:p>
    <w:p>
      <w:pPr>
        <w:pStyle w:val="TextBody"/>
        <w:bidi w:val="0"/>
        <w:jc w:val="left"/>
        <w:rPr>
          <w:rFonts w:ascii="Times New Roman" w:hAnsi="Times New Roman"/>
          <w:b/>
          <w:color w:val="000000"/>
          <w:sz w:val="20"/>
        </w:rPr>
      </w:pPr>
      <w:bookmarkStart w:id="56" w:name="section13"/>
      <w:bookmarkEnd w:id="56"/>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Annual Report of Seer, Inc. (the “Company”) on Form 10-K for the period ended December 31, 2023 as filed with the Securities and Exchange Commission on the date hereof (the “Report”), I, David Horn, hereby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786"/>
        <w:gridCol w:w="146"/>
        <w:gridCol w:w="436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Calibri;sans-serif" w:hAnsi="Calibri;sans-serif"/>
          <w:b/>
          <w:color w:val="000000"/>
          <w:sz w:val="22"/>
        </w:rPr>
      </w:pPr>
      <w:bookmarkStart w:id="57" w:name="ck0001726445-ex97_1.htm"/>
      <w:bookmarkStart w:id="58" w:name="ksck0001726445ex97_1"/>
      <w:bookmarkEnd w:id="57"/>
      <w:bookmarkEnd w:id="58"/>
      <w:r>
        <w:rPr>
          <w:rFonts w:ascii="Calibri;sans-serif" w:hAnsi="Calibri;sans-serif"/>
          <w:b/>
          <w:color w:val="000000"/>
          <w:sz w:val="22"/>
        </w:rPr>
        <w:t>Exhibit 97.1</w:t>
      </w:r>
      <w:r>
        <w:br w:type="page"/>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SEER, INC.</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COMPENSATION RECOVERY POLICY</w:t>
      </w:r>
    </w:p>
    <w:p>
      <w:pPr>
        <w:pStyle w:val="TextBody"/>
        <w:bidi w:val="0"/>
        <w:spacing w:before="240" w:after="283"/>
        <w:jc w:val="center"/>
        <w:rPr>
          <w:rFonts w:ascii="Calibri;sans-serif" w:hAnsi="Calibri;sans-serif"/>
          <w:color w:val="000000"/>
          <w:sz w:val="22"/>
        </w:rPr>
      </w:pPr>
      <w:r>
        <w:rPr>
          <w:rFonts w:ascii="Calibri;sans-serif" w:hAnsi="Calibri;sans-serif"/>
          <w:color w:val="000000"/>
          <w:sz w:val="22"/>
        </w:rPr>
        <w:t>As adopted on November 14, 2023</w:t>
      </w:r>
    </w:p>
    <w:p>
      <w:pPr>
        <w:pStyle w:val="TextBody"/>
        <w:bidi w:val="0"/>
        <w:spacing w:before="240" w:after="283"/>
        <w:jc w:val="both"/>
        <w:rPr>
          <w:rFonts w:ascii="Times New Roman" w:hAnsi="Times New Roman"/>
          <w:sz w:val="20"/>
        </w:rPr>
      </w:pPr>
      <w:r>
        <w:rPr>
          <w:rFonts w:ascii="Calibri;sans-serif" w:hAnsi="Calibri;sans-serif"/>
          <w:color w:val="000000"/>
          <w:sz w:val="22"/>
        </w:rPr>
        <w:t>Seer, Inc.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 is committed to strong corporate governance. As part of this commitment, the Talent and Compensation Committee (the “</w:t>
      </w:r>
      <w:r>
        <w:rPr>
          <w:rFonts w:ascii="Calibri;sans-serif" w:hAnsi="Calibri;sans-serif"/>
          <w:b/>
          <w:color w:val="000000"/>
          <w:sz w:val="22"/>
        </w:rPr>
        <w:t>Committee</w:t>
      </w:r>
      <w:r>
        <w:rPr>
          <w:rFonts w:ascii="Times New Roman" w:hAnsi="Times New Roman"/>
          <w:color w:val="000000"/>
          <w:sz w:val="20"/>
        </w:rPr>
        <w:t>”</w:t>
      </w:r>
      <w:r>
        <w:rPr>
          <w:rFonts w:ascii="Calibri;sans-serif" w:hAnsi="Calibri;sans-serif"/>
          <w:color w:val="000000"/>
          <w:sz w:val="22"/>
        </w:rPr>
        <w:t>) of the Company’s Board of Directors (the “</w:t>
      </w:r>
      <w:r>
        <w:rPr>
          <w:rFonts w:ascii="Calibri;sans-serif" w:hAnsi="Calibri;sans-serif"/>
          <w:b/>
          <w:color w:val="000000"/>
          <w:sz w:val="22"/>
        </w:rPr>
        <w:t>Board</w:t>
      </w:r>
      <w:r>
        <w:rPr>
          <w:rFonts w:ascii="Times New Roman" w:hAnsi="Times New Roman"/>
          <w:color w:val="000000"/>
          <w:sz w:val="20"/>
        </w:rPr>
        <w:t>”</w:t>
      </w:r>
      <w:r>
        <w:rPr>
          <w:rFonts w:ascii="Calibri;sans-serif" w:hAnsi="Calibri;sans-serif"/>
          <w:color w:val="000000"/>
          <w:sz w:val="22"/>
        </w:rPr>
        <w:t>) has adopted this clawback policy called the Compensation Recovery Policy (the “</w:t>
      </w:r>
      <w:r>
        <w:rPr>
          <w:rFonts w:ascii="Calibri;sans-serif" w:hAnsi="Calibri;sans-serif"/>
          <w:b/>
          <w:color w:val="000000"/>
          <w:sz w:val="22"/>
        </w:rPr>
        <w:t>Policy</w:t>
      </w:r>
      <w:r>
        <w:rPr>
          <w:rFonts w:ascii="Times New Roman" w:hAnsi="Times New Roman"/>
          <w:color w:val="000000"/>
          <w:sz w:val="20"/>
        </w:rPr>
        <w:t>”</w:t>
      </w:r>
      <w:r>
        <w:rPr>
          <w:rFonts w:ascii="Calibri;sans-serif" w:hAnsi="Calibri;sans-serif"/>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Calibri;sans-serif" w:hAnsi="Calibri;sans-serif"/>
          <w:color w:val="000000"/>
          <w:sz w:val="22"/>
        </w:rPr>
        <w:t>The Policy is intended to comply with, and will be interpreted in a manner consistent with, Section 10D of the Securities Exchange Act of 1934 (the “</w:t>
      </w:r>
      <w:r>
        <w:rPr>
          <w:rFonts w:ascii="Calibri;sans-serif" w:hAnsi="Calibri;sans-serif"/>
          <w:b/>
          <w:color w:val="000000"/>
          <w:sz w:val="22"/>
        </w:rPr>
        <w:t>Exchange Act</w:t>
      </w:r>
      <w:r>
        <w:rPr>
          <w:rFonts w:ascii="Times New Roman" w:hAnsi="Times New Roman"/>
          <w:color w:val="000000"/>
          <w:sz w:val="20"/>
        </w:rPr>
        <w:t>”</w:t>
      </w:r>
      <w:r>
        <w:rPr>
          <w:rFonts w:ascii="Calibri;sans-serif" w:hAnsi="Calibri;sans-serif"/>
          <w:color w:val="000000"/>
          <w:sz w:val="22"/>
        </w:rPr>
        <w:t>), with Exchange Act Rule 10D-1 and with the listing standards of the national securities exchange (the “</w:t>
      </w:r>
      <w:r>
        <w:rPr>
          <w:rFonts w:ascii="Calibri;sans-serif" w:hAnsi="Calibri;sans-serif"/>
          <w:b/>
          <w:color w:val="000000"/>
          <w:sz w:val="22"/>
        </w:rPr>
        <w:t>Exchange</w:t>
      </w:r>
      <w:r>
        <w:rPr>
          <w:rFonts w:ascii="Times New Roman" w:hAnsi="Times New Roman"/>
          <w:color w:val="000000"/>
          <w:sz w:val="20"/>
        </w:rPr>
        <w:t>”</w:t>
      </w:r>
      <w:r>
        <w:rPr>
          <w:rFonts w:ascii="Calibri;sans-serif" w:hAnsi="Calibri;sans-serif"/>
          <w:color w:val="000000"/>
          <w:sz w:val="22"/>
        </w:rPr>
        <w:t>) on which the securities of the Company are listed, including any official interpretive guidance (together, the “</w:t>
      </w:r>
      <w:r>
        <w:rPr>
          <w:rFonts w:ascii="Calibri;sans-serif" w:hAnsi="Calibri;sans-serif"/>
          <w:b/>
          <w:color w:val="000000"/>
          <w:sz w:val="22"/>
        </w:rPr>
        <w:t>Applicable Clawback Rules</w:t>
      </w:r>
      <w:r>
        <w:rPr>
          <w:rFonts w:ascii="Times New Roman" w:hAnsi="Times New Roman"/>
          <w:color w:val="000000"/>
          <w:sz w:val="20"/>
        </w:rPr>
        <w:t>”</w:t>
      </w:r>
      <w:r>
        <w:rPr>
          <w:rFonts w:ascii="Calibri;sans-serif" w:hAnsi="Calibri;sans-serif"/>
          <w:color w:val="000000"/>
          <w:sz w:val="22"/>
        </w:rPr>
        <w:t>).</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Persons Covered by the Policy</w:t>
      </w:r>
    </w:p>
    <w:p>
      <w:pPr>
        <w:pStyle w:val="TextBody"/>
        <w:bidi w:val="0"/>
        <w:spacing w:before="240" w:after="283"/>
        <w:jc w:val="both"/>
        <w:rPr>
          <w:rFonts w:ascii="Times New Roman" w:hAnsi="Times New Roman"/>
          <w:sz w:val="20"/>
        </w:rPr>
      </w:pPr>
      <w:r>
        <w:rPr>
          <w:rFonts w:ascii="Calibri;sans-serif" w:hAnsi="Calibri;sans-serif"/>
          <w:color w:val="262626"/>
          <w:sz w:val="22"/>
        </w:rPr>
        <w:t>The Policy is binding and enforceable against all “</w:t>
      </w:r>
      <w:r>
        <w:rPr>
          <w:rFonts w:ascii="Calibri;sans-serif" w:hAnsi="Calibri;sans-serif"/>
          <w:b/>
          <w:color w:val="262626"/>
          <w:sz w:val="22"/>
        </w:rPr>
        <w:t>Covered Executives.</w:t>
      </w:r>
      <w:r>
        <w:rPr>
          <w:rFonts w:ascii="Times New Roman" w:hAnsi="Times New Roman"/>
          <w:color w:val="262626"/>
          <w:sz w:val="20"/>
        </w:rPr>
        <w:t xml:space="preserve">” </w:t>
      </w:r>
      <w:r>
        <w:rPr>
          <w:rFonts w:ascii="Calibri;sans-serif" w:hAnsi="Calibri;sans-serif"/>
          <w:color w:val="262626"/>
          <w:sz w:val="22"/>
        </w:rPr>
        <w:t>A Covered Executive is each individual who is or was ever designated as an “officer” by the Board in accordance with Exchange Act Rule 16a-1(f) (a “</w:t>
      </w:r>
      <w:r>
        <w:rPr>
          <w:rFonts w:ascii="Calibri;sans-serif" w:hAnsi="Calibri;sans-serif"/>
          <w:b/>
          <w:color w:val="262626"/>
          <w:sz w:val="22"/>
        </w:rPr>
        <w:t>Section 16 Officer</w:t>
      </w:r>
      <w:r>
        <w:rPr>
          <w:rFonts w:ascii="Times New Roman" w:hAnsi="Times New Roman"/>
          <w:color w:val="262626"/>
          <w:sz w:val="20"/>
        </w:rPr>
        <w:t>”</w:t>
      </w:r>
      <w:r>
        <w:rPr>
          <w:rFonts w:ascii="Calibri;sans-serif" w:hAnsi="Calibri;sans-serif"/>
          <w:color w:val="262626"/>
          <w:sz w:val="22"/>
        </w:rPr>
        <w:t>). The Committee may (but is not obligated to) request that a Covered Executive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Administration of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Accounting Restatements Requiring Application of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Calibri;sans-serif" w:hAnsi="Calibri;sans-serif"/>
          <w:b/>
          <w:color w:val="000000"/>
          <w:sz w:val="22"/>
        </w:rPr>
        <w:t>Accounting Restatement</w:t>
      </w:r>
      <w:r>
        <w:rPr>
          <w:rFonts w:ascii="Times New Roman" w:hAnsi="Times New Roman"/>
          <w:color w:val="000000"/>
          <w:sz w:val="20"/>
        </w:rPr>
        <w:t>”</w:t>
      </w:r>
      <w:r>
        <w:rPr>
          <w:rFonts w:ascii="Calibri;sans-serif" w:hAnsi="Calibri;sans-serif"/>
          <w:color w:val="000000"/>
          <w:sz w:val="22"/>
        </w:rPr>
        <w:t>), then the</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Calibri;sans-serif" w:hAnsi="Calibri;sans-serif"/>
          <w:color w:val="000000"/>
          <w:sz w:val="22"/>
        </w:rPr>
        <w:t>Committee must determine the Excess Compensation, if any, that must be recovered. The Company’s obligation to recover Excess Compensation is not dependent on if or when restated financial statements are filed.</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Compensation Covered by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 xml:space="preserve">The Policy applies to certain </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 xml:space="preserve">(certain terms used in this Section are defined below) that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on or after October 2, 2023 (the “</w:t>
      </w:r>
      <w:r>
        <w:rPr>
          <w:rFonts w:ascii="Calibri;sans-serif" w:hAnsi="Calibri;sans-serif"/>
          <w:b/>
          <w:color w:val="000000"/>
          <w:sz w:val="22"/>
        </w:rPr>
        <w:t>Effective Date</w:t>
      </w:r>
      <w:r>
        <w:rPr>
          <w:rFonts w:ascii="Times New Roman" w:hAnsi="Times New Roman"/>
          <w:color w:val="000000"/>
          <w:sz w:val="20"/>
        </w:rPr>
        <w:t>”</w:t>
      </w:r>
      <w:r>
        <w:rPr>
          <w:rFonts w:ascii="Calibri;sans-serif" w:hAnsi="Calibri;sans-serif"/>
          <w:color w:val="000000"/>
          <w:sz w:val="22"/>
        </w:rPr>
        <w:t xml:space="preserve">), during the </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while the Company has a class of securities listed on a national securities exchange. Such Incentive-Based Compensation is considered “</w:t>
      </w:r>
      <w:r>
        <w:rPr>
          <w:rFonts w:ascii="Calibri;sans-serif" w:hAnsi="Calibri;sans-serif"/>
          <w:b/>
          <w:color w:val="000000"/>
          <w:sz w:val="22"/>
        </w:rPr>
        <w:t>Clawback Eligible Incentive-Based Compensation</w:t>
      </w:r>
      <w:r>
        <w:rPr>
          <w:rFonts w:ascii="Times New Roman" w:hAnsi="Times New Roman"/>
          <w:color w:val="000000"/>
          <w:sz w:val="20"/>
        </w:rPr>
        <w:t xml:space="preserve">” </w:t>
      </w:r>
      <w:r>
        <w:rPr>
          <w:rFonts w:ascii="Calibri;sans-serif" w:hAnsi="Calibri;sans-serif"/>
          <w:color w:val="000000"/>
          <w:sz w:val="22"/>
        </w:rPr>
        <w:t>if the Incentive-Based Compensation is Received by a person after such person became a Section 16 Officer and the person served as a Section 16 Officer at any time during the performance period for the Incentive-Based Compensation.</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Excess Compensation</w:t>
      </w:r>
      <w:r>
        <w:rPr>
          <w:rFonts w:ascii="Times New Roman" w:hAnsi="Times New Roman"/>
          <w:color w:val="000000"/>
          <w:sz w:val="20"/>
        </w:rPr>
        <w:t xml:space="preserve">” </w:t>
      </w:r>
      <w:r>
        <w:rPr>
          <w:rFonts w:ascii="Calibri;sans-serif" w:hAnsi="Calibri;sans-serif"/>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 standards of the Exchange as “erroneously awarded compensation.”</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before="240" w:after="283"/>
        <w:jc w:val="both"/>
        <w:rPr/>
      </w:pPr>
      <w:r>
        <w:rPr>
          <w:color w:val="000000"/>
        </w:rPr>
        <w:t>“</w:t>
      </w:r>
      <w:r>
        <w:rPr>
          <w:rFonts w:ascii="Calibri;sans-serif" w:hAnsi="Calibri;sans-serif"/>
          <w:b/>
          <w:color w:val="000000"/>
          <w:sz w:val="22"/>
        </w:rPr>
        <w:t>Excess Share Number</w:t>
      </w:r>
      <w:r>
        <w:rPr>
          <w:rFonts w:ascii="Times New Roman" w:hAnsi="Times New Roman"/>
          <w:color w:val="000000"/>
          <w:sz w:val="20"/>
        </w:rPr>
        <w:t xml:space="preserve">” </w:t>
      </w:r>
      <w:r>
        <w:rPr>
          <w:rFonts w:ascii="Calibri;sans-serif" w:hAnsi="Calibri;sans-serif"/>
          <w:color w:val="000000"/>
          <w:sz w:val="22"/>
        </w:rPr>
        <w:t>means the number of such securities Received in excess of the number that should have been Received applying the restated Financial Reporting Measure.</w:t>
      </w:r>
    </w:p>
    <w:p>
      <w:pPr>
        <w:pStyle w:val="TextBody"/>
        <w:bidi w:val="0"/>
        <w:spacing w:before="240" w:after="283"/>
        <w:jc w:val="both"/>
        <w:rPr/>
      </w:pPr>
      <w:r>
        <w:rPr>
          <w:color w:val="000000"/>
        </w:rPr>
        <w:t>“</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Financial Reporting Measures</w:t>
      </w:r>
      <w:r>
        <w:rPr>
          <w:rFonts w:ascii="Times New Roman" w:hAnsi="Times New Roman"/>
          <w:color w:val="000000"/>
          <w:sz w:val="20"/>
        </w:rPr>
        <w:t xml:space="preserve">” </w:t>
      </w:r>
      <w:r>
        <w:rPr>
          <w:rFonts w:ascii="Calibri;sans-serif" w:hAnsi="Calibri;sans-serif"/>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2"/>
        </w:rPr>
        <w:t>Incentive-Based Compensation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Accounting Restatement Determination Date</w:t>
      </w:r>
      <w:r>
        <w:rPr>
          <w:rFonts w:ascii="Times New Roman" w:hAnsi="Times New Roman"/>
          <w:color w:val="000000"/>
          <w:sz w:val="20"/>
        </w:rPr>
        <w:t xml:space="preserve">” </w:t>
      </w:r>
      <w:r>
        <w:rPr>
          <w:rFonts w:ascii="Calibri;sans-serif" w:hAnsi="Calibri;sans-serif"/>
          <w:color w:val="000000"/>
          <w:sz w:val="22"/>
        </w:rPr>
        <w:t>means the earliest to occur of: (a) the date the Board, a committee of the Board, or one or more of the officers of the Company authorized to take such action if Board</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Repayment of Excess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requiring reimbursement of cash Incentive-Based Compensation previously paid; </w:t>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seeking recovery of any gain realized on the vesting, exercise, settlement, sale, transfer, or other disposition of any equity-based awards (including, but not limited to, time-based vesting awards not based on the attainment of any financial reporting measures), without regard to whether such awards are Incentive-Based Compensation or vest based on the achievement of performance goals; </w:t>
      </w:r>
    </w:p>
    <w:p>
      <w:pPr>
        <w:pStyle w:val="TextBody"/>
        <w:bidi w:val="0"/>
        <w:spacing w:before="240" w:after="283"/>
        <w:jc w:val="both"/>
        <w:rPr>
          <w:rFonts w:ascii="Calibri" w:hAnsi="Calibri"/>
          <w:color w:val="000000"/>
          <w:sz w:val="22"/>
        </w:rPr>
      </w:pPr>
      <w:r>
        <w:rPr>
          <w:rFonts w:ascii="Calibri" w:hAnsi="Calibri"/>
          <w:color w:val="000000"/>
          <w:sz w:val="22"/>
        </w:rPr>
        <w:t>(c)</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Calibri" w:hAnsi="Calibri"/>
          <w:color w:val="000000"/>
          <w:sz w:val="22"/>
        </w:rPr>
      </w:pPr>
      <w:r>
        <w:rPr>
          <w:rFonts w:ascii="Calibri" w:hAnsi="Calibri"/>
          <w:color w:val="000000"/>
          <w:sz w:val="22"/>
        </w:rPr>
        <w:t>(d)</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240" w:after="283"/>
        <w:jc w:val="both"/>
        <w:rPr>
          <w:rFonts w:ascii="Calibri" w:hAnsi="Calibri"/>
          <w:color w:val="000000"/>
          <w:sz w:val="22"/>
        </w:rPr>
      </w:pPr>
      <w:r>
        <w:rPr>
          <w:rFonts w:ascii="Calibri" w:hAnsi="Calibri"/>
          <w:color w:val="000000"/>
          <w:sz w:val="22"/>
        </w:rPr>
        <w:t>(e)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Calibri;sans-serif" w:hAnsi="Calibri;sans-serif"/>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Calibri;sans-serif" w:hAnsi="Calibri;sans-serif"/>
          <w:color w:val="000000"/>
          <w:sz w:val="22"/>
        </w:rPr>
        <w:t>Any recovery of Excess Compensation will be completed in a manner consistent with the Applicable Clawback Rules. Unless otherwise required by the Applicable Clawback Rules or unless inconsistent with the Applicable Clawback Rules, recovery with respect to any award (or a portion of the award) of options, stock appreciation rights or restricted stock units, or other equity award covering shares of Company stock that is Excess Compensation will be completed by the methods described in this paragraph. If the award is still held at the time of recovery, the Excess Compensation will be recovered by reducing the number of shares underlying the award by the Excess Number. The “</w:t>
      </w:r>
      <w:r>
        <w:rPr>
          <w:rFonts w:ascii="Calibri;sans-serif" w:hAnsi="Calibri;sans-serif"/>
          <w:b/>
          <w:color w:val="000000"/>
          <w:sz w:val="22"/>
        </w:rPr>
        <w:t>Excess Number</w:t>
      </w:r>
      <w:r>
        <w:rPr>
          <w:rFonts w:ascii="Times New Roman" w:hAnsi="Times New Roman"/>
          <w:color w:val="000000"/>
          <w:sz w:val="20"/>
        </w:rPr>
        <w:t xml:space="preserve">” </w:t>
      </w:r>
      <w:r>
        <w:rPr>
          <w:rFonts w:ascii="Calibri;sans-serif" w:hAnsi="Calibri;sans-serif"/>
          <w:color w:val="000000"/>
          <w:sz w:val="22"/>
        </w:rPr>
        <w:t>is the number of shares Received under an award in excess of the number that should have been Received applying the restated Financial Reporting Measure. However, if the total number of shares that are subject to the award at the time of recovery is less than the Excess Number, then first, all of the shares subject to the award will be forfeited and second, the remaining Excess Number of shares not recoverable by such forfeiture will be recovered as follows. If the award has been exercised or settled, as applicable, but the shares issued under the award have not been sold, then the remaining Excess Number of such shares not yet sold will be required to be returned to the Company.</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Calibri;sans-serif" w:hAnsi="Calibri;sans-serif"/>
          <w:color w:val="000000"/>
          <w:sz w:val="22"/>
        </w:rPr>
      </w:pPr>
      <w:r>
        <w:rPr>
          <w:rFonts w:ascii="Calibri;sans-serif" w:hAnsi="Calibri;sans-serif"/>
          <w:color w:val="000000"/>
          <w:sz w:val="22"/>
        </w:rPr>
        <w:t>Solely by way of example, if: (a) a Covered Executive Received ten (10) shares in Clawback Eligible Incentive-Based Compensation under an award of restricted stock units, (b) all ten (10) shares were issued under the award to the Covered Executive, and (c) two (2) of those shares would not have been Received applying the restated Financial Reporting Measure, then such two (2) shares are the Excess Number constituting Excess Compensation. In this example, the Covered Executive would be required to return to the Company such two (2) shares that were issued to the Covered Executive.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If the sum of (x) the number of shares subject to the award that are reduced and (y) the shares issued under the award that are recovered is less than the Excess Number, and: (i) any shares issued under the award were sold, then the remaining Excess Compensation to be recovered will be equal to the dollar amount of the sale proceeds applicable to the number of shares constituting the remaining Excess Number, applied in chronological order in the case of multiple sales, meaning the earliest sales would be considered first (but net of any exercise price, to reflect any applicable exercise price paid). This paragraph addresses specific situations relating to equity awards, but is not intended to cover all circumstances (for example, if the Covered Executive had donated all of the shares issued under an equity award to a charity). In all cases, recovery under this Policy will be completed in accordance with the Applicable Clawback Rules.</w:t>
      </w:r>
    </w:p>
    <w:p>
      <w:pPr>
        <w:pStyle w:val="TextBody"/>
        <w:bidi w:val="0"/>
        <w:spacing w:before="240" w:after="283"/>
        <w:jc w:val="both"/>
        <w:rPr>
          <w:rFonts w:ascii="Times New Roman" w:hAnsi="Times New Roman"/>
          <w:sz w:val="20"/>
        </w:rPr>
      </w:pPr>
      <w:r>
        <w:rPr>
          <w:rFonts w:ascii="Calibri;sans-serif" w:hAnsi="Calibri;sans-serif"/>
          <w:color w:val="000000"/>
          <w:sz w:val="22"/>
        </w:rPr>
        <w:t>In order to prevent duplicative recovery, to the extent the Company recovers pursuant to Section 304 of the Sarbanes-Oxley Act or other Company recovery obligations any Incentive-Based Compensation that also is subject to recovery under this Policy, then, unless prohibited by the Applicable Clawback Rules, the amount already reimbursed by the Covered Executive under such obligations will be credited to the required recovery under this Policy.</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For the avoidance of doubt, any recovery under this Policy applies only to Excess Compensation. However, 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or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Limited Exceptions to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Other Important Information in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Calibri;sans-serif" w:hAnsi="Calibri;sans-serif"/>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Committee or Board may review and modify the Policy from time to time.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will terminate and no longer be enforceable when the Company ceases to be a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ACKNOWLEDGEMENT</w:t>
      </w:r>
    </w:p>
    <w:p>
      <w:pPr>
        <w:pStyle w:val="TextBody"/>
        <w:bidi w:val="0"/>
        <w:spacing w:before="240" w:after="283"/>
        <w:jc w:val="both"/>
        <w:rPr>
          <w:rFonts w:ascii="Times New Roman" w:hAnsi="Times New Roman"/>
          <w:sz w:val="20"/>
        </w:rPr>
      </w:pPr>
      <w:r>
        <w:rPr>
          <w:rFonts w:ascii="Calibri;sans-serif" w:hAnsi="Calibri;sans-serif"/>
          <w:color w:val="000000"/>
          <w:sz w:val="22"/>
        </w:rPr>
        <w:t>I acknowledge that I have received, read, and understood the Compensation Recovery Policy (the “</w:t>
      </w:r>
      <w:r>
        <w:rPr>
          <w:rFonts w:ascii="Calibri;sans-serif" w:hAnsi="Calibri;sans-serif"/>
          <w:b/>
          <w:color w:val="000000"/>
          <w:sz w:val="22"/>
        </w:rPr>
        <w:t>Policy</w:t>
      </w:r>
      <w:r>
        <w:rPr>
          <w:rFonts w:ascii="Times New Roman" w:hAnsi="Times New Roman"/>
          <w:color w:val="000000"/>
          <w:sz w:val="20"/>
        </w:rPr>
        <w:t>”</w:t>
      </w:r>
      <w:r>
        <w:rPr>
          <w:rFonts w:ascii="Calibri;sans-serif" w:hAnsi="Calibri;sans-serif"/>
          <w:color w:val="000000"/>
          <w:sz w:val="22"/>
        </w:rPr>
        <w:t>) of Seer, Inc.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Please review, sign and return this form to Human Resources.</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240" w:after="283"/>
              <w:jc w:val="left"/>
              <w:rPr>
                <w:rFonts w:ascii="Calibri;sans-serif" w:hAnsi="Calibri;sans-serif"/>
                <w:b/>
                <w:color w:val="000000"/>
                <w:sz w:val="22"/>
              </w:rPr>
            </w:pPr>
            <w:r>
              <w:rPr>
                <w:rFonts w:ascii="Calibri;sans-serif" w:hAnsi="Calibri;sans-serif"/>
                <w:b/>
                <w:color w:val="000000"/>
                <w:sz w:val="22"/>
              </w:rPr>
              <w:t>Covered Executive</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print name</w:t>
            </w:r>
            <w:r>
              <w:rPr>
                <w:rFonts w:ascii="Calibri;sans-serif" w:hAnsi="Calibri;sans-serif"/>
                <w:color w:val="000000"/>
                <w:sz w:val="22"/>
              </w:rPr>
              <w:t>)</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signature</w:t>
            </w:r>
            <w:r>
              <w:rPr>
                <w:rFonts w:ascii="Calibri;sans-serif" w:hAnsi="Calibri;sans-serif"/>
                <w:color w:val="000000"/>
                <w:sz w:val="22"/>
              </w:rPr>
              <w:t>)</w:t>
            </w:r>
          </w:p>
        </w:tc>
      </w:tr>
      <w:tr>
        <w:trPr/>
        <w:tc>
          <w:tcPr>
            <w:tcW w:w="1891"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Calibri;sans-serif" w:hAnsi="Calibri;sans-serif"/>
                <w:i/>
                <w:color w:val="000000"/>
                <w:sz w:val="22"/>
              </w:rPr>
            </w:pPr>
            <w:r>
              <w:rPr>
                <w:rFonts w:ascii="Calibri;sans-serif" w:hAnsi="Calibri;sans-serif"/>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s://www.sec.gov/Archives/edgar/data/1726445/000162828020017214/exhibit31-closing8xk.htm" TargetMode="External"/><Relationship Id="rId20" Type="http://schemas.openxmlformats.org/officeDocument/2006/relationships/hyperlink" Target="https://www.sec.gov/Archives/edgar/data/1726445/000162828023022349/a31amendmenttotheamendedan.htm" TargetMode="External"/><Relationship Id="rId21" Type="http://schemas.openxmlformats.org/officeDocument/2006/relationships/hyperlink" Target="https://www.sec.gov/Archives/edgar/data/1726445/000162828023022349/a32amendedandrestatedbylaw.htm" TargetMode="External"/><Relationship Id="rId22" Type="http://schemas.openxmlformats.org/officeDocument/2006/relationships/hyperlink" Target="https://www.sec.gov/Archives/edgar/data/1726445/000162828020016325/exhibit41-stockcertifi.htm" TargetMode="External"/><Relationship Id="rId23" Type="http://schemas.openxmlformats.org/officeDocument/2006/relationships/hyperlink" Target="https://www.sec.gov/Archives/edgar/data/1726445/000162828020016325/exhibit101-sx1xformofi.htm" TargetMode="External"/><Relationship Id="rId24" Type="http://schemas.openxmlformats.org/officeDocument/2006/relationships/hyperlink" Target="https://www.sec.gov/Archives/edgar/data/1726445/000162828020016863/exhibit102-sx1a1.htm" TargetMode="External"/><Relationship Id="rId25" Type="http://schemas.openxmlformats.org/officeDocument/2006/relationships/hyperlink" Target="https://www.sec.gov/Archives/edgar/data/1726445/000162828020016863/exhibit103-sx1a1.htm" TargetMode="External"/><Relationship Id="rId26" Type="http://schemas.openxmlformats.org/officeDocument/2006/relationships/hyperlink" Target="https://www.sec.gov/Archives/edgar/data/1726445/000162828020016863/exhibit104-sx1a1.htm" TargetMode="External"/><Relationship Id="rId27" Type="http://schemas.openxmlformats.org/officeDocument/2006/relationships/hyperlink" Target="https://www.sec.gov/Archives/edgar/data/1726445/000162828023006976/exhibit43-2020employeestoc.htm" TargetMode="External"/><Relationship Id="rId28" Type="http://schemas.openxmlformats.org/officeDocument/2006/relationships/hyperlink" Target="https://www.sec.gov/Archives/edgar/data/1726445/000162828023006976/exhibit43-2020employeestoc.htm" TargetMode="External"/><Relationship Id="rId29" Type="http://schemas.openxmlformats.org/officeDocument/2006/relationships/hyperlink" Target="https://www.sec.gov/Archives/edgar/data/1726445/000162828020016863/exhibit107-sx1a1.htm" TargetMode="External"/><Relationship Id="rId30" Type="http://schemas.openxmlformats.org/officeDocument/2006/relationships/hyperlink" Target="https://www.sec.gov/Archives/edgar/data/1726445/000162828020016863/exhibit109-sx1a1.htm" TargetMode="External"/><Relationship Id="rId31" Type="http://schemas.openxmlformats.org/officeDocument/2006/relationships/hyperlink" Target="https://www.sec.gov/Archives/edgar/data/1726445/000162828020016863/exhibit1010-sx1a1.htm" TargetMode="External"/><Relationship Id="rId32" Type="http://schemas.openxmlformats.org/officeDocument/2006/relationships/hyperlink" Target="https://www.sec.gov/Archives/edgar/data/1726445/000162828020016863/exhibit1011-sx1a1.htm" TargetMode="External"/><Relationship Id="rId33" Type="http://schemas.openxmlformats.org/officeDocument/2006/relationships/hyperlink" Target="https://www.sec.gov/Archives/edgar/data/1726445/000162828020016325/exhibit1014-sx1xumbrel.htm" TargetMode="External"/><Relationship Id="rId34" Type="http://schemas.openxmlformats.org/officeDocument/2006/relationships/hyperlink" Target="https://www.sec.gov/Archives/edgar/data/1726445/000162828020016325/exhibit1015-sx1xexclus.htm" TargetMode="External"/><Relationship Id="rId35" Type="http://schemas.openxmlformats.org/officeDocument/2006/relationships/hyperlink" Target="https://www.sec.gov/Archives/edgar/data/1726445/000162828023016850/outsidedirectorcompensatio.htm" TargetMode="External"/><Relationship Id="rId36" Type="http://schemas.openxmlformats.org/officeDocument/2006/relationships/hyperlink" Target="https://www.sec.gov/Archives/edgar/data/1726445/000162828023037381/a101keyexecutivechangeinco.htm" TargetMode="External"/><Relationship Id="rId37" Type="http://schemas.openxmlformats.org/officeDocument/2006/relationships/hyperlink" Target="https://www.sec.gov/Archives/edgar/data/1726445/000162828023006564/ex-211listofsubsidiaries.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94946</Words>
  <Characters>529721</Characters>
  <CharactersWithSpaces>624361</CharactersWithSpaces>
  <Paragraphs>7552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