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17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January 25, 2021</w:t>
      </w:r>
    </w:p>
    <w:p>
      <w:pPr>
        <w:spacing w:after="0" w:line="155"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SEER, INC.</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44" w:lineRule="exact"/>
        <w:rPr>
          <w:sz w:val="24"/>
          <w:szCs w:val="24"/>
          <w:color w:val="auto"/>
        </w:rPr>
      </w:pPr>
    </w:p>
    <w:tbl>
      <w:tblPr>
        <w:tblLayout w:type="fixed"/>
        <w:tblInd w:w="540" w:type="dxa"/>
        <w:tblCellMar>
          <w:top w:w="0" w:type="dxa"/>
          <w:left w:w="0" w:type="dxa"/>
          <w:bottom w:w="0" w:type="dxa"/>
          <w:right w:w="0" w:type="dxa"/>
        </w:tblCellMar>
      </w:tblPr>
      <w:tr>
        <w:trPr>
          <w:trHeight w:val="190"/>
        </w:trPr>
        <w:tc>
          <w:tcPr>
            <w:tcW w:w="3580" w:type="dxa"/>
            <w:vAlign w:val="bottom"/>
          </w:tcPr>
          <w:p>
            <w:pPr>
              <w:jc w:val="center"/>
              <w:ind w:right="528"/>
              <w:spacing w:after="0"/>
              <w:rPr>
                <w:sz w:val="20"/>
                <w:szCs w:val="20"/>
                <w:color w:val="auto"/>
              </w:rPr>
            </w:pPr>
            <w:r>
              <w:rPr>
                <w:rFonts w:ascii="Arial" w:cs="Arial" w:eastAsia="Arial" w:hAnsi="Arial"/>
                <w:sz w:val="14"/>
                <w:szCs w:val="14"/>
                <w:b w:val="1"/>
                <w:bCs w:val="1"/>
                <w:color w:val="auto"/>
              </w:rPr>
              <w:t>Delaware</w:t>
            </w:r>
          </w:p>
        </w:tc>
        <w:tc>
          <w:tcPr>
            <w:tcW w:w="3460" w:type="dxa"/>
            <w:vAlign w:val="bottom"/>
          </w:tcPr>
          <w:p>
            <w:pPr>
              <w:jc w:val="right"/>
              <w:ind w:right="1528"/>
              <w:spacing w:after="0"/>
              <w:rPr>
                <w:sz w:val="20"/>
                <w:szCs w:val="20"/>
                <w:color w:val="auto"/>
              </w:rPr>
            </w:pPr>
            <w:r>
              <w:rPr>
                <w:rFonts w:ascii="Arial" w:cs="Arial" w:eastAsia="Arial" w:hAnsi="Arial"/>
                <w:sz w:val="14"/>
                <w:szCs w:val="14"/>
                <w:b w:val="1"/>
                <w:bCs w:val="1"/>
                <w:color w:val="auto"/>
              </w:rPr>
              <w:t>001-39747</w:t>
            </w:r>
          </w:p>
        </w:tc>
        <w:tc>
          <w:tcPr>
            <w:tcW w:w="2240" w:type="dxa"/>
            <w:vAlign w:val="bottom"/>
          </w:tcPr>
          <w:p>
            <w:pPr>
              <w:jc w:val="center"/>
              <w:ind w:left="968"/>
              <w:spacing w:after="0"/>
              <w:rPr>
                <w:sz w:val="20"/>
                <w:szCs w:val="20"/>
                <w:color w:val="auto"/>
              </w:rPr>
            </w:pPr>
            <w:r>
              <w:rPr>
                <w:rFonts w:ascii="Arial" w:cs="Arial" w:eastAsia="Arial" w:hAnsi="Arial"/>
                <w:sz w:val="14"/>
                <w:szCs w:val="14"/>
                <w:b w:val="1"/>
                <w:bCs w:val="1"/>
                <w:color w:val="auto"/>
              </w:rPr>
              <w:t>82-1153150</w:t>
            </w:r>
          </w:p>
        </w:tc>
        <w:tc>
          <w:tcPr>
            <w:tcW w:w="0" w:type="dxa"/>
            <w:vAlign w:val="bottom"/>
          </w:tcPr>
          <w:p>
            <w:pPr>
              <w:spacing w:after="0"/>
              <w:rPr>
                <w:sz w:val="1"/>
                <w:szCs w:val="1"/>
                <w:color w:val="auto"/>
              </w:rPr>
            </w:pPr>
          </w:p>
        </w:tc>
      </w:tr>
      <w:tr>
        <w:trPr>
          <w:trHeight w:val="188"/>
        </w:trPr>
        <w:tc>
          <w:tcPr>
            <w:tcW w:w="358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rPr>
              <w:t>(State or other jurisdiction of incorporation)</w:t>
            </w:r>
          </w:p>
        </w:tc>
        <w:tc>
          <w:tcPr>
            <w:tcW w:w="3460" w:type="dxa"/>
            <w:vAlign w:val="bottom"/>
            <w:vMerge w:val="restart"/>
          </w:tcPr>
          <w:p>
            <w:pPr>
              <w:jc w:val="center"/>
              <w:ind w:right="368"/>
              <w:spacing w:after="0"/>
              <w:rPr>
                <w:sz w:val="20"/>
                <w:szCs w:val="20"/>
                <w:color w:val="auto"/>
              </w:rPr>
            </w:pPr>
            <w:r>
              <w:rPr>
                <w:rFonts w:ascii="Arial" w:cs="Arial" w:eastAsia="Arial" w:hAnsi="Arial"/>
                <w:sz w:val="14"/>
                <w:szCs w:val="14"/>
                <w:b w:val="1"/>
                <w:bCs w:val="1"/>
                <w:color w:val="auto"/>
              </w:rPr>
              <w:t>(Commission File Number)</w:t>
            </w:r>
          </w:p>
        </w:tc>
        <w:tc>
          <w:tcPr>
            <w:tcW w:w="2240" w:type="dxa"/>
            <w:vAlign w:val="bottom"/>
          </w:tcPr>
          <w:p>
            <w:pPr>
              <w:jc w:val="center"/>
              <w:ind w:left="988"/>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09"/>
        </w:trPr>
        <w:tc>
          <w:tcPr>
            <w:tcW w:w="358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2240" w:type="dxa"/>
            <w:vAlign w:val="bottom"/>
            <w:vMerge w:val="restart"/>
          </w:tcPr>
          <w:p>
            <w:pPr>
              <w:jc w:val="center"/>
              <w:ind w:left="968"/>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3800 Bridge Parkway, Suite 102</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Redwood City, California 94065</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650-453-0000</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59"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below):</w:t>
      </w:r>
    </w:p>
    <w:p>
      <w:pPr>
        <w:spacing w:after="0" w:line="215"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53" w:lineRule="exact"/>
        <w:rPr>
          <w:rFonts w:ascii="MS PGothic" w:cs="MS PGothic" w:eastAsia="MS PGothic" w:hAnsi="MS PGothic"/>
          <w:sz w:val="13"/>
          <w:szCs w:val="13"/>
          <w:color w:val="auto"/>
        </w:rPr>
      </w:pPr>
    </w:p>
    <w:p>
      <w:pPr>
        <w:ind w:left="580" w:hanging="554"/>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53" w:lineRule="exact"/>
        <w:rPr>
          <w:rFonts w:ascii="MS PGothic" w:cs="MS PGothic" w:eastAsia="MS PGothic" w:hAnsi="MS PGothic"/>
          <w:sz w:val="13"/>
          <w:szCs w:val="13"/>
          <w:color w:val="auto"/>
        </w:rPr>
      </w:pPr>
    </w:p>
    <w:p>
      <w:pPr>
        <w:ind w:left="580" w:hanging="554"/>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53" w:lineRule="exact"/>
        <w:rPr>
          <w:rFonts w:ascii="MS PGothic" w:cs="MS PGothic" w:eastAsia="MS PGothic" w:hAnsi="MS PGothic"/>
          <w:sz w:val="13"/>
          <w:szCs w:val="13"/>
          <w:color w:val="auto"/>
        </w:rPr>
      </w:pPr>
    </w:p>
    <w:p>
      <w:pPr>
        <w:ind w:left="580" w:hanging="554"/>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96"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3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Title of each class</w:t>
            </w:r>
          </w:p>
        </w:tc>
        <w:tc>
          <w:tcPr>
            <w:tcW w:w="2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Trading Symbol</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exchange on which registered</w:t>
            </w:r>
          </w:p>
        </w:tc>
      </w:tr>
      <w:tr>
        <w:trPr>
          <w:trHeight w:val="30"/>
        </w:trPr>
        <w:tc>
          <w:tcPr>
            <w:tcW w:w="4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167"/>
        </w:trPr>
        <w:tc>
          <w:tcPr>
            <w:tcW w:w="432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Class A Common Stock, par value $0.00001 per share</w:t>
            </w:r>
          </w:p>
        </w:tc>
        <w:tc>
          <w:tcPr>
            <w:tcW w:w="22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SEER</w:t>
            </w:r>
          </w:p>
        </w:tc>
        <w:tc>
          <w:tcPr>
            <w:tcW w:w="4240" w:type="dxa"/>
            <w:vAlign w:val="bottom"/>
          </w:tcPr>
          <w:p>
            <w:pPr>
              <w:jc w:val="center"/>
              <w:spacing w:after="0"/>
              <w:rPr>
                <w:sz w:val="20"/>
                <w:szCs w:val="20"/>
                <w:color w:val="auto"/>
              </w:rPr>
            </w:pPr>
            <w:r>
              <w:rPr>
                <w:rFonts w:ascii="Arial" w:cs="Arial" w:eastAsia="Arial" w:hAnsi="Arial"/>
                <w:sz w:val="13"/>
                <w:szCs w:val="13"/>
                <w:color w:val="auto"/>
                <w:w w:val="96"/>
              </w:rPr>
              <w:t>The Nasdaq Stock Market LLC</w:t>
            </w: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r>
    </w:tbl>
    <w:p>
      <w:pPr>
        <w:spacing w:after="0" w:line="132" w:lineRule="exact"/>
        <w:rPr>
          <w:sz w:val="24"/>
          <w:szCs w:val="24"/>
          <w:color w:val="auto"/>
        </w:rPr>
      </w:pPr>
    </w:p>
    <w:p>
      <w:pPr>
        <w:spacing w:after="0" w:line="242"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4" w:lineRule="exact"/>
        <w:rPr>
          <w:sz w:val="24"/>
          <w:szCs w:val="24"/>
          <w:color w:val="auto"/>
        </w:rPr>
      </w:pPr>
    </w:p>
    <w:p>
      <w:pPr>
        <w:ind w:right="26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25, 2021, Seer, Inc. (the “Company”) filed a registration statement on Form S-1 (the “Preliminary Prospectus”) with the Securities and Exchange Commission (“SEC”) relating to a proposed public offering of the Company’s Class A common stock (the “Offering”). The Company included the following disclosure in the Preliminary Prospectus (the “Preliminary Estimate”) under the heading “Recent Developments”: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cash, cash equivalents and investments were $431.9 million.”</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Preliminary Estimates are not our final cash, cash equivalents and investments results or a comprehensive statement of our financial results for the year ended December 31, 2020. We caution that our final results for the year ended December 31, 2020 that we will file with the SEC could vary significantly from these Preliminary Estimates as a result of the completion of our customary year-end closing, review and audit procedures and other developments arising between now and the time that our financial results for the year ended December 31, 2020 are finalized. The Preliminary Estimates should not be viewed as a substitute for complete financial statements prepared in accordance with generally accepted in the United States of America (“GAAP”) and they are not necessarily indicative of the results to be achieved in any future period. Accordingly, you should not place undue reliance on the Preliminary Estimates.</w:t>
      </w:r>
    </w:p>
    <w:p>
      <w:pPr>
        <w:spacing w:after="0" w:line="1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tab/>
        <w:t>Other Events.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25, 2021, the Company issued a press release announcing the commencement of the Offering. A copy of the press release is attached hereto as Exhibit 99.1 and is incorporated herein by reference.</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460" w:type="dxa"/>
            <w:vAlign w:val="bottom"/>
          </w:tcPr>
          <w:p>
            <w:pPr>
              <w:spacing w:after="0"/>
              <w:rPr>
                <w:sz w:val="18"/>
                <w:szCs w:val="18"/>
                <w:color w:val="auto"/>
              </w:rPr>
            </w:pPr>
          </w:p>
        </w:tc>
      </w:tr>
      <w:tr>
        <w:trPr>
          <w:trHeight w:val="486"/>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9460" w:type="dxa"/>
            <w:vAlign w:val="bottom"/>
          </w:tcPr>
          <w:p>
            <w:pPr>
              <w:ind w:left="4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 dated January 25, 2021</w:t>
              </w:r>
              <w:r>
                <w:rPr>
                  <w:rFonts w:ascii="Arial" w:cs="Arial" w:eastAsia="Arial" w:hAnsi="Arial"/>
                  <w:sz w:val="18"/>
                  <w:szCs w:val="18"/>
                  <w:color w:val="0000FF"/>
                </w:rPr>
                <w:t>.</w:t>
              </w:r>
            </w:hyperlink>
          </w:p>
        </w:tc>
      </w:tr>
    </w:tbl>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SEER, INC.</w:t>
      </w:r>
    </w:p>
    <w:p>
      <w:pPr>
        <w:spacing w:after="0" w:line="85" w:lineRule="exact"/>
        <w:rPr>
          <w:sz w:val="20"/>
          <w:szCs w:val="20"/>
          <w:color w:val="auto"/>
        </w:rPr>
      </w:pPr>
    </w:p>
    <w:p>
      <w:pPr>
        <w:ind w:left="65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23495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David Horn</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2021</w:t>
      </w:r>
    </w:p>
    <w:p>
      <w:pPr>
        <w:sectPr>
          <w:pgSz w:w="11900" w:h="16838" w:orient="portrait"/>
          <w:cols w:equalWidth="0" w:num="1">
            <w:col w:w="11240"/>
          </w:cols>
          <w:pgMar w:left="320" w:top="1413"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Seer Announces Proposed Public Offering of Common Stock</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21"/>
          <w:szCs w:val="21"/>
          <w:b w:val="1"/>
          <w:bCs w:val="1"/>
          <w:color w:val="auto"/>
        </w:rPr>
        <w:t xml:space="preserve">Redwood City, Calif. (January 25, 2021) </w:t>
      </w:r>
      <w:r>
        <w:rPr>
          <w:rFonts w:ascii="Arial" w:cs="Arial" w:eastAsia="Arial" w:hAnsi="Arial"/>
          <w:sz w:val="21"/>
          <w:szCs w:val="21"/>
          <w:color w:val="auto"/>
        </w:rPr>
        <w:t>– Seer, Inc., a life sciences company commercializing a disruptive new platform for</w:t>
      </w:r>
      <w:r>
        <w:rPr>
          <w:rFonts w:ascii="Arial" w:cs="Arial" w:eastAsia="Arial" w:hAnsi="Arial"/>
          <w:sz w:val="21"/>
          <w:szCs w:val="21"/>
          <w:b w:val="1"/>
          <w:bCs w:val="1"/>
          <w:color w:val="auto"/>
        </w:rPr>
        <w:t xml:space="preserve"> </w:t>
      </w:r>
      <w:r>
        <w:rPr>
          <w:rFonts w:ascii="Arial" w:cs="Arial" w:eastAsia="Arial" w:hAnsi="Arial"/>
          <w:sz w:val="21"/>
          <w:szCs w:val="21"/>
          <w:color w:val="auto"/>
        </w:rPr>
        <w:t>proteomics, today announced the commencement of a proposed underwritten public offering of 3,500,000 shares of Class A common stock (1,400,000 of which are being offered for sale by Seer and 2,100,000 are being offered for sale by selling stockholders of Seer). In addition, the selling stockholders of Seer expect to grant the underwriters a 30-day option to purchase up to 525,000 additional shares of Class A common stock at the public offering price, less underwriting discounts and commissions. The proposed offering is subject to market and other conditions, and there can be no assurance as to whether or when the offering may be completed, or as to the actual size or terms of the offering.</w:t>
      </w:r>
    </w:p>
    <w:p>
      <w:pPr>
        <w:spacing w:after="0" w:line="17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Seer intends to use the net proceeds from the offering, together with its existing cash, to commercialize the Proteograph Product Suite through ongoing sales and marketing activities, and for other development work associated with advancing the Proteograph Product Suite, research and development and general corporate purposes. Seer may also use a portion of the proceeds to in-license, acquire or invest in additional businesses, technologies, products or assets, subject to applicable regulatory restrictions. Although Seer has no specific agreements, commitments or understandings with respect to any in-licensing activity or acquisitions, Seer evaluates these opportunities and engages in related discussions with other companies from time-to-time. Seer will not receive any proceeds from the sale of shares in the offering by selling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J.P. Morgan, Morgan Stanley, BofA Securities and Cowen are acting as lead book-running managers for the offering.</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A registration statement relating to the shares being sold in this offering has been filed with the Securities and Exchange Commission but has not yet become effective. The offering is being made only by means of a prospectus, copies of which may be obtained, when available, from: J.P. Morgan Securities LLC, c/o Broadridge Financial Solutions, 1155 Long Island Avenue, Edgewood, New York 11717, via telephone: +1 (866) 803-9204, or by emailing prospectus-eq_fi@jpmchase.com; Morgan Stanley &amp; Co. LLC, Attention: Prospectus Department, 180 Varick Street, 2nd Floor, New York, NY 10014; BofA Securities, NC1-004-03-43, 200 North College Street, 3rd Floor, Charlotte, NC 28255-0001, Attention: Prospectus Department, or by email at </w:t>
      </w:r>
      <w:r>
        <w:rPr>
          <w:rFonts w:ascii="Arial" w:cs="Arial" w:eastAsia="Arial" w:hAnsi="Arial"/>
          <w:sz w:val="19"/>
          <w:szCs w:val="19"/>
          <w:u w:val="single" w:color="auto"/>
          <w:color w:val="F56935"/>
        </w:rPr>
        <w:t>dg.prospectus_requests@bofa.com</w:t>
      </w:r>
      <w:r>
        <w:rPr>
          <w:rFonts w:ascii="Arial" w:cs="Arial" w:eastAsia="Arial" w:hAnsi="Arial"/>
          <w:sz w:val="19"/>
          <w:szCs w:val="19"/>
          <w:color w:val="auto"/>
        </w:rPr>
        <w:t xml:space="preserve">; and Cowen and Company, LLC, c/o Broadridge Financial Solutions, 1155 Long Island Avenue, Edgewood, NY 11717, via telephone: +1 (833) 297-2926, or by emailing </w:t>
      </w:r>
      <w:r>
        <w:rPr>
          <w:rFonts w:ascii="Arial" w:cs="Arial" w:eastAsia="Arial" w:hAnsi="Arial"/>
          <w:sz w:val="19"/>
          <w:szCs w:val="19"/>
          <w:u w:val="single" w:color="auto"/>
          <w:color w:val="0000FF"/>
        </w:rPr>
        <w:t>PostSaleManualRequests@broadridge.com</w:t>
      </w:r>
      <w:r>
        <w:rPr>
          <w:rFonts w:ascii="Arial" w:cs="Arial" w:eastAsia="Arial" w:hAnsi="Arial"/>
          <w:sz w:val="19"/>
          <w:szCs w:val="19"/>
          <w:color w:val="auto"/>
        </w:rPr>
        <w: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the registration or qualification under the securities laws of any such state or other jurisdiction.</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Seer</w:t>
      </w:r>
    </w:p>
    <w:p>
      <w:pPr>
        <w:spacing w:after="0" w:line="64"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Seer is a life sciences company focused on enabling exceptional scientific outcomes by commercializing transformative products that will drive breakthrough ideas by unlocking the deep, unbiased biological information that can make them a reality. Seer is developing its Proteograph Product Suite, which is an integrated solution consisting of consumables, automation instrumentation and proprietary software that performs deep, unbiased proteomics analysis at scale in a matter of hours. Seer designed the Proteograph to be efficient and easy-to-use, leveraging widely adopted laboratory instrumentation to provide a decentralized solution broadly available to life sciences researchers. Seer’s Proteograph Product Suite is for research use only and is not intended for diagnostic procedures.</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statements regarding the completion, timing and size of the proposed public offering, the expectation to grant the underwriter a 30-day option to purchase additional shares and the intended use of proceeds generated from the offering.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Carrie Mendivil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investor@seer.bio</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2021-01-25T15:43:05Z</dcterms:created>
  <dcterms:modified xsi:type="dcterms:W3CDTF">2021-01-25T15:43:05Z</dcterms:modified>
</cp:coreProperties>
</file>