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285115</wp:posOffset>
            </wp:positionH>
            <wp:positionV relativeFrom="page">
              <wp:posOffset>1023620</wp:posOffset>
            </wp:positionV>
            <wp:extent cx="69862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17145"/>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997585</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73"/>
        <w:spacing w:after="0"/>
        <w:rPr>
          <w:sz w:val="20"/>
          <w:szCs w:val="20"/>
          <w:color w:val="auto"/>
        </w:rPr>
      </w:pPr>
      <w:r>
        <w:rPr>
          <w:rFonts w:ascii="Arial" w:cs="Arial" w:eastAsia="Arial" w:hAnsi="Arial"/>
          <w:sz w:val="36"/>
          <w:szCs w:val="36"/>
          <w:b w:val="1"/>
          <w:bCs w:val="1"/>
          <w:color w:val="auto"/>
        </w:rPr>
        <w:t>UNITED STATES</w:t>
      </w:r>
    </w:p>
    <w:p>
      <w:pPr>
        <w:spacing w:after="0" w:line="57" w:lineRule="exact"/>
        <w:rPr>
          <w:sz w:val="24"/>
          <w:szCs w:val="24"/>
          <w:color w:val="auto"/>
        </w:rPr>
      </w:pPr>
    </w:p>
    <w:p>
      <w:pPr>
        <w:jc w:val="center"/>
        <w:ind w:right="-73"/>
        <w:spacing w:after="0"/>
        <w:rPr>
          <w:sz w:val="20"/>
          <w:szCs w:val="20"/>
          <w:color w:val="auto"/>
        </w:rPr>
      </w:pPr>
      <w:r>
        <w:rPr>
          <w:rFonts w:ascii="Arial" w:cs="Arial" w:eastAsia="Arial" w:hAnsi="Arial"/>
          <w:sz w:val="36"/>
          <w:szCs w:val="36"/>
          <w:b w:val="1"/>
          <w:bCs w:val="1"/>
          <w:color w:val="auto"/>
        </w:rPr>
        <w:t>SECURITIES AND EXCHANGE COMMISSION</w:t>
      </w:r>
    </w:p>
    <w:p>
      <w:pPr>
        <w:spacing w:after="0" w:line="22" w:lineRule="exact"/>
        <w:rPr>
          <w:sz w:val="24"/>
          <w:szCs w:val="24"/>
          <w:color w:val="auto"/>
        </w:rPr>
      </w:pPr>
    </w:p>
    <w:p>
      <w:pPr>
        <w:jc w:val="center"/>
        <w:ind w:right="-73"/>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65405</wp:posOffset>
            </wp:positionV>
            <wp:extent cx="23056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61" w:lineRule="exact"/>
        <w:rPr>
          <w:sz w:val="24"/>
          <w:szCs w:val="24"/>
          <w:color w:val="auto"/>
        </w:rPr>
      </w:pPr>
    </w:p>
    <w:p>
      <w:pPr>
        <w:jc w:val="center"/>
        <w:ind w:right="-73"/>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44450</wp:posOffset>
            </wp:positionV>
            <wp:extent cx="23056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93" w:lineRule="exact"/>
        <w:rPr>
          <w:sz w:val="24"/>
          <w:szCs w:val="24"/>
          <w:color w:val="auto"/>
        </w:rPr>
      </w:pPr>
    </w:p>
    <w:p>
      <w:pPr>
        <w:jc w:val="center"/>
        <w:ind w:right="-73"/>
        <w:spacing w:after="0"/>
        <w:rPr>
          <w:sz w:val="20"/>
          <w:szCs w:val="20"/>
          <w:color w:val="auto"/>
        </w:rPr>
      </w:pPr>
      <w:r>
        <w:rPr>
          <w:rFonts w:ascii="Arial" w:cs="Arial" w:eastAsia="Arial" w:hAnsi="Arial"/>
          <w:sz w:val="22"/>
          <w:szCs w:val="22"/>
          <w:b w:val="1"/>
          <w:bCs w:val="1"/>
          <w:color w:val="auto"/>
        </w:rPr>
        <w:t>CURRENT REPORT</w:t>
      </w:r>
    </w:p>
    <w:p>
      <w:pPr>
        <w:spacing w:after="0" w:line="107"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17"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81" w:lineRule="exact"/>
        <w:rPr>
          <w:sz w:val="24"/>
          <w:szCs w:val="24"/>
          <w:color w:val="auto"/>
        </w:rPr>
      </w:pPr>
    </w:p>
    <w:p>
      <w:pPr>
        <w:jc w:val="center"/>
        <w:ind w:right="-73"/>
        <w:spacing w:after="0"/>
        <w:rPr>
          <w:sz w:val="20"/>
          <w:szCs w:val="20"/>
          <w:color w:val="auto"/>
        </w:rPr>
      </w:pPr>
      <w:r>
        <w:rPr>
          <w:rFonts w:ascii="Arial" w:cs="Arial" w:eastAsia="Arial" w:hAnsi="Arial"/>
          <w:sz w:val="22"/>
          <w:szCs w:val="22"/>
          <w:b w:val="1"/>
          <w:bCs w:val="1"/>
          <w:color w:val="auto"/>
        </w:rPr>
        <w:t>March 29,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62230</wp:posOffset>
            </wp:positionV>
            <wp:extent cx="23056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269" w:lineRule="exact"/>
        <w:rPr>
          <w:sz w:val="24"/>
          <w:szCs w:val="24"/>
          <w:color w:val="auto"/>
        </w:rPr>
      </w:pPr>
    </w:p>
    <w:p>
      <w:pPr>
        <w:jc w:val="center"/>
        <w:ind w:right="-73"/>
        <w:spacing w:after="0"/>
        <w:rPr>
          <w:sz w:val="20"/>
          <w:szCs w:val="20"/>
          <w:color w:val="auto"/>
        </w:rPr>
      </w:pPr>
      <w:r>
        <w:rPr>
          <w:rFonts w:ascii="Arial" w:cs="Arial" w:eastAsia="Arial" w:hAnsi="Arial"/>
          <w:sz w:val="36"/>
          <w:szCs w:val="36"/>
          <w:b w:val="1"/>
          <w:bCs w:val="1"/>
          <w:color w:val="auto"/>
        </w:rPr>
        <w:t>Seer, Inc.</w:t>
      </w:r>
    </w:p>
    <w:p>
      <w:pPr>
        <w:spacing w:after="0" w:line="36"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22225</wp:posOffset>
            </wp:positionV>
            <wp:extent cx="23056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89" w:lineRule="exact"/>
        <w:rPr>
          <w:sz w:val="24"/>
          <w:szCs w:val="24"/>
          <w:color w:val="auto"/>
        </w:rPr>
      </w:pPr>
    </w:p>
    <w:tbl>
      <w:tblPr>
        <w:tblLayout w:type="fixed"/>
        <w:tblInd w:w="894" w:type="dxa"/>
        <w:tblCellMar>
          <w:top w:w="0" w:type="dxa"/>
          <w:left w:w="0" w:type="dxa"/>
          <w:bottom w:w="0" w:type="dxa"/>
          <w:right w:w="0" w:type="dxa"/>
        </w:tblCellMar>
      </w:tblPr>
      <w:tr>
        <w:trPr>
          <w:trHeight w:val="186"/>
        </w:trPr>
        <w:tc>
          <w:tcPr>
            <w:tcW w:w="3020" w:type="dxa"/>
            <w:vAlign w:val="bottom"/>
          </w:tcPr>
          <w:p>
            <w:pPr>
              <w:jc w:val="center"/>
              <w:ind w:right="1168"/>
              <w:spacing w:after="0"/>
              <w:rPr>
                <w:sz w:val="20"/>
                <w:szCs w:val="20"/>
                <w:color w:val="auto"/>
              </w:rPr>
            </w:pPr>
            <w:r>
              <w:rPr>
                <w:rFonts w:ascii="Arial" w:cs="Arial" w:eastAsia="Arial" w:hAnsi="Arial"/>
                <w:sz w:val="14"/>
                <w:szCs w:val="14"/>
                <w:b w:val="1"/>
                <w:bCs w:val="1"/>
                <w:color w:val="auto"/>
                <w:w w:val="94"/>
              </w:rPr>
              <w:t>Delaware</w:t>
            </w:r>
          </w:p>
        </w:tc>
        <w:tc>
          <w:tcPr>
            <w:tcW w:w="3460" w:type="dxa"/>
            <w:vAlign w:val="bottom"/>
          </w:tcPr>
          <w:p>
            <w:pPr>
              <w:jc w:val="center"/>
              <w:ind w:right="128"/>
              <w:spacing w:after="0"/>
              <w:rPr>
                <w:sz w:val="20"/>
                <w:szCs w:val="20"/>
                <w:color w:val="auto"/>
              </w:rPr>
            </w:pPr>
            <w:r>
              <w:rPr>
                <w:rFonts w:ascii="Arial" w:cs="Arial" w:eastAsia="Arial" w:hAnsi="Arial"/>
                <w:sz w:val="14"/>
                <w:szCs w:val="14"/>
                <w:b w:val="1"/>
                <w:bCs w:val="1"/>
                <w:color w:val="auto"/>
                <w:w w:val="92"/>
              </w:rPr>
              <w:t>001-39747</w:t>
            </w:r>
          </w:p>
        </w:tc>
        <w:tc>
          <w:tcPr>
            <w:tcW w:w="2560" w:type="dxa"/>
            <w:vAlign w:val="bottom"/>
          </w:tcPr>
          <w:p>
            <w:pPr>
              <w:jc w:val="center"/>
              <w:ind w:left="1348"/>
              <w:spacing w:after="0"/>
              <w:rPr>
                <w:sz w:val="20"/>
                <w:szCs w:val="20"/>
                <w:color w:val="auto"/>
              </w:rPr>
            </w:pPr>
            <w:r>
              <w:rPr>
                <w:rFonts w:ascii="Arial" w:cs="Arial" w:eastAsia="Arial" w:hAnsi="Arial"/>
                <w:sz w:val="14"/>
                <w:szCs w:val="14"/>
                <w:b w:val="1"/>
                <w:bCs w:val="1"/>
                <w:color w:val="auto"/>
                <w:w w:val="93"/>
              </w:rPr>
              <w:t>82-1153150</w:t>
            </w:r>
          </w:p>
        </w:tc>
      </w:tr>
      <w:tr>
        <w:trPr>
          <w:trHeight w:val="189"/>
        </w:trPr>
        <w:tc>
          <w:tcPr>
            <w:tcW w:w="3020" w:type="dxa"/>
            <w:vAlign w:val="bottom"/>
          </w:tcPr>
          <w:p>
            <w:pPr>
              <w:jc w:val="center"/>
              <w:ind w:right="1168"/>
              <w:spacing w:after="0"/>
              <w:rPr>
                <w:sz w:val="20"/>
                <w:szCs w:val="20"/>
                <w:color w:val="auto"/>
              </w:rPr>
            </w:pPr>
            <w:r>
              <w:rPr>
                <w:rFonts w:ascii="Arial" w:cs="Arial" w:eastAsia="Arial" w:hAnsi="Arial"/>
                <w:sz w:val="14"/>
                <w:szCs w:val="14"/>
                <w:b w:val="1"/>
                <w:bCs w:val="1"/>
                <w:color w:val="auto"/>
                <w:w w:val="92"/>
              </w:rPr>
              <w:t>(State or other jurisdiction of</w:t>
            </w:r>
          </w:p>
        </w:tc>
        <w:tc>
          <w:tcPr>
            <w:tcW w:w="3460" w:type="dxa"/>
            <w:vAlign w:val="bottom"/>
          </w:tcPr>
          <w:p>
            <w:pPr>
              <w:jc w:val="center"/>
              <w:ind w:right="108"/>
              <w:spacing w:after="0"/>
              <w:rPr>
                <w:sz w:val="20"/>
                <w:szCs w:val="20"/>
                <w:color w:val="auto"/>
              </w:rPr>
            </w:pPr>
            <w:r>
              <w:rPr>
                <w:rFonts w:ascii="Arial" w:cs="Arial" w:eastAsia="Arial" w:hAnsi="Arial"/>
                <w:sz w:val="14"/>
                <w:szCs w:val="14"/>
                <w:b w:val="1"/>
                <w:bCs w:val="1"/>
                <w:color w:val="auto"/>
                <w:w w:val="90"/>
              </w:rPr>
              <w:t>(Commission</w:t>
            </w:r>
          </w:p>
        </w:tc>
        <w:tc>
          <w:tcPr>
            <w:tcW w:w="2560" w:type="dxa"/>
            <w:vAlign w:val="bottom"/>
          </w:tcPr>
          <w:p>
            <w:pPr>
              <w:jc w:val="center"/>
              <w:ind w:left="1368"/>
              <w:spacing w:after="0"/>
              <w:rPr>
                <w:sz w:val="20"/>
                <w:szCs w:val="20"/>
                <w:color w:val="auto"/>
              </w:rPr>
            </w:pPr>
            <w:r>
              <w:rPr>
                <w:rFonts w:ascii="Arial" w:cs="Arial" w:eastAsia="Arial" w:hAnsi="Arial"/>
                <w:sz w:val="14"/>
                <w:szCs w:val="14"/>
                <w:b w:val="1"/>
                <w:bCs w:val="1"/>
                <w:color w:val="auto"/>
                <w:w w:val="96"/>
              </w:rPr>
              <w:t>(I.R.S. Employer</w:t>
            </w:r>
          </w:p>
        </w:tc>
      </w:tr>
      <w:tr>
        <w:trPr>
          <w:trHeight w:val="189"/>
        </w:trPr>
        <w:tc>
          <w:tcPr>
            <w:tcW w:w="3020" w:type="dxa"/>
            <w:vAlign w:val="bottom"/>
          </w:tcPr>
          <w:p>
            <w:pPr>
              <w:jc w:val="center"/>
              <w:ind w:right="1168"/>
              <w:spacing w:after="0"/>
              <w:rPr>
                <w:sz w:val="20"/>
                <w:szCs w:val="20"/>
                <w:color w:val="auto"/>
              </w:rPr>
            </w:pPr>
            <w:r>
              <w:rPr>
                <w:rFonts w:ascii="Arial" w:cs="Arial" w:eastAsia="Arial" w:hAnsi="Arial"/>
                <w:sz w:val="14"/>
                <w:szCs w:val="14"/>
                <w:b w:val="1"/>
                <w:bCs w:val="1"/>
                <w:color w:val="auto"/>
                <w:w w:val="94"/>
              </w:rPr>
              <w:t>incorporation)</w:t>
            </w:r>
          </w:p>
        </w:tc>
        <w:tc>
          <w:tcPr>
            <w:tcW w:w="346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File Number)</w:t>
            </w:r>
          </w:p>
        </w:tc>
        <w:tc>
          <w:tcPr>
            <w:tcW w:w="2560" w:type="dxa"/>
            <w:vAlign w:val="bottom"/>
          </w:tcPr>
          <w:p>
            <w:pPr>
              <w:jc w:val="center"/>
              <w:ind w:left="1348"/>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200" w:lineRule="exact"/>
        <w:rPr>
          <w:sz w:val="24"/>
          <w:szCs w:val="24"/>
          <w:color w:val="auto"/>
        </w:rPr>
      </w:pPr>
    </w:p>
    <w:p>
      <w:pPr>
        <w:spacing w:after="0" w:line="226" w:lineRule="exact"/>
        <w:rPr>
          <w:sz w:val="24"/>
          <w:szCs w:val="24"/>
          <w:color w:val="auto"/>
        </w:rPr>
      </w:pPr>
    </w:p>
    <w:p>
      <w:pPr>
        <w:ind w:left="4374"/>
        <w:spacing w:after="0"/>
        <w:rPr>
          <w:sz w:val="20"/>
          <w:szCs w:val="20"/>
          <w:color w:val="auto"/>
        </w:rPr>
      </w:pPr>
      <w:r>
        <w:rPr>
          <w:rFonts w:ascii="Arial" w:cs="Arial" w:eastAsia="Arial" w:hAnsi="Arial"/>
          <w:sz w:val="18"/>
          <w:szCs w:val="18"/>
          <w:b w:val="1"/>
          <w:bCs w:val="1"/>
          <w:color w:val="auto"/>
        </w:rPr>
        <w:t>3800 Bridge Parkway, Suite 102</w:t>
      </w:r>
    </w:p>
    <w:p>
      <w:pPr>
        <w:spacing w:after="0" w:line="27" w:lineRule="exact"/>
        <w:rPr>
          <w:sz w:val="24"/>
          <w:szCs w:val="24"/>
          <w:color w:val="auto"/>
        </w:rPr>
      </w:pPr>
    </w:p>
    <w:p>
      <w:pPr>
        <w:ind w:left="4374"/>
        <w:spacing w:after="0"/>
        <w:rPr>
          <w:sz w:val="20"/>
          <w:szCs w:val="20"/>
          <w:color w:val="auto"/>
        </w:rPr>
      </w:pPr>
      <w:r>
        <w:rPr>
          <w:rFonts w:ascii="Arial" w:cs="Arial" w:eastAsia="Arial" w:hAnsi="Arial"/>
          <w:sz w:val="18"/>
          <w:szCs w:val="18"/>
          <w:b w:val="1"/>
          <w:bCs w:val="1"/>
          <w:color w:val="auto"/>
        </w:rPr>
        <w:t>Redwood City, California 94065</w:t>
      </w:r>
    </w:p>
    <w:p>
      <w:pPr>
        <w:spacing w:after="0" w:line="2"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232"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 xml:space="preserve">650-453-0000 </w:t>
      </w:r>
      <w:r>
        <w:rPr>
          <w:rFonts w:ascii="Arial" w:cs="Arial" w:eastAsia="Arial" w:hAnsi="Arial"/>
          <w:sz w:val="14"/>
          <w:szCs w:val="14"/>
          <w:b w:val="1"/>
          <w:bCs w:val="1"/>
          <w:color w:val="auto"/>
        </w:rPr>
        <w:t>(Registrant’s telephone number, including area code)</w:t>
      </w:r>
    </w:p>
    <w:p>
      <w:pPr>
        <w:spacing w:after="0" w:line="252"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(Former name or former address, if changed since last reports)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22225</wp:posOffset>
            </wp:positionV>
            <wp:extent cx="23056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261" w:lineRule="exact"/>
        <w:rPr>
          <w:sz w:val="24"/>
          <w:szCs w:val="24"/>
          <w:color w:val="auto"/>
        </w:rPr>
      </w:pPr>
    </w:p>
    <w:p>
      <w:pPr>
        <w:ind w:left="134"/>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00" w:lineRule="exact"/>
        <w:rPr>
          <w:sz w:val="24"/>
          <w:szCs w:val="24"/>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0" w:lineRule="exact"/>
        <w:rPr>
          <w:rFonts w:ascii="MS PGothic" w:cs="MS PGothic" w:eastAsia="MS PGothic" w:hAnsi="MS PGothic"/>
          <w:sz w:val="16"/>
          <w:szCs w:val="16"/>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30" w:lineRule="exact"/>
        <w:rPr>
          <w:sz w:val="24"/>
          <w:szCs w:val="24"/>
          <w:color w:val="auto"/>
        </w:rPr>
      </w:pPr>
    </w:p>
    <w:tbl>
      <w:tblPr>
        <w:tblLayout w:type="fixed"/>
        <w:tblInd w:w="104" w:type="dxa"/>
        <w:tblCellMar>
          <w:top w:w="0" w:type="dxa"/>
          <w:left w:w="0" w:type="dxa"/>
          <w:bottom w:w="0" w:type="dxa"/>
          <w:right w:w="0" w:type="dxa"/>
        </w:tblCellMar>
      </w:tblPr>
      <w:tr>
        <w:trPr>
          <w:trHeight w:val="227"/>
        </w:trPr>
        <w:tc>
          <w:tcPr>
            <w:tcW w:w="43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c>
          <w:tcPr>
            <w:tcW w:w="0" w:type="dxa"/>
            <w:vAlign w:val="bottom"/>
          </w:tcPr>
          <w:p>
            <w:pPr>
              <w:spacing w:after="0"/>
              <w:rPr>
                <w:sz w:val="1"/>
                <w:szCs w:val="1"/>
                <w:color w:val="auto"/>
              </w:rPr>
            </w:pPr>
          </w:p>
        </w:tc>
      </w:tr>
      <w:tr>
        <w:trPr>
          <w:trHeight w:val="229"/>
        </w:trPr>
        <w:tc>
          <w:tcPr>
            <w:tcW w:w="43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Class A Common Stock, par value $0.00001 per share</w:t>
            </w:r>
          </w:p>
        </w:tc>
        <w:tc>
          <w:tcPr>
            <w:tcW w:w="1920" w:type="dxa"/>
            <w:vAlign w:val="bottom"/>
            <w:tcBorders>
              <w:right w:val="single" w:sz="8" w:color="auto"/>
            </w:tcBorders>
          </w:tcPr>
          <w:p>
            <w:pPr>
              <w:spacing w:after="0"/>
              <w:rPr>
                <w:sz w:val="19"/>
                <w:szCs w:val="19"/>
                <w:color w:val="auto"/>
              </w:rPr>
            </w:pPr>
          </w:p>
        </w:tc>
        <w:tc>
          <w:tcPr>
            <w:tcW w:w="4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The NASDAQ Stock Market LLC</w:t>
            </w:r>
          </w:p>
        </w:tc>
        <w:tc>
          <w:tcPr>
            <w:tcW w:w="0" w:type="dxa"/>
            <w:vAlign w:val="bottom"/>
          </w:tcPr>
          <w:p>
            <w:pPr>
              <w:spacing w:after="0"/>
              <w:rPr>
                <w:sz w:val="1"/>
                <w:szCs w:val="1"/>
                <w:color w:val="auto"/>
              </w:rPr>
            </w:pPr>
          </w:p>
        </w:tc>
      </w:tr>
      <w:tr>
        <w:trPr>
          <w:trHeight w:val="79"/>
        </w:trPr>
        <w:tc>
          <w:tcPr>
            <w:tcW w:w="4360" w:type="dxa"/>
            <w:vAlign w:val="bottom"/>
            <w:tcBorders>
              <w:left w:val="single" w:sz="8" w:color="auto"/>
              <w:right w:val="single" w:sz="8" w:color="auto"/>
            </w:tcBorders>
            <w:vMerge w:val="continue"/>
          </w:tcPr>
          <w:p>
            <w:pPr>
              <w:spacing w:after="0"/>
              <w:rPr>
                <w:sz w:val="6"/>
                <w:szCs w:val="6"/>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SEER</w:t>
            </w:r>
          </w:p>
        </w:tc>
        <w:tc>
          <w:tcPr>
            <w:tcW w:w="4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(The NASDAQ Global Select Market)</w:t>
            </w:r>
          </w:p>
        </w:tc>
        <w:tc>
          <w:tcPr>
            <w:tcW w:w="0" w:type="dxa"/>
            <w:vAlign w:val="bottom"/>
          </w:tcPr>
          <w:p>
            <w:pPr>
              <w:spacing w:after="0"/>
              <w:rPr>
                <w:sz w:val="1"/>
                <w:szCs w:val="1"/>
                <w:color w:val="auto"/>
              </w:rPr>
            </w:pPr>
          </w:p>
        </w:tc>
      </w:tr>
      <w:tr>
        <w:trPr>
          <w:trHeight w:val="157"/>
        </w:trPr>
        <w:tc>
          <w:tcPr>
            <w:tcW w:w="4360" w:type="dxa"/>
            <w:vAlign w:val="bottom"/>
            <w:tcBorders>
              <w:left w:val="single" w:sz="8" w:color="auto"/>
              <w:bottom w:val="single" w:sz="8" w:color="auto"/>
              <w:right w:val="single" w:sz="8" w:color="auto"/>
            </w:tcBorders>
          </w:tcPr>
          <w:p>
            <w:pPr>
              <w:spacing w:after="0"/>
              <w:rPr>
                <w:sz w:val="13"/>
                <w:szCs w:val="13"/>
                <w:color w:val="auto"/>
              </w:rPr>
            </w:pPr>
          </w:p>
        </w:tc>
        <w:tc>
          <w:tcPr>
            <w:tcW w:w="1920" w:type="dxa"/>
            <w:vAlign w:val="bottom"/>
            <w:tcBorders>
              <w:bottom w:val="single" w:sz="8" w:color="auto"/>
              <w:right w:val="single" w:sz="8" w:color="auto"/>
            </w:tcBorders>
            <w:vMerge w:val="continue"/>
          </w:tcPr>
          <w:p>
            <w:pPr>
              <w:spacing w:after="0"/>
              <w:rPr>
                <w:sz w:val="13"/>
                <w:szCs w:val="13"/>
                <w:color w:val="auto"/>
              </w:rPr>
            </w:pPr>
          </w:p>
        </w:tc>
        <w:tc>
          <w:tcPr>
            <w:tcW w:w="476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114"/>
          </w:cols>
          <w:pgMar w:left="346" w:top="1440" w:right="439" w:bottom="1440" w:gutter="0" w:footer="0" w:header="0"/>
        </w:sectPr>
      </w:pPr>
    </w:p>
    <w:bookmarkStart w:id="1" w:name="page2"/>
    <w:bookmarkEnd w:id="1"/>
    <w:p>
      <w:pPr>
        <w:spacing w:after="0" w:line="103" w:lineRule="exact"/>
        <w:rPr>
          <w:sz w:val="20"/>
          <w:szCs w:val="20"/>
          <w:color w:val="auto"/>
        </w:rPr>
      </w:pPr>
    </w:p>
    <w:p>
      <w:pPr>
        <w:ind w:left="660" w:right="180"/>
        <w:spacing w:after="0" w:line="277"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0"/>
          <w:szCs w:val="20"/>
          <w:color w:val="auto"/>
        </w:rPr>
      </w:pPr>
    </w:p>
    <w:p>
      <w:pPr>
        <w:ind w:left="66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99" w:lineRule="exact"/>
        <w:rPr>
          <w:sz w:val="20"/>
          <w:szCs w:val="20"/>
          <w:color w:val="auto"/>
        </w:rPr>
      </w:pPr>
    </w:p>
    <w:p>
      <w:pPr>
        <w:ind w:left="660" w:right="260"/>
        <w:spacing w:after="0" w:line="168"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233680</wp:posOffset>
            </wp:positionV>
            <wp:extent cx="69862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86270" cy="1714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207645</wp:posOffset>
            </wp:positionV>
            <wp:extent cx="69862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March 29, 2021, Seer, Inc. (the "Company") issued a press release (the “Press Release”) announcing results for the quarter ended December 31, 2020. A copy of the Press Release is attached as Exhibit 99.1 to this current report on Form 8-K and is incorporated by reference herein.</w:t>
      </w:r>
    </w:p>
    <w:p>
      <w:pPr>
        <w:spacing w:after="0" w:line="1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2"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2940" w:type="dxa"/>
            <w:vAlign w:val="bottom"/>
          </w:tcPr>
          <w:p>
            <w:pPr>
              <w:ind w:left="340"/>
              <w:spacing w:after="0"/>
              <w:rPr>
                <w:sz w:val="20"/>
                <w:szCs w:val="20"/>
                <w:color w:val="auto"/>
              </w:rPr>
            </w:pPr>
            <w:r>
              <w:rPr>
                <w:rFonts w:ascii="Arial" w:cs="Arial" w:eastAsia="Arial" w:hAnsi="Arial"/>
                <w:sz w:val="18"/>
                <w:szCs w:val="18"/>
                <w:b w:val="1"/>
                <w:bCs w:val="1"/>
                <w:color w:val="auto"/>
              </w:rPr>
              <w:t>Description</w:t>
            </w:r>
          </w:p>
        </w:tc>
      </w:tr>
      <w:tr>
        <w:trPr>
          <w:trHeight w:val="324"/>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2">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900" w:type="dxa"/>
            <w:vAlign w:val="bottom"/>
          </w:tcPr>
          <w:p>
            <w:pPr>
              <w:spacing w:after="0"/>
              <w:rPr>
                <w:sz w:val="24"/>
                <w:szCs w:val="24"/>
                <w:color w:val="auto"/>
              </w:rPr>
            </w:pPr>
          </w:p>
        </w:tc>
        <w:tc>
          <w:tcPr>
            <w:tcW w:w="2940" w:type="dxa"/>
            <w:vAlign w:val="bottom"/>
          </w:tcPr>
          <w:p>
            <w:pPr>
              <w:ind w:left="340"/>
              <w:spacing w:after="0"/>
              <w:rPr>
                <w:sz w:val="20"/>
                <w:szCs w:val="20"/>
                <w:color w:val="auto"/>
              </w:rPr>
            </w:pPr>
            <w:r>
              <w:rPr>
                <w:rFonts w:ascii="Arial" w:cs="Arial" w:eastAsia="Arial" w:hAnsi="Arial"/>
                <w:sz w:val="18"/>
                <w:szCs w:val="18"/>
                <w:color w:val="auto"/>
                <w:w w:val="86"/>
              </w:rPr>
              <w:t>Press Release dated March 29,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4"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7440" w:type="dxa"/>
            <w:vAlign w:val="bottom"/>
            <w:gridSpan w:val="2"/>
          </w:tcPr>
          <w:p>
            <w:pPr>
              <w:ind w:left="2000"/>
              <w:spacing w:after="0"/>
              <w:rPr>
                <w:sz w:val="20"/>
                <w:szCs w:val="20"/>
                <w:color w:val="auto"/>
              </w:rPr>
            </w:pPr>
            <w:r>
              <w:rPr>
                <w:rFonts w:ascii="Arial" w:cs="Arial" w:eastAsia="Arial" w:hAnsi="Arial"/>
                <w:sz w:val="18"/>
                <w:szCs w:val="18"/>
                <w:b w:val="1"/>
                <w:bCs w:val="1"/>
                <w:color w:val="auto"/>
              </w:rPr>
              <w:t>SEER, INC.</w:t>
            </w:r>
          </w:p>
        </w:tc>
      </w:tr>
      <w:tr>
        <w:trPr>
          <w:trHeight w:val="459"/>
        </w:trPr>
        <w:tc>
          <w:tcPr>
            <w:tcW w:w="3140" w:type="dxa"/>
            <w:vAlign w:val="bottom"/>
          </w:tcPr>
          <w:p>
            <w:pPr>
              <w:spacing w:after="0"/>
              <w:rPr>
                <w:sz w:val="20"/>
                <w:szCs w:val="20"/>
                <w:color w:val="auto"/>
              </w:rPr>
            </w:pPr>
            <w:r>
              <w:rPr>
                <w:rFonts w:ascii="Arial" w:cs="Arial" w:eastAsia="Arial" w:hAnsi="Arial"/>
                <w:sz w:val="18"/>
                <w:szCs w:val="18"/>
                <w:color w:val="auto"/>
              </w:rPr>
              <w:t>March 29, 2021</w:t>
            </w:r>
          </w:p>
        </w:tc>
        <w:tc>
          <w:tcPr>
            <w:tcW w:w="7440" w:type="dxa"/>
            <w:vAlign w:val="bottom"/>
            <w:gridSpan w:val="2"/>
          </w:tcPr>
          <w:p>
            <w:pPr>
              <w:ind w:left="2000"/>
              <w:spacing w:after="0"/>
              <w:rPr>
                <w:sz w:val="20"/>
                <w:szCs w:val="20"/>
                <w:color w:val="auto"/>
              </w:rPr>
            </w:pPr>
            <w:r>
              <w:rPr>
                <w:rFonts w:ascii="Arial" w:cs="Arial" w:eastAsia="Arial" w:hAnsi="Arial"/>
                <w:sz w:val="18"/>
                <w:szCs w:val="18"/>
                <w:color w:val="auto"/>
              </w:rPr>
              <w:t>By:  /s/ David Horn</w:t>
            </w:r>
          </w:p>
        </w:tc>
      </w:tr>
      <w:tr>
        <w:trPr>
          <w:trHeight w:val="222"/>
        </w:trPr>
        <w:tc>
          <w:tcPr>
            <w:tcW w:w="31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Horn</w:t>
            </w:r>
          </w:p>
        </w:tc>
      </w:tr>
      <w:tr>
        <w:trPr>
          <w:trHeight w:val="230"/>
        </w:trPr>
        <w:tc>
          <w:tcPr>
            <w:tcW w:w="31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Ex. 99.1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Seer Reports Fourth Quarter and Full Year 2020 Financial Results and Fuels Commercial Progress in 2021 with New</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Collaborators and Partnerships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Added Salk Institute as collaboration customer and SCIEX as new commercial partner</w:t>
      </w:r>
    </w:p>
    <w:p>
      <w:pPr>
        <w:spacing w:after="0" w:line="2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REDWOOD CITY, Calif. </w:t>
      </w:r>
      <w:r>
        <w:rPr>
          <w:rFonts w:ascii="Arial" w:cs="Arial" w:eastAsia="Arial" w:hAnsi="Arial"/>
          <w:sz w:val="18"/>
          <w:szCs w:val="18"/>
          <w:color w:val="auto"/>
        </w:rPr>
        <w:t>March 29, 2021 – Seer, Inc. (Nasdaq: SEER), a life sciences company commercializing a disruptive new platform for</w:t>
      </w:r>
      <w:r>
        <w:rPr>
          <w:rFonts w:ascii="Arial" w:cs="Arial" w:eastAsia="Arial" w:hAnsi="Arial"/>
          <w:sz w:val="18"/>
          <w:szCs w:val="18"/>
          <w:b w:val="1"/>
          <w:bCs w:val="1"/>
          <w:color w:val="auto"/>
        </w:rPr>
        <w:t xml:space="preserve"> </w:t>
      </w:r>
      <w:r>
        <w:rPr>
          <w:rFonts w:ascii="Arial" w:cs="Arial" w:eastAsia="Arial" w:hAnsi="Arial"/>
          <w:sz w:val="18"/>
          <w:szCs w:val="18"/>
          <w:color w:val="auto"/>
        </w:rPr>
        <w:t>proteomics, today reported financial results for the quarter and full year ended December 31, 2020.</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“I am extremely proud of the progress we have made to date and the enthusiasm in the market surrounding our Proteograph™ Product Suite,” said Omid Farokhzad, Chair and Chief Executive Officer. “Since January, we have brought on two new collaboration customers, signed three commercial agreements, and entered the second phase of our commercialization plan. We, along with our partners and collaborators, have presented exciting data generated from our platform at four different scientific conferences so far this year. The emerging data using the Proteograph Product Suite is giving glimpses of the vast</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undiscovered proteomic information that only unbiased, deep studies can begin to unlock. Seer is uniquely positioned to transform access to the proteome, empower our customers to make novel discoveries, and enable them to have a profound impact on science and medicine.”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Highlights</w:t>
      </w:r>
    </w:p>
    <w:p>
      <w:pPr>
        <w:spacing w:after="0" w:line="40" w:lineRule="exact"/>
        <w:rPr>
          <w:sz w:val="20"/>
          <w:szCs w:val="20"/>
          <w:color w:val="auto"/>
        </w:rPr>
      </w:pPr>
    </w:p>
    <w:p>
      <w:pPr>
        <w:ind w:left="660" w:hanging="328"/>
        <w:spacing w:after="0" w:line="232"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Seen strong progress at our existing collaboration sites with pilot studies underway at OHSU Knight Cancer Institute and the Broad Institute, and the Proteograph Product Suite has been installed at Discovery Life Sciences</w:t>
      </w:r>
    </w:p>
    <w:p>
      <w:pPr>
        <w:spacing w:after="0" w:line="1"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Completed phase one of our commercialization plan with a total of four collaboration customer sites</w:t>
      </w:r>
      <w:r>
        <w:rPr>
          <w:rFonts w:ascii="Arial" w:cs="Arial" w:eastAsia="Arial" w:hAnsi="Arial"/>
          <w:sz w:val="21"/>
          <w:szCs w:val="21"/>
          <w:color w:val="0000FF"/>
        </w:rPr>
        <w:t>,</w:t>
      </w:r>
      <w:r>
        <w:rPr>
          <w:rFonts w:ascii="Arial" w:cs="Arial" w:eastAsia="Arial" w:hAnsi="Arial"/>
          <w:sz w:val="18"/>
          <w:szCs w:val="18"/>
          <w:color w:val="auto"/>
        </w:rPr>
        <w:t xml:space="preserve"> adding the Salk Institute for Biological Studies</w:t>
      </w: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Transitioned to Limited Release, which is phase two of Seer’s three-phase commercial plan</w:t>
      </w:r>
    </w:p>
    <w:p>
      <w:pPr>
        <w:spacing w:after="0" w:line="13" w:lineRule="exact"/>
        <w:rPr>
          <w:rFonts w:ascii="Arial" w:cs="Arial" w:eastAsia="Arial" w:hAnsi="Arial"/>
          <w:sz w:val="22"/>
          <w:szCs w:val="22"/>
          <w:color w:val="auto"/>
        </w:rPr>
      </w:pPr>
    </w:p>
    <w:p>
      <w:pPr>
        <w:ind w:left="660" w:right="340" w:hanging="328"/>
        <w:spacing w:after="0" w:line="232"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Signed a non-exclusive commercial agreement with SCIEX to provide complete end-to-end solutions for unbiased, deep, rapid and large-scale proteomics, building on existing commercial agreements with Thermo Fisher and Bruker</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Appointed Deep Nishar and Mostafa Ronaghi, Ph.D. to our Board of Directors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Expanded executive team, adding key talent including Marissa Dixon, Chief People Officer, and Elona Kogan, General Counsel</w:t>
      </w:r>
    </w:p>
    <w:p>
      <w:pPr>
        <w:spacing w:after="0" w:line="12" w:lineRule="exact"/>
        <w:rPr>
          <w:rFonts w:ascii="Arial" w:cs="Arial" w:eastAsia="Arial" w:hAnsi="Arial"/>
          <w:sz w:val="22"/>
          <w:szCs w:val="22"/>
          <w:color w:val="auto"/>
        </w:rPr>
      </w:pPr>
    </w:p>
    <w:p>
      <w:pPr>
        <w:ind w:left="660" w:right="220" w:hanging="328"/>
        <w:spacing w:after="0" w:line="251" w:lineRule="auto"/>
        <w:tabs>
          <w:tab w:leader="none" w:pos="655" w:val="left"/>
        </w:tabs>
        <w:numPr>
          <w:ilvl w:val="0"/>
          <w:numId w:val="3"/>
        </w:numPr>
        <w:rPr>
          <w:rFonts w:ascii="Arial" w:cs="Arial" w:eastAsia="Arial" w:hAnsi="Arial"/>
          <w:sz w:val="21"/>
          <w:szCs w:val="21"/>
          <w:color w:val="auto"/>
        </w:rPr>
      </w:pPr>
      <w:r>
        <w:rPr>
          <w:rFonts w:ascii="Arial" w:cs="Arial" w:eastAsia="Arial" w:hAnsi="Arial"/>
          <w:sz w:val="17"/>
          <w:szCs w:val="17"/>
          <w:color w:val="auto"/>
        </w:rPr>
        <w:t>Strengthened balance sheet with $417.5 million in net proceeds from recent financings, including $314.4 million from our initial public offering and concurrent private placement in December 2020, and $103.1 million from our follow-on offering in February 2021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2020 Financial Results</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Revenue was $336,000 for the three months ended December 31, 2020, as compared to $58,000 for the three months ended December 31, 2019. The increase in revenue was driven primarily by completion of a research collaboration study.</w:t>
      </w:r>
    </w:p>
    <w:p>
      <w:pPr>
        <w:spacing w:after="0" w:line="21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Operating expenses were $13.4 million for the fourth quarter of 2020, as compared to $5.5 million for the corresponding prior year period, an increase of 145%. The increase in expenses was the result of a significant increase in employees and associated compensation expense, product development efforts related to our Proteograph Product Suite, and increased costs of becoming a public company.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Net loss was $12.9 million for the fourth quarter of 2020, as compared to $5.1 million for the corresponding prior year period.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2020 Financial Results</w:t>
      </w:r>
    </w:p>
    <w:p>
      <w:pPr>
        <w:sectPr>
          <w:pgSz w:w="11900" w:h="16838" w:orient="portrait"/>
          <w:cols w:equalWidth="0" w:num="1">
            <w:col w:w="11240"/>
          </w:cols>
          <w:pgMar w:left="320" w:top="1417" w:right="339" w:bottom="1440" w:gutter="0" w:footer="0" w:header="0"/>
        </w:sectPr>
      </w:pPr>
    </w:p>
    <w:bookmarkStart w:id="3" w:name="page4"/>
    <w:bookmarkEnd w:id="3"/>
    <w:p>
      <w:pPr>
        <w:jc w:val="both"/>
        <w:spacing w:after="0" w:line="243" w:lineRule="auto"/>
        <w:rPr>
          <w:sz w:val="20"/>
          <w:szCs w:val="20"/>
          <w:color w:val="auto"/>
        </w:rPr>
      </w:pPr>
      <w:r>
        <w:rPr>
          <w:rFonts w:ascii="Arial" w:cs="Arial" w:eastAsia="Arial" w:hAnsi="Arial"/>
          <w:sz w:val="18"/>
          <w:szCs w:val="18"/>
          <w:color w:val="auto"/>
        </w:rPr>
        <w:t>Revenue for the year ended December 31, 2020 was $656,000, as compared to $116,000 for the year ended December 31, 2019. The increase was due to a Small Business Innovation Research grant awarded by the National Institutes of Health in the third quarter of 2019, which continued through 2020, and the completion of a research collaboration study. Revenue to date has been generated from grant-funded activities and research collaborations with biopharma companies.</w:t>
      </w:r>
    </w:p>
    <w:p>
      <w:pPr>
        <w:spacing w:after="0" w:line="21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Operating expenses were $34.3 million for the year ended December 31, 2020, as compared to $17.0 million for the year ended December 31, 2019, an increase of 102%. The increase was due to greater research and development and general and administrative expenses driven by increased headcount and associated compensation expenses including stock-based compensation, increased product development efforts related to our Proteograph Product Suite and increased costs related to becoming a public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Net loss was $32.8 million for the year ended December 31, 2020, as compared to $16.0 million for the year ended December 31, 2019.</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Cash, cash equivalents and investments were $431.9 million as of December 31, 2020. This includes $314.4 million of net proceeds from Seer’s IPO and concurrent private placement in December of 2020. Subsequent to year end, Seer completed a follow-on offering in February 2021, raising an additional $103.1 million in net proceeds for the Company.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Information</w:t>
      </w:r>
    </w:p>
    <w:p>
      <w:pPr>
        <w:spacing w:after="0" w:line="27"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Seer will host a conference call to discuss the fourth quarter 2020 financial results after market close on Monday, March 29, 2021 at 1:30 pm Pacific Time / 4:30 pm Eastern Time. A webcast of the conference call can be accessed at </w:t>
      </w:r>
      <w:r>
        <w:rPr>
          <w:rFonts w:ascii="Arial" w:cs="Arial" w:eastAsia="Arial" w:hAnsi="Arial"/>
          <w:sz w:val="18"/>
          <w:szCs w:val="18"/>
          <w:color w:val="0000FF"/>
        </w:rPr>
        <w:t>http://investor.seer.bio.</w:t>
      </w:r>
      <w:r>
        <w:rPr>
          <w:rFonts w:ascii="Arial" w:cs="Arial" w:eastAsia="Arial" w:hAnsi="Arial"/>
          <w:sz w:val="18"/>
          <w:szCs w:val="18"/>
          <w:color w:val="auto"/>
        </w:rPr>
        <w:t xml:space="preserve"> The webcast will be archived and available for replay for at least 90 days after the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Seer</w:t>
      </w:r>
    </w:p>
    <w:p>
      <w:pPr>
        <w:spacing w:after="0" w:line="27"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 xml:space="preserve">Seer is a life sciences company focused on enabling exceptional scientific outcomes by commercializing transformative products that will drive breakthrough ideas by unlocking the deep, unbiased biological information that can make them a reality. Seer is developing its Proteograph™ Product Suite, which is an integrated solution consisting of consumables, automation instrumentation and proprietary software that performs deep, unbiased proteomics analysis at scale in a matter of hours. Seer designed the Proteograph Product Suite to be efficient and easy-to-use, leveraging widely adopted laboratory instrumentation to provide a decentralized solution that is broadly available to life sciences researchers. Seer’s Proteograph Product Suite is for research use only and is not intended for diagnostic procedures. For more information, please visit </w:t>
      </w:r>
      <w:r>
        <w:rPr>
          <w:rFonts w:ascii="Arial" w:cs="Arial" w:eastAsia="Arial" w:hAnsi="Arial"/>
          <w:sz w:val="16"/>
          <w:szCs w:val="16"/>
          <w:color w:val="0000FF"/>
        </w:rPr>
        <w:t>www.seer.bio</w:t>
      </w:r>
      <w:r>
        <w:rPr>
          <w:rFonts w:ascii="Arial" w:cs="Arial" w:eastAsia="Arial" w:hAnsi="Arial"/>
          <w:sz w:val="16"/>
          <w:szCs w:val="16"/>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Such forward-looking statements are based on the Company’s beliefs and assumptions and on information currently available to it on the date of this press release. Forward-looking statements may involve known and unknown risks, uncertainties and other factors that may cause the Company’s actual results, performance or achievements to be materially different from those expressed or implied by the forward-looking statements, including but not limited to statements regarding our timing and ability to enable unbiased, deep and rapid proteomics available at scale. These and other risks are described more fully in the Company’s filings with the Securities and Exchange Commission (“SEC”), including the Company’s Annual Report on Form 10-K, to be filed with the SEC on March 29, 2021, and other documents the Company subsequently files with the SEC from time to time. Except to the extent required by law, the Company undertakes no obligation to update such statements to reflect events that occur or circumstances that exist after the date on which they were made.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Carrie Mendivil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investor@seer.bio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 Contact:</w:t>
      </w:r>
    </w:p>
    <w:p>
      <w:pPr>
        <w:sectPr>
          <w:pgSz w:w="11900" w:h="16838" w:orient="portrait"/>
          <w:cols w:equalWidth="0" w:num="1">
            <w:col w:w="11240"/>
          </w:cols>
          <w:pgMar w:left="320" w:top="1421" w:right="339" w:bottom="1440" w:gutter="0" w:footer="0" w:header="0"/>
        </w:sectPr>
      </w:pPr>
    </w:p>
    <w:bookmarkStart w:id="4" w:name="page5"/>
    <w:bookmarkEnd w:id="4"/>
    <w:p>
      <w:pPr>
        <w:spacing w:after="0"/>
        <w:rPr>
          <w:sz w:val="20"/>
          <w:szCs w:val="20"/>
          <w:color w:val="auto"/>
        </w:rPr>
      </w:pPr>
      <w:r>
        <w:rPr>
          <w:rFonts w:ascii="Arial" w:cs="Arial" w:eastAsia="Arial" w:hAnsi="Arial"/>
          <w:sz w:val="15"/>
          <w:szCs w:val="15"/>
          <w:color w:val="auto"/>
        </w:rPr>
        <w:t>Karen Possemato</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0000FF"/>
        </w:rPr>
        <w:t>pr@seer.bio</w:t>
      </w:r>
    </w:p>
    <w:p>
      <w:pPr>
        <w:sectPr>
          <w:pgSz w:w="11900" w:h="16838" w:orient="portrait"/>
          <w:cols w:equalWidth="0" w:num="1">
            <w:col w:w="10139"/>
          </w:cols>
          <w:pgMar w:left="320" w:top="1421" w:right="1440" w:bottom="1440" w:gutter="0" w:footer="0" w:header="0"/>
        </w:sectPr>
      </w:pPr>
    </w:p>
    <w:bookmarkStart w:id="5" w:name="page6"/>
    <w:bookmarkEnd w:id="5"/>
    <w:p>
      <w:pPr>
        <w:spacing w:after="0" w:line="200" w:lineRule="exact"/>
        <w:rPr>
          <w:sz w:val="20"/>
          <w:szCs w:val="20"/>
          <w:color w:val="auto"/>
        </w:rPr>
      </w:pPr>
    </w:p>
    <w:p>
      <w:pPr>
        <w:spacing w:after="0" w:line="264"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Seer, Inc.</w:t>
      </w:r>
    </w:p>
    <w:p>
      <w:pPr>
        <w:spacing w:after="0" w:line="16"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December 31,</w:t>
            </w:r>
          </w:p>
        </w:tc>
        <w:tc>
          <w:tcPr>
            <w:tcW w:w="320" w:type="dxa"/>
            <w:vAlign w:val="bottom"/>
          </w:tcPr>
          <w:p>
            <w:pPr>
              <w:spacing w:after="0"/>
              <w:rPr>
                <w:sz w:val="16"/>
                <w:szCs w:val="16"/>
                <w:color w:val="auto"/>
              </w:rPr>
            </w:pPr>
          </w:p>
        </w:tc>
        <w:tc>
          <w:tcPr>
            <w:tcW w:w="260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7"/>
        </w:trPr>
        <w:tc>
          <w:tcPr>
            <w:tcW w:w="506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7"/>
        </w:trPr>
        <w:tc>
          <w:tcPr>
            <w:tcW w:w="5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54"/>
        </w:trPr>
        <w:tc>
          <w:tcPr>
            <w:tcW w:w="5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5,422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12,393</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7,955</w:t>
            </w:r>
          </w:p>
        </w:tc>
        <w:tc>
          <w:tcPr>
            <w:tcW w:w="2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4,606</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13,377</w:t>
            </w: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16,999</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(13,041)</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(16,883)</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29"/>
        </w:trPr>
        <w:tc>
          <w:tcPr>
            <w:tcW w:w="5060" w:type="dxa"/>
            <w:vAlign w:val="bottom"/>
          </w:tcPr>
          <w:p>
            <w:pPr>
              <w:ind w:left="240"/>
              <w:spacing w:after="0"/>
              <w:rPr>
                <w:sz w:val="20"/>
                <w:szCs w:val="20"/>
                <w:color w:val="auto"/>
              </w:rPr>
            </w:pPr>
            <w:r>
              <w:rPr>
                <w:rFonts w:ascii="Arial" w:cs="Arial" w:eastAsia="Arial" w:hAnsi="Arial"/>
                <w:sz w:val="18"/>
                <w:szCs w:val="18"/>
                <w:color w:val="auto"/>
              </w:rPr>
              <w:t>Interest and other expense</w:t>
            </w:r>
          </w:p>
        </w:tc>
        <w:tc>
          <w:tcPr>
            <w:tcW w:w="300" w:type="dxa"/>
            <w:vAlign w:val="bottom"/>
          </w:tcPr>
          <w:p>
            <w:pPr>
              <w:spacing w:after="0"/>
              <w:rPr>
                <w:sz w:val="19"/>
                <w:szCs w:val="19"/>
                <w:color w:val="auto"/>
              </w:rPr>
            </w:pPr>
          </w:p>
        </w:tc>
        <w:tc>
          <w:tcPr>
            <w:tcW w:w="1340" w:type="dxa"/>
            <w:vAlign w:val="bottom"/>
            <w:gridSpan w:val="2"/>
          </w:tcPr>
          <w:p>
            <w:pPr>
              <w:ind w:left="920"/>
              <w:spacing w:after="0"/>
              <w:rPr>
                <w:sz w:val="20"/>
                <w:szCs w:val="20"/>
                <w:color w:val="auto"/>
              </w:rPr>
            </w:pPr>
            <w:r>
              <w:rPr>
                <w:rFonts w:ascii="Arial" w:cs="Arial" w:eastAsia="Arial" w:hAnsi="Arial"/>
                <w:sz w:val="14"/>
                <w:szCs w:val="14"/>
                <w:color w:val="auto"/>
              </w:rPr>
              <w:t>— —</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88"/>
        </w:trPr>
        <w:tc>
          <w:tcPr>
            <w:tcW w:w="5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(12,936)</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(16,038)</w:t>
            </w:r>
          </w:p>
        </w:tc>
        <w:tc>
          <w:tcPr>
            <w:tcW w:w="0" w:type="dxa"/>
            <w:vAlign w:val="bottom"/>
          </w:tcPr>
          <w:p>
            <w:pPr>
              <w:spacing w:after="0"/>
              <w:rPr>
                <w:sz w:val="1"/>
                <w:szCs w:val="1"/>
                <w:color w:val="auto"/>
              </w:rPr>
            </w:pPr>
          </w:p>
        </w:tc>
      </w:tr>
      <w:tr>
        <w:trPr>
          <w:trHeight w:val="203"/>
        </w:trPr>
        <w:tc>
          <w:tcPr>
            <w:tcW w:w="506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Net loss per share attributable to common stockholders, basic and</w:t>
            </w:r>
          </w:p>
        </w:tc>
        <w:tc>
          <w:tcPr>
            <w:tcW w:w="3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60" w:type="dxa"/>
            <w:vAlign w:val="bottom"/>
          </w:tcPr>
          <w:p>
            <w:pPr>
              <w:ind w:left="20"/>
              <w:spacing w:after="0" w:line="203" w:lineRule="exact"/>
              <w:rPr>
                <w:sz w:val="20"/>
                <w:szCs w:val="20"/>
                <w:color w:val="auto"/>
              </w:rPr>
            </w:pPr>
            <w:r>
              <w:rPr>
                <w:rFonts w:ascii="Arial" w:cs="Arial" w:eastAsia="Arial" w:hAnsi="Arial"/>
                <w:sz w:val="18"/>
                <w:szCs w:val="18"/>
                <w:color w:val="auto"/>
                <w:w w:val="95"/>
              </w:rPr>
              <w:t>Weighted-average common shares outstanding, basic and diluted</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23,893,201</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8,169,883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13,216,657</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6,952,419</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9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333,585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40"/>
              <w:spacing w:after="0"/>
              <w:rPr>
                <w:sz w:val="20"/>
                <w:szCs w:val="20"/>
                <w:color w:val="auto"/>
              </w:rPr>
            </w:pPr>
            <w:r>
              <w:rPr>
                <w:rFonts w:ascii="Arial" w:cs="Arial" w:eastAsia="Arial" w:hAnsi="Arial"/>
                <w:sz w:val="18"/>
                <w:szCs w:val="18"/>
                <w:color w:val="auto"/>
              </w:rPr>
              <w:t>Investments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98,278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20" w:type="dxa"/>
            <w:vAlign w:val="bottom"/>
          </w:tcPr>
          <w:p>
            <w:pPr>
              <w:ind w:left="240"/>
              <w:spacing w:after="0"/>
              <w:rPr>
                <w:sz w:val="20"/>
                <w:szCs w:val="20"/>
                <w:color w:val="auto"/>
              </w:rPr>
            </w:pPr>
            <w:r>
              <w:rPr>
                <w:rFonts w:ascii="Arial" w:cs="Arial" w:eastAsia="Arial" w:hAnsi="Arial"/>
                <w:sz w:val="18"/>
                <w:szCs w:val="18"/>
                <w:color w:val="auto"/>
              </w:rPr>
              <w:t>Other receivables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receivables, related parties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433,128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86,806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8,441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9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442,319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93,236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2,115</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rent, current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8,094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rent, net of current portion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20" w:type="dxa"/>
            <w:vAlign w:val="bottom"/>
          </w:tcPr>
          <w:p>
            <w:pPr>
              <w:ind w:left="20"/>
              <w:spacing w:after="0"/>
              <w:rPr>
                <w:sz w:val="20"/>
                <w:szCs w:val="20"/>
                <w:color w:val="auto"/>
              </w:rPr>
            </w:pPr>
            <w:r>
              <w:rPr>
                <w:rFonts w:ascii="Arial" w:cs="Arial" w:eastAsia="Arial" w:hAnsi="Arial"/>
                <w:sz w:val="18"/>
                <w:szCs w:val="18"/>
                <w:color w:val="auto"/>
              </w:rPr>
              <w:t>Commitments (Note 10)</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40"/>
              <w:spacing w:after="0"/>
              <w:rPr>
                <w:sz w:val="20"/>
                <w:szCs w:val="20"/>
                <w:color w:val="auto"/>
              </w:rPr>
            </w:pPr>
            <w:r>
              <w:rPr>
                <w:rFonts w:ascii="Arial" w:cs="Arial" w:eastAsia="Arial" w:hAnsi="Arial"/>
                <w:sz w:val="18"/>
                <w:szCs w:val="18"/>
                <w:color w:val="auto"/>
              </w:rPr>
              <w:t>Convertible preferred stock</w:t>
            </w:r>
          </w:p>
        </w:tc>
        <w:tc>
          <w:tcPr>
            <w:tcW w:w="3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107,953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Preferred stock</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tcPr>
          <w:p>
            <w:pPr>
              <w:ind w:left="240"/>
              <w:spacing w:after="0"/>
              <w:rPr>
                <w:sz w:val="20"/>
                <w:szCs w:val="20"/>
                <w:color w:val="auto"/>
              </w:rPr>
            </w:pPr>
            <w:r>
              <w:rPr>
                <w:rFonts w:ascii="Arial" w:cs="Arial" w:eastAsia="Arial" w:hAnsi="Arial"/>
                <w:sz w:val="18"/>
                <w:szCs w:val="18"/>
                <w:color w:val="auto"/>
              </w:rPr>
              <w:t>Common stock</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486,915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deficit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(55,361)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431,609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87,679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9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442,319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93,236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2021-03-29T15:12:58Z</dcterms:created>
  <dcterms:modified xsi:type="dcterms:W3CDTF">2021-03-29T15:12:58Z</dcterms:modified>
</cp:coreProperties>
</file>