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SEER,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81578P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720" w:hanging="33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380" w:right="9520" w:firstLine="6"/>
        <w:spacing w:after="0" w:line="225" w:lineRule="exact"/>
        <w:tabs>
          <w:tab w:leader="none" w:pos="7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spacing w:after="0"/>
        <w:tabs>
          <w:tab w:leader="none" w:pos="10740" w:val="left"/>
        </w:tabs>
        <w:rPr>
          <w:sz w:val="20"/>
          <w:szCs w:val="20"/>
          <w:color w:val="auto"/>
        </w:rPr>
      </w:pPr>
      <w:r>
        <w:rPr>
          <w:rFonts w:ascii="Arial" w:cs="Arial" w:eastAsia="Arial" w:hAnsi="Arial"/>
          <w:sz w:val="18"/>
          <w:szCs w:val="18"/>
          <w:color w:val="auto"/>
        </w:rPr>
        <w:t>CUSIP No. 81578P 106</w:t>
      </w:r>
      <w:r>
        <w:rPr>
          <w:sz w:val="20"/>
          <w:szCs w:val="20"/>
          <w:color w:val="auto"/>
        </w:rPr>
        <w:tab/>
      </w:r>
      <w:r>
        <w:rPr>
          <w:rFonts w:ascii="Arial" w:cs="Arial" w:eastAsia="Arial" w:hAnsi="Arial"/>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hanging="741"/>
        <w:spacing w:after="0"/>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5"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Omid Farokhzad</w:t>
      </w:r>
    </w:p>
    <w:p>
      <w:pPr>
        <w:spacing w:after="0" w:line="23"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40575" cy="5212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212080"/>
                    </a:xfrm>
                    <a:prstGeom prst="rect">
                      <a:avLst/>
                    </a:prstGeom>
                    <a:noFill/>
                  </pic:spPr>
                </pic:pic>
              </a:graphicData>
            </a:graphic>
          </wp:anchor>
        </w:drawing>
      </w:r>
    </w:p>
    <w:p>
      <w:pPr>
        <w:spacing w:after="0" w:line="218" w:lineRule="exact"/>
        <w:rPr>
          <w:sz w:val="20"/>
          <w:szCs w:val="20"/>
          <w:color w:val="auto"/>
        </w:rPr>
      </w:pPr>
    </w:p>
    <w:p>
      <w:pPr>
        <w:ind w:left="1140" w:hanging="718"/>
        <w:spacing w:after="0"/>
        <w:tabs>
          <w:tab w:leader="none" w:pos="11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1480" w:hanging="338"/>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480" w:hanging="338"/>
        <w:spacing w:after="0" w:line="207" w:lineRule="exact"/>
        <w:tabs>
          <w:tab w:leader="none" w:pos="14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1140" w:hanging="718"/>
        <w:spacing w:after="0"/>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3" w:lineRule="exact"/>
        <w:rPr>
          <w:sz w:val="20"/>
          <w:szCs w:val="20"/>
          <w:color w:val="auto"/>
        </w:rPr>
      </w:pPr>
    </w:p>
    <w:p>
      <w:pPr>
        <w:ind w:left="1140" w:hanging="718"/>
        <w:spacing w:after="0"/>
        <w:tabs>
          <w:tab w:leader="none" w:pos="11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23" w:lineRule="exact"/>
        <w:rPr>
          <w:rFonts w:ascii="Arial" w:cs="Arial" w:eastAsia="Arial" w:hAnsi="Arial"/>
          <w:sz w:val="18"/>
          <w:szCs w:val="18"/>
          <w:b w:val="1"/>
          <w:bCs w:val="1"/>
          <w:color w:val="auto"/>
        </w:rPr>
      </w:pPr>
    </w:p>
    <w:p>
      <w:pPr>
        <w:ind w:left="2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108" w:lineRule="exact"/>
        <w:rPr>
          <w:sz w:val="20"/>
          <w:szCs w:val="20"/>
          <w:color w:val="auto"/>
        </w:rPr>
      </w:pPr>
    </w:p>
    <w:tbl>
      <w:tblPr>
        <w:tblLayout w:type="fixed"/>
        <w:tblInd w:w="400" w:type="dxa"/>
        <w:tblCellMar>
          <w:top w:w="0" w:type="dxa"/>
          <w:left w:w="0" w:type="dxa"/>
          <w:bottom w:w="0" w:type="dxa"/>
          <w:right w:w="0" w:type="dxa"/>
        </w:tblCellMar>
      </w:tblPr>
      <w:tr>
        <w:trPr>
          <w:trHeight w:val="333"/>
        </w:trPr>
        <w:tc>
          <w:tcPr>
            <w:tcW w:w="1540" w:type="dxa"/>
            <w:vAlign w:val="bottom"/>
          </w:tcPr>
          <w:p>
            <w:pPr>
              <w:jc w:val="center"/>
              <w:ind w:right="170"/>
              <w:spacing w:after="0"/>
              <w:rPr>
                <w:sz w:val="20"/>
                <w:szCs w:val="20"/>
                <w:color w:val="auto"/>
              </w:rPr>
            </w:pPr>
            <w:r>
              <w:rPr>
                <w:rFonts w:ascii="Arial" w:cs="Arial" w:eastAsia="Arial" w:hAnsi="Arial"/>
                <w:sz w:val="18"/>
                <w:szCs w:val="18"/>
                <w:color w:val="auto"/>
                <w:w w:val="96"/>
              </w:rPr>
              <w:t>NUMBER OF</w:t>
            </w:r>
          </w:p>
        </w:tc>
        <w:tc>
          <w:tcPr>
            <w:tcW w:w="420" w:type="dxa"/>
            <w:vAlign w:val="bottom"/>
          </w:tcPr>
          <w:p>
            <w:pPr>
              <w:spacing w:after="0"/>
              <w:rPr>
                <w:sz w:val="24"/>
                <w:szCs w:val="24"/>
                <w:color w:val="auto"/>
              </w:rPr>
            </w:pPr>
          </w:p>
        </w:tc>
        <w:tc>
          <w:tcPr>
            <w:tcW w:w="8900" w:type="dxa"/>
            <w:vAlign w:val="bottom"/>
          </w:tcPr>
          <w:p>
            <w:pPr>
              <w:ind w:left="140"/>
              <w:spacing w:after="0"/>
              <w:rPr>
                <w:sz w:val="20"/>
                <w:szCs w:val="20"/>
                <w:color w:val="auto"/>
              </w:rPr>
            </w:pPr>
            <w:r>
              <w:rPr>
                <w:rFonts w:ascii="Arial" w:cs="Arial" w:eastAsia="Arial" w:hAnsi="Arial"/>
                <w:sz w:val="18"/>
                <w:szCs w:val="18"/>
                <w:color w:val="auto"/>
              </w:rPr>
              <w:t xml:space="preserve">2,634,224 </w:t>
            </w:r>
            <w:r>
              <w:rPr>
                <w:rFonts w:ascii="Arial" w:cs="Arial" w:eastAsia="Arial" w:hAnsi="Arial"/>
                <w:sz w:val="29"/>
                <w:szCs w:val="29"/>
                <w:color w:val="auto"/>
                <w:vertAlign w:val="superscript"/>
              </w:rPr>
              <w:t>(1)(2)</w:t>
            </w:r>
          </w:p>
        </w:tc>
        <w:tc>
          <w:tcPr>
            <w:tcW w:w="0" w:type="dxa"/>
            <w:vAlign w:val="bottom"/>
          </w:tcPr>
          <w:p>
            <w:pPr>
              <w:spacing w:after="0"/>
              <w:rPr>
                <w:sz w:val="1"/>
                <w:szCs w:val="1"/>
                <w:color w:val="auto"/>
              </w:rPr>
            </w:pPr>
          </w:p>
        </w:tc>
      </w:tr>
      <w:tr>
        <w:trPr>
          <w:trHeight w:val="54"/>
        </w:trPr>
        <w:tc>
          <w:tcPr>
            <w:tcW w:w="1540" w:type="dxa"/>
            <w:vAlign w:val="bottom"/>
            <w:vMerge w:val="restart"/>
          </w:tcPr>
          <w:p>
            <w:pPr>
              <w:jc w:val="center"/>
              <w:ind w:right="190"/>
              <w:spacing w:after="0" w:line="201" w:lineRule="exact"/>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540" w:type="dxa"/>
            <w:vAlign w:val="bottom"/>
            <w:vMerge w:val="continue"/>
          </w:tcPr>
          <w:p>
            <w:pPr>
              <w:spacing w:after="0"/>
              <w:rPr>
                <w:sz w:val="11"/>
                <w:szCs w:val="11"/>
                <w:color w:val="auto"/>
              </w:rPr>
            </w:pP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540" w:type="dxa"/>
            <w:vAlign w:val="bottom"/>
            <w:vMerge w:val="restart"/>
          </w:tcPr>
          <w:p>
            <w:pPr>
              <w:jc w:val="center"/>
              <w:ind w:right="170"/>
              <w:spacing w:after="0"/>
              <w:rPr>
                <w:sz w:val="20"/>
                <w:szCs w:val="20"/>
                <w:color w:val="auto"/>
              </w:rPr>
            </w:pPr>
            <w:r>
              <w:rPr>
                <w:rFonts w:ascii="Arial" w:cs="Arial" w:eastAsia="Arial" w:hAnsi="Arial"/>
                <w:sz w:val="18"/>
                <w:szCs w:val="18"/>
                <w:color w:val="auto"/>
              </w:rPr>
              <w:t>BENEFICIALLY</w:t>
            </w:r>
          </w:p>
        </w:tc>
        <w:tc>
          <w:tcPr>
            <w:tcW w:w="42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5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170"/>
              <w:spacing w:after="0"/>
              <w:rPr>
                <w:sz w:val="20"/>
                <w:szCs w:val="20"/>
                <w:color w:val="auto"/>
              </w:rPr>
            </w:pPr>
            <w:r>
              <w:rPr>
                <w:rFonts w:ascii="Arial" w:cs="Arial" w:eastAsia="Arial" w:hAnsi="Arial"/>
                <w:sz w:val="18"/>
                <w:szCs w:val="18"/>
                <w:color w:val="auto"/>
                <w:w w:val="97"/>
              </w:rPr>
              <w:t>OWNED BY</w:t>
            </w:r>
          </w:p>
        </w:tc>
        <w:tc>
          <w:tcPr>
            <w:tcW w:w="420" w:type="dxa"/>
            <w:vAlign w:val="bottom"/>
          </w:tcPr>
          <w:p>
            <w:pPr>
              <w:spacing w:after="0"/>
              <w:rPr>
                <w:sz w:val="18"/>
                <w:szCs w:val="18"/>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 xml:space="preserve">3,420,616 </w:t>
            </w:r>
            <w:r>
              <w:rPr>
                <w:rFonts w:ascii="Arial" w:cs="Arial" w:eastAsia="Arial" w:hAnsi="Arial"/>
                <w:sz w:val="29"/>
                <w:szCs w:val="29"/>
                <w:color w:val="auto"/>
                <w:vertAlign w:val="superscript"/>
              </w:rPr>
              <w:t>(2)(3)</w:t>
            </w:r>
          </w:p>
        </w:tc>
        <w:tc>
          <w:tcPr>
            <w:tcW w:w="0" w:type="dxa"/>
            <w:vAlign w:val="bottom"/>
          </w:tcPr>
          <w:p>
            <w:pPr>
              <w:spacing w:after="0"/>
              <w:rPr>
                <w:sz w:val="1"/>
                <w:szCs w:val="1"/>
                <w:color w:val="auto"/>
              </w:rPr>
            </w:pPr>
          </w:p>
        </w:tc>
      </w:tr>
      <w:tr>
        <w:trPr>
          <w:trHeight w:val="122"/>
        </w:trPr>
        <w:tc>
          <w:tcPr>
            <w:tcW w:w="1540" w:type="dxa"/>
            <w:vAlign w:val="bottom"/>
            <w:vMerge w:val="restart"/>
          </w:tcPr>
          <w:p>
            <w:pPr>
              <w:jc w:val="center"/>
              <w:ind w:right="190"/>
              <w:spacing w:after="0"/>
              <w:rPr>
                <w:sz w:val="20"/>
                <w:szCs w:val="20"/>
                <w:color w:val="auto"/>
              </w:rPr>
            </w:pPr>
            <w:r>
              <w:rPr>
                <w:rFonts w:ascii="Arial" w:cs="Arial" w:eastAsia="Arial" w:hAnsi="Arial"/>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540" w:type="dxa"/>
            <w:vAlign w:val="bottom"/>
            <w:vMerge w:val="continue"/>
          </w:tcPr>
          <w:p>
            <w:pPr>
              <w:spacing w:after="0"/>
              <w:rPr>
                <w:sz w:val="6"/>
                <w:szCs w:val="6"/>
                <w:color w:val="auto"/>
              </w:rPr>
            </w:pP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540" w:type="dxa"/>
            <w:vAlign w:val="bottom"/>
            <w:vMerge w:val="restart"/>
          </w:tcPr>
          <w:p>
            <w:pPr>
              <w:jc w:val="center"/>
              <w:ind w:right="170"/>
              <w:spacing w:after="0"/>
              <w:rPr>
                <w:sz w:val="20"/>
                <w:szCs w:val="20"/>
                <w:color w:val="auto"/>
              </w:rPr>
            </w:pPr>
            <w:r>
              <w:rPr>
                <w:rFonts w:ascii="Arial" w:cs="Arial" w:eastAsia="Arial" w:hAnsi="Arial"/>
                <w:sz w:val="18"/>
                <w:szCs w:val="18"/>
                <w:color w:val="auto"/>
                <w:w w:val="93"/>
              </w:rPr>
              <w:t>REPORTING</w:t>
            </w:r>
          </w:p>
        </w:tc>
        <w:tc>
          <w:tcPr>
            <w:tcW w:w="420" w:type="dxa"/>
            <w:vAlign w:val="bottom"/>
            <w:vMerge w:val="continue"/>
          </w:tcPr>
          <w:p>
            <w:pPr>
              <w:spacing w:after="0"/>
              <w:rPr>
                <w:sz w:val="13"/>
                <w:szCs w:val="13"/>
                <w:color w:val="auto"/>
              </w:rPr>
            </w:pPr>
          </w:p>
        </w:tc>
        <w:tc>
          <w:tcPr>
            <w:tcW w:w="8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190"/>
              <w:spacing w:after="0"/>
              <w:rPr>
                <w:sz w:val="20"/>
                <w:szCs w:val="20"/>
                <w:color w:val="auto"/>
              </w:rPr>
            </w:pPr>
            <w:r>
              <w:rPr>
                <w:rFonts w:ascii="Arial" w:cs="Arial" w:eastAsia="Arial" w:hAnsi="Arial"/>
                <w:sz w:val="18"/>
                <w:szCs w:val="18"/>
                <w:color w:val="auto"/>
                <w:w w:val="92"/>
              </w:rPr>
              <w:t>PERSON</w:t>
            </w:r>
          </w:p>
        </w:tc>
        <w:tc>
          <w:tcPr>
            <w:tcW w:w="420" w:type="dxa"/>
            <w:vAlign w:val="bottom"/>
          </w:tcPr>
          <w:p>
            <w:pPr>
              <w:spacing w:after="0"/>
              <w:rPr>
                <w:sz w:val="18"/>
                <w:szCs w:val="18"/>
                <w:color w:val="auto"/>
              </w:rPr>
            </w:pPr>
          </w:p>
        </w:tc>
        <w:tc>
          <w:tcPr>
            <w:tcW w:w="8900" w:type="dxa"/>
            <w:vAlign w:val="bottom"/>
            <w:vMerge w:val="restart"/>
          </w:tcPr>
          <w:p>
            <w:pPr>
              <w:ind w:left="140"/>
              <w:spacing w:after="0"/>
              <w:rPr>
                <w:sz w:val="20"/>
                <w:szCs w:val="20"/>
                <w:color w:val="auto"/>
              </w:rPr>
            </w:pPr>
            <w:r>
              <w:rPr>
                <w:rFonts w:ascii="Arial" w:cs="Arial" w:eastAsia="Arial" w:hAnsi="Arial"/>
                <w:sz w:val="18"/>
                <w:szCs w:val="18"/>
                <w:color w:val="auto"/>
              </w:rPr>
              <w:t xml:space="preserve">2,634,224 </w:t>
            </w:r>
            <w:r>
              <w:rPr>
                <w:rFonts w:ascii="Arial" w:cs="Arial" w:eastAsia="Arial" w:hAnsi="Arial"/>
                <w:sz w:val="29"/>
                <w:szCs w:val="29"/>
                <w:color w:val="auto"/>
                <w:vertAlign w:val="superscript"/>
              </w:rPr>
              <w:t>(1)(2)</w:t>
            </w:r>
          </w:p>
        </w:tc>
        <w:tc>
          <w:tcPr>
            <w:tcW w:w="0" w:type="dxa"/>
            <w:vAlign w:val="bottom"/>
          </w:tcPr>
          <w:p>
            <w:pPr>
              <w:spacing w:after="0"/>
              <w:rPr>
                <w:sz w:val="1"/>
                <w:szCs w:val="1"/>
                <w:color w:val="auto"/>
              </w:rPr>
            </w:pPr>
          </w:p>
        </w:tc>
      </w:tr>
      <w:tr>
        <w:trPr>
          <w:trHeight w:val="176"/>
        </w:trPr>
        <w:tc>
          <w:tcPr>
            <w:tcW w:w="1540" w:type="dxa"/>
            <w:vAlign w:val="bottom"/>
          </w:tcPr>
          <w:p>
            <w:pPr>
              <w:jc w:val="center"/>
              <w:ind w:right="190"/>
              <w:spacing w:after="0" w:line="157" w:lineRule="exact"/>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15"/>
                <w:szCs w:val="15"/>
                <w:color w:val="auto"/>
              </w:rPr>
            </w:pPr>
          </w:p>
        </w:tc>
        <w:tc>
          <w:tcPr>
            <w:tcW w:w="8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890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 xml:space="preserve">3,420,616 </w:t>
      </w:r>
      <w:r>
        <w:rPr>
          <w:rFonts w:ascii="Arial" w:cs="Arial" w:eastAsia="Arial" w:hAnsi="Arial"/>
          <w:sz w:val="29"/>
          <w:szCs w:val="29"/>
          <w:color w:val="auto"/>
          <w:vertAlign w:val="superscript"/>
        </w:rPr>
        <w:t>(2)(3)</w:t>
      </w:r>
    </w:p>
    <w:p>
      <w:pPr>
        <w:ind w:left="1140" w:hanging="718"/>
        <w:spacing w:after="0"/>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6,054,840 </w:t>
      </w:r>
      <w:r>
        <w:rPr>
          <w:rFonts w:ascii="Arial" w:cs="Arial" w:eastAsia="Arial" w:hAnsi="Arial"/>
          <w:sz w:val="29"/>
          <w:szCs w:val="29"/>
          <w:color w:val="auto"/>
          <w:vertAlign w:val="superscript"/>
        </w:rPr>
        <w:t>(1)(2)(3)</w:t>
      </w:r>
    </w:p>
    <w:p>
      <w:pPr>
        <w:ind w:left="1140" w:hanging="763"/>
        <w:spacing w:after="0" w:line="207" w:lineRule="exact"/>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29" w:lineRule="exact"/>
        <w:rPr>
          <w:rFonts w:ascii="Arial" w:cs="Arial" w:eastAsia="Arial" w:hAnsi="Arial"/>
          <w:sz w:val="18"/>
          <w:szCs w:val="18"/>
          <w:b w:val="1"/>
          <w:bCs w:val="1"/>
          <w:color w:val="auto"/>
        </w:rPr>
      </w:pPr>
    </w:p>
    <w:p>
      <w:pPr>
        <w:ind w:left="1140" w:right="5000" w:hanging="758"/>
        <w:spacing w:after="0" w:line="276" w:lineRule="auto"/>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35"/>
          <w:szCs w:val="35"/>
          <w:color w:val="auto"/>
          <w:vertAlign w:val="subscript"/>
        </w:rPr>
        <w:t>9.4</w:t>
      </w:r>
      <w:r>
        <w:rPr>
          <w:rFonts w:ascii="Arial" w:cs="Arial" w:eastAsia="Arial" w:hAnsi="Arial"/>
          <w:sz w:val="14"/>
          <w:szCs w:val="14"/>
          <w:color w:val="auto"/>
        </w:rPr>
        <w:t xml:space="preserve"> (2)(4)(5)</w:t>
      </w:r>
    </w:p>
    <w:p>
      <w:pPr>
        <w:spacing w:after="0" w:line="1" w:lineRule="exact"/>
        <w:rPr>
          <w:rFonts w:ascii="Arial" w:cs="Arial" w:eastAsia="Arial" w:hAnsi="Arial"/>
          <w:sz w:val="18"/>
          <w:szCs w:val="18"/>
          <w:b w:val="1"/>
          <w:bCs w:val="1"/>
          <w:color w:val="auto"/>
        </w:rPr>
      </w:pPr>
    </w:p>
    <w:p>
      <w:pPr>
        <w:ind w:left="1140" w:hanging="763"/>
        <w:spacing w:after="0"/>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w:t>
      </w:r>
    </w:p>
    <w:p>
      <w:pPr>
        <w:spacing w:after="0" w:line="23" w:lineRule="exact"/>
        <w:rPr>
          <w:sz w:val="20"/>
          <w:szCs w:val="20"/>
          <w:color w:val="auto"/>
        </w:rPr>
      </w:pPr>
    </w:p>
    <w:p>
      <w:pPr>
        <w:jc w:val="both"/>
        <w:ind w:left="340" w:right="20" w:hanging="323"/>
        <w:spacing w:after="0" w:line="270" w:lineRule="auto"/>
        <w:tabs>
          <w:tab w:leader="none" w:pos="320" w:val="left"/>
        </w:tabs>
        <w:rPr>
          <w:sz w:val="20"/>
          <w:szCs w:val="20"/>
          <w:color w:val="auto"/>
        </w:rPr>
      </w:pPr>
      <w:r>
        <w:rPr>
          <w:rFonts w:ascii="Arial" w:cs="Arial" w:eastAsia="Arial" w:hAnsi="Arial"/>
          <w:sz w:val="15"/>
          <w:szCs w:val="15"/>
          <w:color w:val="auto"/>
        </w:rPr>
        <w:t>(1</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Consists of (i) 392,763 shares of Class A common stock and 134,579 shares of Class B common stock held of record by Omid Farokhzad (the “Reporting Person”); (ii) 2,035,222 shares of Class A common stock subject to options exercisable within 60 days of December 31, 2022 and (iii) 71,660 shares of Class A common stock issuable upon vesting of RSUs within 60 days of December 31, 2022.</w:t>
      </w:r>
    </w:p>
    <w:p>
      <w:pPr>
        <w:ind w:left="340" w:hanging="332"/>
        <w:spacing w:after="0" w:line="181"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Each share of Class B common stock is convertible at any time into one share of Class A common stock.</w:t>
      </w:r>
    </w:p>
    <w:p>
      <w:pPr>
        <w:spacing w:after="0" w:line="43" w:lineRule="exact"/>
        <w:rPr>
          <w:rFonts w:ascii="Arial" w:cs="Arial" w:eastAsia="Arial" w:hAnsi="Arial"/>
          <w:sz w:val="25"/>
          <w:szCs w:val="25"/>
          <w:color w:val="auto"/>
          <w:vertAlign w:val="superscript"/>
        </w:rPr>
      </w:pPr>
    </w:p>
    <w:p>
      <w:pPr>
        <w:jc w:val="both"/>
        <w:ind w:left="340" w:right="20" w:hanging="332"/>
        <w:spacing w:after="0" w:line="204"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Consists of (i) 1,303,478 shares of Class B common stock held of record by Dynamics Group LLC for which the Reporting Person serves as the sole member and (ii) 2,117,138 shares of Class B common stock held of record by SAF-BND Trust for which the Reporting Person’s spouse serves as trustee. The Reporting Person disclaims beneficial ownership of the shares held by the SAF-BND Trust.</w:t>
      </w:r>
    </w:p>
    <w:p>
      <w:pPr>
        <w:spacing w:after="0" w:line="1" w:lineRule="exact"/>
        <w:rPr>
          <w:rFonts w:ascii="Arial" w:cs="Arial" w:eastAsia="Arial" w:hAnsi="Arial"/>
          <w:sz w:val="30"/>
          <w:szCs w:val="30"/>
          <w:color w:val="auto"/>
          <w:vertAlign w:val="superscript"/>
        </w:rPr>
      </w:pPr>
    </w:p>
    <w:p>
      <w:pPr>
        <w:jc w:val="both"/>
        <w:ind w:left="340" w:right="20" w:hanging="332"/>
        <w:spacing w:after="0" w:line="231"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 xml:space="preserve">Based on the quotient obtained by dividing (a) the aggregate amount beneficially owned by the Reporting Person as set forth in Row 9 by (b) the sum of (i) </w:t>
      </w:r>
      <w:r>
        <w:rPr>
          <w:rFonts w:ascii="Arial" w:cs="Arial" w:eastAsia="Arial" w:hAnsi="Arial"/>
          <w:sz w:val="18"/>
          <w:szCs w:val="18"/>
          <w:color w:val="212529"/>
        </w:rPr>
        <w:t>58,596,598</w:t>
      </w:r>
      <w:r>
        <w:rPr>
          <w:rFonts w:ascii="Arial" w:cs="Arial" w:eastAsia="Arial" w:hAnsi="Arial"/>
          <w:sz w:val="18"/>
          <w:szCs w:val="18"/>
          <w:color w:val="auto"/>
        </w:rPr>
        <w:t xml:space="preserve"> shares of Class A common stock outstanding as of November 4, 2022, as reported in the Issuer’s Quarterly Report on Form 10-Q for the quarterly period ended September 30, 2022, filed with the Securities and Exchange Commission on November 8, 2022 (the “Form 10-Q”); (ii) 3,555,195 shares of Class B common stock beneficially owned by the Reporting Person; (iii) 2,035,222 shares of Class A common stock subject to options exercisable within 60 days of December 31, 2022 and (iv) 71,660 shares of Class A common stock issuable upon vesting of RSUs within 60 days of December 31, 2022. The aggregate number of shares of Class B common stock beneficially owned by the Reporting Person as set forth in clause “(a)” of this footnote are treated as converted into Class A common stock only for the purpose of computing the percentage ownership of the Reporting Person.</w:t>
      </w:r>
    </w:p>
    <w:p>
      <w:pPr>
        <w:spacing w:after="0" w:line="1" w:lineRule="exact"/>
        <w:rPr>
          <w:rFonts w:ascii="Arial" w:cs="Arial" w:eastAsia="Arial" w:hAnsi="Arial"/>
          <w:sz w:val="30"/>
          <w:szCs w:val="30"/>
          <w:color w:val="auto"/>
          <w:vertAlign w:val="superscript"/>
        </w:rPr>
      </w:pPr>
    </w:p>
    <w:p>
      <w:pPr>
        <w:jc w:val="both"/>
        <w:ind w:left="340" w:right="20" w:hanging="332"/>
        <w:spacing w:after="0" w:line="204"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Each share of Class A common stock is entitled to one vote and each share of Class B common stock is entitled to ten votes. The percentage reported does not reflect the ten for one voting power of the Class B common stock because these shares are treated as converted into Class A common stock for the purpose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980" w:right="9040" w:hanging="324"/>
        <w:spacing w:after="0" w:line="563" w:lineRule="auto"/>
        <w:tabs>
          <w:tab w:leader="none" w:pos="9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Seer, Inc.</w:t>
      </w: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rFonts w:ascii="Arial" w:cs="Arial" w:eastAsia="Arial" w:hAnsi="Arial"/>
          <w:sz w:val="18"/>
          <w:szCs w:val="18"/>
          <w:b w:val="1"/>
          <w:bCs w:val="1"/>
          <w:color w:val="auto"/>
        </w:rPr>
      </w:pPr>
    </w:p>
    <w:p>
      <w:pPr>
        <w:jc w:val="both"/>
        <w:ind w:left="980" w:right="79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3800 Bridge Parkway, Suite 102 Redwood City, California 94065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980" w:right="8480" w:hanging="324"/>
        <w:spacing w:after="0" w:line="563" w:lineRule="auto"/>
        <w:tabs>
          <w:tab w:leader="none" w:pos="9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Omid Farokhzad</w:t>
      </w:r>
    </w:p>
    <w:p>
      <w:pPr>
        <w:ind w:left="980" w:right="5600" w:hanging="324"/>
        <w:spacing w:after="0" w:line="566" w:lineRule="auto"/>
        <w:tabs>
          <w:tab w:leader="none" w:pos="9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or principal business office or, if none, residence: </w:t>
      </w:r>
      <w:r>
        <w:rPr>
          <w:rFonts w:ascii="Arial" w:cs="Arial" w:eastAsia="Arial" w:hAnsi="Arial"/>
          <w:sz w:val="16"/>
          <w:szCs w:val="16"/>
          <w:color w:val="auto"/>
        </w:rPr>
        <w:t>The address for the principal business office of Dr. Farokhzad is:</w:t>
      </w:r>
    </w:p>
    <w:p>
      <w:pPr>
        <w:ind w:left="980"/>
        <w:spacing w:after="0"/>
        <w:rPr>
          <w:rFonts w:ascii="Arial" w:cs="Arial" w:eastAsia="Arial" w:hAnsi="Arial"/>
          <w:sz w:val="16"/>
          <w:szCs w:val="16"/>
          <w:b w:val="1"/>
          <w:bCs w:val="1"/>
          <w:color w:val="auto"/>
        </w:rPr>
      </w:pPr>
      <w:r>
        <w:rPr>
          <w:rFonts w:ascii="Arial" w:cs="Arial" w:eastAsia="Arial" w:hAnsi="Arial"/>
          <w:sz w:val="18"/>
          <w:szCs w:val="18"/>
          <w:color w:val="auto"/>
        </w:rPr>
        <w:t>c/o Seer, Inc.</w:t>
      </w:r>
    </w:p>
    <w:p>
      <w:pPr>
        <w:spacing w:after="0" w:line="23" w:lineRule="exact"/>
        <w:rPr>
          <w:rFonts w:ascii="Arial" w:cs="Arial" w:eastAsia="Arial" w:hAnsi="Arial"/>
          <w:sz w:val="16"/>
          <w:szCs w:val="16"/>
          <w:b w:val="1"/>
          <w:bCs w:val="1"/>
          <w:color w:val="auto"/>
        </w:rPr>
      </w:pPr>
    </w:p>
    <w:p>
      <w:pPr>
        <w:jc w:val="both"/>
        <w:ind w:left="980" w:right="7920"/>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3800 Bridge Parkway, Suite 102 Redwood City, California 94065</w:t>
      </w:r>
    </w:p>
    <w:p>
      <w:pPr>
        <w:spacing w:after="0" w:line="134" w:lineRule="exact"/>
        <w:rPr>
          <w:rFonts w:ascii="Arial" w:cs="Arial" w:eastAsia="Arial" w:hAnsi="Arial"/>
          <w:sz w:val="16"/>
          <w:szCs w:val="16"/>
          <w:b w:val="1"/>
          <w:bCs w:val="1"/>
          <w:color w:val="auto"/>
        </w:rPr>
      </w:pPr>
    </w:p>
    <w:p>
      <w:pPr>
        <w:jc w:val="both"/>
        <w:ind w:left="980" w:right="9300" w:hanging="324"/>
        <w:spacing w:after="0" w:line="601" w:lineRule="auto"/>
        <w:tabs>
          <w:tab w:leader="none" w:pos="980"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Citizenship: </w:t>
      </w:r>
      <w:r>
        <w:rPr>
          <w:rFonts w:ascii="Arial" w:cs="Arial" w:eastAsia="Arial" w:hAnsi="Arial"/>
          <w:sz w:val="15"/>
          <w:szCs w:val="15"/>
          <w:color w:val="auto"/>
        </w:rPr>
        <w:t>United States</w:t>
      </w: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22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Class A common stock, par value, $0.00001 per share.</w:t>
      </w:r>
    </w:p>
    <w:p>
      <w:pPr>
        <w:spacing w:after="0" w:line="221" w:lineRule="exact"/>
        <w:rPr>
          <w:rFonts w:ascii="Arial" w:cs="Arial" w:eastAsia="Arial" w:hAnsi="Arial"/>
          <w:sz w:val="18"/>
          <w:szCs w:val="18"/>
          <w:b w:val="1"/>
          <w:bCs w:val="1"/>
          <w:color w:val="auto"/>
        </w:rPr>
      </w:pPr>
    </w:p>
    <w:p>
      <w:pPr>
        <w:jc w:val="both"/>
        <w:ind w:left="980" w:right="9360" w:hanging="324"/>
        <w:spacing w:after="0" w:line="563" w:lineRule="auto"/>
        <w:tabs>
          <w:tab w:leader="none" w:pos="9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CUSIP No.: </w:t>
      </w:r>
      <w:r>
        <w:rPr>
          <w:rFonts w:ascii="Arial" w:cs="Arial" w:eastAsia="Arial" w:hAnsi="Arial"/>
          <w:sz w:val="16"/>
          <w:szCs w:val="16"/>
          <w:color w:val="auto"/>
        </w:rPr>
        <w:t>81578P 106</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6,054,840</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9.4</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08" w:lineRule="exact"/>
        <w:rPr>
          <w:rFonts w:ascii="Arial" w:cs="Arial" w:eastAsia="Arial" w:hAnsi="Arial"/>
          <w:sz w:val="18"/>
          <w:szCs w:val="18"/>
          <w:b w:val="1"/>
          <w:bCs w:val="1"/>
          <w:color w:val="auto"/>
        </w:rPr>
      </w:pPr>
    </w:p>
    <w:p>
      <w:pPr>
        <w:ind w:left="1300" w:hanging="320"/>
        <w:spacing w:after="0"/>
        <w:tabs>
          <w:tab w:leader="none" w:pos="1300" w:val="left"/>
        </w:tabs>
        <w:numPr>
          <w:ilvl w:val="2"/>
          <w:numId w:val="11"/>
        </w:numPr>
        <w:rPr>
          <w:rFonts w:ascii="Arial" w:cs="Arial" w:eastAsia="Arial" w:hAnsi="Arial"/>
          <w:sz w:val="36"/>
          <w:szCs w:val="36"/>
          <w:color w:val="auto"/>
          <w:vertAlign w:val="superscript"/>
        </w:rPr>
      </w:pPr>
      <w:r>
        <w:rPr>
          <w:rFonts w:ascii="Arial" w:cs="Arial" w:eastAsia="Arial" w:hAnsi="Arial"/>
          <w:sz w:val="18"/>
          <w:szCs w:val="18"/>
          <w:color w:val="auto"/>
        </w:rPr>
        <w:t xml:space="preserve">Sole power to direct the vote: 2,634,224 </w:t>
      </w:r>
      <w:r>
        <w:rPr>
          <w:rFonts w:ascii="Arial" w:cs="Arial" w:eastAsia="Arial" w:hAnsi="Arial"/>
          <w:sz w:val="29"/>
          <w:szCs w:val="29"/>
          <w:color w:val="auto"/>
          <w:vertAlign w:val="superscript"/>
        </w:rPr>
        <w:t>(1)(2)</w:t>
      </w:r>
    </w:p>
    <w:p>
      <w:pPr>
        <w:spacing w:after="0" w:line="77" w:lineRule="exact"/>
        <w:rPr>
          <w:rFonts w:ascii="Arial" w:cs="Arial" w:eastAsia="Arial" w:hAnsi="Arial"/>
          <w:sz w:val="36"/>
          <w:szCs w:val="36"/>
          <w:color w:val="auto"/>
          <w:vertAlign w:val="superscript"/>
        </w:rPr>
      </w:pPr>
    </w:p>
    <w:p>
      <w:pPr>
        <w:ind w:left="1300" w:hanging="320"/>
        <w:spacing w:after="0" w:line="229" w:lineRule="auto"/>
        <w:tabs>
          <w:tab w:leader="none" w:pos="1300" w:val="left"/>
        </w:tabs>
        <w:numPr>
          <w:ilvl w:val="2"/>
          <w:numId w:val="11"/>
        </w:numPr>
        <w:rPr>
          <w:rFonts w:ascii="Arial" w:cs="Arial" w:eastAsia="Arial" w:hAnsi="Arial"/>
          <w:sz w:val="36"/>
          <w:szCs w:val="36"/>
          <w:color w:val="auto"/>
          <w:vertAlign w:val="superscript"/>
        </w:rPr>
      </w:pPr>
      <w:r>
        <w:rPr>
          <w:rFonts w:ascii="Arial" w:cs="Arial" w:eastAsia="Arial" w:hAnsi="Arial"/>
          <w:sz w:val="18"/>
          <w:szCs w:val="18"/>
          <w:color w:val="auto"/>
        </w:rPr>
        <w:t xml:space="preserve">Shared power to direct the vote: 3,420,616 </w:t>
      </w:r>
      <w:r>
        <w:rPr>
          <w:rFonts w:ascii="Arial" w:cs="Arial" w:eastAsia="Arial" w:hAnsi="Arial"/>
          <w:sz w:val="29"/>
          <w:szCs w:val="29"/>
          <w:color w:val="auto"/>
          <w:vertAlign w:val="superscript"/>
        </w:rPr>
        <w:t>(2)(3)</w:t>
      </w:r>
    </w:p>
    <w:p>
      <w:pPr>
        <w:spacing w:after="0" w:line="77" w:lineRule="exact"/>
        <w:rPr>
          <w:rFonts w:ascii="Arial" w:cs="Arial" w:eastAsia="Arial" w:hAnsi="Arial"/>
          <w:sz w:val="36"/>
          <w:szCs w:val="36"/>
          <w:color w:val="auto"/>
          <w:vertAlign w:val="superscript"/>
        </w:rPr>
      </w:pPr>
    </w:p>
    <w:p>
      <w:pPr>
        <w:ind w:left="1300" w:hanging="320"/>
        <w:spacing w:after="0" w:line="229" w:lineRule="auto"/>
        <w:tabs>
          <w:tab w:leader="none" w:pos="1300" w:val="left"/>
        </w:tabs>
        <w:numPr>
          <w:ilvl w:val="2"/>
          <w:numId w:val="11"/>
        </w:numPr>
        <w:rPr>
          <w:rFonts w:ascii="Arial" w:cs="Arial" w:eastAsia="Arial" w:hAnsi="Arial"/>
          <w:sz w:val="36"/>
          <w:szCs w:val="36"/>
          <w:color w:val="auto"/>
          <w:vertAlign w:val="superscript"/>
        </w:rPr>
      </w:pPr>
      <w:r>
        <w:rPr>
          <w:rFonts w:ascii="Arial" w:cs="Arial" w:eastAsia="Arial" w:hAnsi="Arial"/>
          <w:sz w:val="18"/>
          <w:szCs w:val="18"/>
          <w:color w:val="auto"/>
        </w:rPr>
        <w:t xml:space="preserve">Sole power to dispose or to direct the disposition of: 2,634,224 </w:t>
      </w:r>
      <w:r>
        <w:rPr>
          <w:rFonts w:ascii="Arial" w:cs="Arial" w:eastAsia="Arial" w:hAnsi="Arial"/>
          <w:sz w:val="29"/>
          <w:szCs w:val="29"/>
          <w:color w:val="auto"/>
          <w:vertAlign w:val="superscript"/>
        </w:rPr>
        <w:t>(1)(2)</w:t>
      </w:r>
    </w:p>
    <w:p>
      <w:pPr>
        <w:spacing w:after="0" w:line="82" w:lineRule="exact"/>
        <w:rPr>
          <w:rFonts w:ascii="Arial" w:cs="Arial" w:eastAsia="Arial" w:hAnsi="Arial"/>
          <w:sz w:val="36"/>
          <w:szCs w:val="36"/>
          <w:color w:val="auto"/>
          <w:vertAlign w:val="superscript"/>
        </w:rPr>
      </w:pPr>
    </w:p>
    <w:p>
      <w:pPr>
        <w:ind w:left="1300" w:hanging="320"/>
        <w:spacing w:after="0"/>
        <w:tabs>
          <w:tab w:leader="none" w:pos="1300" w:val="left"/>
        </w:tabs>
        <w:numPr>
          <w:ilvl w:val="2"/>
          <w:numId w:val="11"/>
        </w:numPr>
        <w:rPr>
          <w:rFonts w:ascii="Arial" w:cs="Arial" w:eastAsia="Arial" w:hAnsi="Arial"/>
          <w:sz w:val="34"/>
          <w:szCs w:val="34"/>
          <w:color w:val="auto"/>
          <w:vertAlign w:val="superscript"/>
        </w:rPr>
      </w:pPr>
      <w:r>
        <w:rPr>
          <w:rFonts w:ascii="Arial" w:cs="Arial" w:eastAsia="Arial" w:hAnsi="Arial"/>
          <w:sz w:val="17"/>
          <w:szCs w:val="17"/>
          <w:color w:val="auto"/>
        </w:rPr>
        <w:t xml:space="preserve">Shared power to dispose or to direct the disposition of: 3,420,616 </w:t>
      </w:r>
      <w:r>
        <w:rPr>
          <w:rFonts w:ascii="Arial" w:cs="Arial" w:eastAsia="Arial" w:hAnsi="Arial"/>
          <w:sz w:val="27"/>
          <w:szCs w:val="27"/>
          <w:color w:val="auto"/>
          <w:vertAlign w:val="superscript"/>
        </w:rPr>
        <w:t>(2)(3)</w:t>
      </w:r>
    </w:p>
    <w:p>
      <w:pPr>
        <w:spacing w:after="0" w:line="119" w:lineRule="exact"/>
        <w:rPr>
          <w:rFonts w:ascii="Arial" w:cs="Arial" w:eastAsia="Arial" w:hAnsi="Arial"/>
          <w:sz w:val="34"/>
          <w:szCs w:val="34"/>
          <w:color w:val="auto"/>
          <w:vertAlign w:val="superscript"/>
        </w:rPr>
      </w:pPr>
    </w:p>
    <w:p>
      <w:pPr>
        <w:jc w:val="both"/>
        <w:ind w:left="980" w:hanging="243"/>
        <w:spacing w:after="0" w:line="221" w:lineRule="auto"/>
        <w:tabs>
          <w:tab w:leader="none" w:pos="957" w:val="left"/>
        </w:tabs>
        <w:numPr>
          <w:ilvl w:val="1"/>
          <w:numId w:val="11"/>
        </w:numPr>
        <w:rPr>
          <w:rFonts w:ascii="Arial" w:cs="Arial" w:eastAsia="Arial" w:hAnsi="Arial"/>
          <w:sz w:val="26"/>
          <w:szCs w:val="26"/>
          <w:color w:val="auto"/>
          <w:vertAlign w:val="superscript"/>
        </w:rPr>
      </w:pPr>
      <w:r>
        <w:rPr>
          <w:rFonts w:ascii="Arial" w:cs="Arial" w:eastAsia="Arial" w:hAnsi="Arial"/>
          <w:sz w:val="16"/>
          <w:szCs w:val="16"/>
          <w:color w:val="auto"/>
        </w:rPr>
        <w:t>Consists of (i) 392,763 shares of Class A common stock and 134,579 shares of Class B common stock held of record by Omid Farokhzad (the “Reporting Person”); (ii) 2,035,222 shares of Class A common stock subject to options exercisable within 60 days of December 31, 2022 and</w:t>
      </w:r>
    </w:p>
    <w:p>
      <w:pPr>
        <w:spacing w:after="0" w:line="1" w:lineRule="exact"/>
        <w:rPr>
          <w:rFonts w:ascii="Arial" w:cs="Arial" w:eastAsia="Arial" w:hAnsi="Arial"/>
          <w:sz w:val="26"/>
          <w:szCs w:val="26"/>
          <w:color w:val="auto"/>
          <w:vertAlign w:val="superscript"/>
        </w:rPr>
      </w:pPr>
    </w:p>
    <w:p>
      <w:pPr>
        <w:ind w:left="1300" w:hanging="320"/>
        <w:spacing w:after="0"/>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71,660 shares of Class A common stock issuable upon vesting of RSUs within 60 days of December 31, 2022.</w:t>
      </w:r>
    </w:p>
    <w:p>
      <w:pPr>
        <w:spacing w:after="0" w:line="217" w:lineRule="exact"/>
        <w:rPr>
          <w:rFonts w:ascii="Arial" w:cs="Arial" w:eastAsia="Arial" w:hAnsi="Arial"/>
          <w:sz w:val="18"/>
          <w:szCs w:val="18"/>
          <w:color w:val="auto"/>
        </w:rPr>
      </w:pPr>
    </w:p>
    <w:p>
      <w:pPr>
        <w:ind w:left="940" w:hanging="203"/>
        <w:spacing w:after="0"/>
        <w:tabs>
          <w:tab w:leader="none" w:pos="940" w:val="left"/>
        </w:tabs>
        <w:numPr>
          <w:ilvl w:val="1"/>
          <w:numId w:val="13"/>
        </w:numPr>
        <w:rPr>
          <w:rFonts w:ascii="Arial" w:cs="Arial" w:eastAsia="Arial" w:hAnsi="Arial"/>
          <w:sz w:val="23"/>
          <w:szCs w:val="23"/>
          <w:color w:val="auto"/>
          <w:vertAlign w:val="superscript"/>
        </w:rPr>
      </w:pPr>
      <w:r>
        <w:rPr>
          <w:rFonts w:ascii="Arial" w:cs="Arial" w:eastAsia="Arial" w:hAnsi="Arial"/>
          <w:sz w:val="15"/>
          <w:szCs w:val="15"/>
          <w:color w:val="auto"/>
        </w:rPr>
        <w:t>Each share of Class B common stock is convertible at any time into one share of Class A common stock.</w:t>
      </w:r>
    </w:p>
    <w:p>
      <w:pPr>
        <w:spacing w:after="0" w:line="242" w:lineRule="exact"/>
        <w:rPr>
          <w:rFonts w:ascii="Arial" w:cs="Arial" w:eastAsia="Arial" w:hAnsi="Arial"/>
          <w:sz w:val="23"/>
          <w:szCs w:val="23"/>
          <w:color w:val="auto"/>
          <w:vertAlign w:val="superscript"/>
        </w:rPr>
      </w:pPr>
    </w:p>
    <w:p>
      <w:pPr>
        <w:jc w:val="both"/>
        <w:ind w:left="980" w:hanging="243"/>
        <w:spacing w:after="0" w:line="238" w:lineRule="auto"/>
        <w:tabs>
          <w:tab w:leader="none" w:pos="949" w:val="left"/>
        </w:tabs>
        <w:numPr>
          <w:ilvl w:val="1"/>
          <w:numId w:val="13"/>
        </w:numPr>
        <w:rPr>
          <w:rFonts w:ascii="Arial" w:cs="Arial" w:eastAsia="Arial" w:hAnsi="Arial"/>
          <w:sz w:val="26"/>
          <w:szCs w:val="26"/>
          <w:color w:val="auto"/>
          <w:vertAlign w:val="superscript"/>
        </w:rPr>
      </w:pPr>
      <w:r>
        <w:rPr>
          <w:rFonts w:ascii="Arial" w:cs="Arial" w:eastAsia="Arial" w:hAnsi="Arial"/>
          <w:sz w:val="16"/>
          <w:szCs w:val="16"/>
          <w:color w:val="auto"/>
        </w:rPr>
        <w:t>Consists of (i) 1,303,478 shares of Class B common stock held of record by Dynamics Group LLC for which the Reporting Person serves as the sole member and (ii) 2,117,138 shares of Class B common stock held of record by SAF-BND Trust for which the Reporting Person’s spouse serves as trustee. The Reporting Person disclaims beneficial ownership of the shares held by the SAF-BND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812"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14605</wp:posOffset>
            </wp:positionV>
            <wp:extent cx="3566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440"/>
      </w:cols>
      <w:pgMar w:left="660" w:top="90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lvl w:ilvl="1">
      <w:lvlJc w:val="left"/>
      <w:lvlText w:val="(%2)"/>
      <w:numFmt w:val="lowerLetter"/>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lvl w:ilvl="1">
      <w:lvlJc w:val="left"/>
      <w:lvlText w:val="(%2)"/>
      <w:numFmt w:val="decimal"/>
    </w:lvl>
    <w:lvl w:ilvl="2">
      <w:lvlJc w:val="left"/>
      <w:lvlText w:val="(%3)"/>
      <w:numFmt w:val="lowerRoman"/>
      <w:start w:val="1"/>
    </w:lvl>
  </w:abstractNum>
  <w:abstractNum w:abstractNumId="11">
    <w:nsid w:val="140E0F7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2">
    <w:nsid w:val="3352255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2023-02-14T19:04:58Z</dcterms:created>
  <dcterms:modified xsi:type="dcterms:W3CDTF">2023-02-14T19:04:58Z</dcterms:modified>
</cp:coreProperties>
</file>