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81578P106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20" w:firstLine="8"/>
        <w:spacing w:after="0" w:line="226" w:lineRule="exact"/>
        <w:tabs>
          <w:tab w:leader="none" w:pos="2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firstLine="8"/>
        <w:spacing w:after="0" w:line="282" w:lineRule="auto"/>
        <w:tabs>
          <w:tab w:leader="none" w:pos="1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jc w:val="center"/>
              <w:ind w:left="2630"/>
              <w:spacing w:after="0"/>
              <w:rPr>
                <w:sz w:val="20"/>
                <w:szCs w:val="20"/>
                <w:color w:val="auto"/>
              </w:rPr>
            </w:pPr>
            <w:r>
              <w:rPr>
                <w:rFonts w:ascii="Times New Roman" w:cs="Times New Roman" w:eastAsia="Times New Roman" w:hAnsi="Times New Roman"/>
                <w:sz w:val="18"/>
                <w:szCs w:val="18"/>
                <w:color w:val="auto"/>
              </w:rPr>
              <w:t>Page 1 of 12</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5200" w:type="dxa"/>
            <w:vAlign w:val="bottom"/>
            <w:tcBorders>
              <w:bottom w:val="single" w:sz="8" w:color="auto"/>
            </w:tcBorders>
            <w:gridSpan w:val="2"/>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SoftBank Group Corp.</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6840" w:type="dxa"/>
            <w:vAlign w:val="bottom"/>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right w:val="single" w:sz="8" w:color="auto"/>
            </w:tcBorders>
          </w:tcPr>
          <w:p>
            <w:pPr>
              <w:jc w:val="center"/>
              <w:ind w:left="2650"/>
              <w:spacing w:after="0" w:line="162"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80" w:type="dxa"/>
            <w:vAlign w:val="bottom"/>
            <w:tcBorders>
              <w:right w:val="single" w:sz="8" w:color="auto"/>
            </w:tcBorders>
          </w:tcPr>
          <w:p>
            <w:pPr>
              <w:jc w:val="center"/>
              <w:ind w:left="265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190"/>
        </w:trPr>
        <w:tc>
          <w:tcPr>
            <w:tcW w:w="7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20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Beneficially Owned</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8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by Each Reporting</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520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Aggregate</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Amount</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jc w:val="center"/>
              <w:ind w:left="2630"/>
              <w:spacing w:after="0"/>
              <w:rPr>
                <w:sz w:val="20"/>
                <w:szCs w:val="20"/>
                <w:color w:val="auto"/>
              </w:rPr>
            </w:pPr>
            <w:r>
              <w:rPr>
                <w:rFonts w:ascii="Times New Roman" w:cs="Times New Roman" w:eastAsia="Times New Roman" w:hAnsi="Times New Roman"/>
                <w:sz w:val="18"/>
                <w:szCs w:val="18"/>
                <w:color w:val="auto"/>
              </w:rPr>
              <w:t>Page 2 of 12</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5200" w:type="dxa"/>
            <w:vAlign w:val="bottom"/>
            <w:tcBorders>
              <w:bottom w:val="single" w:sz="8" w:color="auto"/>
            </w:tcBorders>
            <w:gridSpan w:val="2"/>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SB Global Advisers Limited</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6840" w:type="dxa"/>
            <w:vAlign w:val="bottom"/>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right w:val="single" w:sz="8" w:color="auto"/>
            </w:tcBorders>
          </w:tcPr>
          <w:p>
            <w:pPr>
              <w:jc w:val="center"/>
              <w:ind w:left="2650"/>
              <w:spacing w:after="0" w:line="162"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80" w:type="dxa"/>
            <w:vAlign w:val="bottom"/>
            <w:tcBorders>
              <w:right w:val="single" w:sz="8" w:color="auto"/>
            </w:tcBorders>
          </w:tcPr>
          <w:p>
            <w:pPr>
              <w:jc w:val="center"/>
              <w:ind w:left="265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190"/>
        </w:trPr>
        <w:tc>
          <w:tcPr>
            <w:tcW w:w="7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20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Beneficially Owned</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8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by Each Reporting</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520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Aggregate</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Amount</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jc w:val="center"/>
              <w:ind w:left="2630"/>
              <w:spacing w:after="0"/>
              <w:rPr>
                <w:sz w:val="20"/>
                <w:szCs w:val="20"/>
                <w:color w:val="auto"/>
              </w:rPr>
            </w:pPr>
            <w:r>
              <w:rPr>
                <w:rFonts w:ascii="Times New Roman" w:cs="Times New Roman" w:eastAsia="Times New Roman" w:hAnsi="Times New Roman"/>
                <w:sz w:val="18"/>
                <w:szCs w:val="18"/>
                <w:color w:val="auto"/>
              </w:rPr>
              <w:t>Page 3 of 12</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5200" w:type="dxa"/>
            <w:vAlign w:val="bottom"/>
            <w:tcBorders>
              <w:bottom w:val="single" w:sz="8" w:color="auto"/>
            </w:tcBorders>
            <w:gridSpan w:val="2"/>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SoftBank Vision Fund II-2 L.P.</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6840" w:type="dxa"/>
            <w:vAlign w:val="bottom"/>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right w:val="single" w:sz="8" w:color="auto"/>
            </w:tcBorders>
          </w:tcPr>
          <w:p>
            <w:pPr>
              <w:jc w:val="center"/>
              <w:ind w:left="2650"/>
              <w:spacing w:after="0" w:line="162"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80" w:type="dxa"/>
            <w:vAlign w:val="bottom"/>
            <w:tcBorders>
              <w:right w:val="single" w:sz="8" w:color="auto"/>
            </w:tcBorders>
          </w:tcPr>
          <w:p>
            <w:pPr>
              <w:jc w:val="center"/>
              <w:ind w:left="265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190"/>
        </w:trPr>
        <w:tc>
          <w:tcPr>
            <w:tcW w:w="7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20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Jersey</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Beneficially Owned</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8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by Each Reporting</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520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Aggregate</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Amount</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PN</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jc w:val="center"/>
              <w:ind w:left="2630"/>
              <w:spacing w:after="0"/>
              <w:rPr>
                <w:sz w:val="20"/>
                <w:szCs w:val="20"/>
                <w:color w:val="auto"/>
              </w:rPr>
            </w:pPr>
            <w:r>
              <w:rPr>
                <w:rFonts w:ascii="Times New Roman" w:cs="Times New Roman" w:eastAsia="Times New Roman" w:hAnsi="Times New Roman"/>
                <w:sz w:val="18"/>
                <w:szCs w:val="18"/>
                <w:color w:val="auto"/>
              </w:rPr>
              <w:t>Page 4 of 12</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5200" w:type="dxa"/>
            <w:vAlign w:val="bottom"/>
            <w:tcBorders>
              <w:bottom w:val="single" w:sz="8" w:color="auto"/>
            </w:tcBorders>
            <w:gridSpan w:val="2"/>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SVF II Aggregator (Jersey) L.P.</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6840" w:type="dxa"/>
            <w:vAlign w:val="bottom"/>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right w:val="single" w:sz="8" w:color="auto"/>
            </w:tcBorders>
          </w:tcPr>
          <w:p>
            <w:pPr>
              <w:jc w:val="center"/>
              <w:ind w:left="2650"/>
              <w:spacing w:after="0" w:line="162"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80" w:type="dxa"/>
            <w:vAlign w:val="bottom"/>
            <w:tcBorders>
              <w:right w:val="single" w:sz="8" w:color="auto"/>
            </w:tcBorders>
          </w:tcPr>
          <w:p>
            <w:pPr>
              <w:jc w:val="center"/>
              <w:ind w:left="265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190"/>
        </w:trPr>
        <w:tc>
          <w:tcPr>
            <w:tcW w:w="7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20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Jersey</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Beneficially Owned</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8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by Each Reporting</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520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Aggregate</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Amount</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PN</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jc w:val="center"/>
              <w:ind w:left="2630"/>
              <w:spacing w:after="0"/>
              <w:rPr>
                <w:sz w:val="20"/>
                <w:szCs w:val="20"/>
                <w:color w:val="auto"/>
              </w:rPr>
            </w:pPr>
            <w:r>
              <w:rPr>
                <w:rFonts w:ascii="Times New Roman" w:cs="Times New Roman" w:eastAsia="Times New Roman" w:hAnsi="Times New Roman"/>
                <w:sz w:val="18"/>
                <w:szCs w:val="18"/>
                <w:color w:val="auto"/>
              </w:rPr>
              <w:t>Page 5 of 12</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5200" w:type="dxa"/>
            <w:vAlign w:val="bottom"/>
            <w:tcBorders>
              <w:bottom w:val="single" w:sz="8" w:color="auto"/>
            </w:tcBorders>
            <w:gridSpan w:val="2"/>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SVF II Holdings (DE) LLC</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6840" w:type="dxa"/>
            <w:vAlign w:val="bottom"/>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right w:val="single" w:sz="8" w:color="auto"/>
            </w:tcBorders>
          </w:tcPr>
          <w:p>
            <w:pPr>
              <w:jc w:val="center"/>
              <w:ind w:left="2650"/>
              <w:spacing w:after="0" w:line="162"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80" w:type="dxa"/>
            <w:vAlign w:val="bottom"/>
            <w:tcBorders>
              <w:right w:val="single" w:sz="8" w:color="auto"/>
            </w:tcBorders>
          </w:tcPr>
          <w:p>
            <w:pPr>
              <w:jc w:val="center"/>
              <w:ind w:left="265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190"/>
        </w:trPr>
        <w:tc>
          <w:tcPr>
            <w:tcW w:w="7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20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Beneficially Owned</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8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by Each Reporting</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520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Aggregate</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Amount</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jc w:val="center"/>
              <w:ind w:left="2630"/>
              <w:spacing w:after="0"/>
              <w:rPr>
                <w:sz w:val="20"/>
                <w:szCs w:val="20"/>
                <w:color w:val="auto"/>
              </w:rPr>
            </w:pPr>
            <w:r>
              <w:rPr>
                <w:rFonts w:ascii="Times New Roman" w:cs="Times New Roman" w:eastAsia="Times New Roman" w:hAnsi="Times New Roman"/>
                <w:sz w:val="18"/>
                <w:szCs w:val="18"/>
                <w:color w:val="auto"/>
              </w:rPr>
              <w:t>Page 6 of 12</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5200" w:type="dxa"/>
            <w:vAlign w:val="bottom"/>
            <w:tcBorders>
              <w:bottom w:val="single" w:sz="8" w:color="auto"/>
            </w:tcBorders>
            <w:gridSpan w:val="2"/>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SVF II Armadillo (DE) LLC</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6840" w:type="dxa"/>
            <w:vAlign w:val="bottom"/>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right w:val="single" w:sz="8" w:color="auto"/>
            </w:tcBorders>
          </w:tcPr>
          <w:p>
            <w:pPr>
              <w:jc w:val="center"/>
              <w:ind w:left="2650"/>
              <w:spacing w:after="0" w:line="162"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80" w:type="dxa"/>
            <w:vAlign w:val="bottom"/>
            <w:tcBorders>
              <w:right w:val="single" w:sz="8" w:color="auto"/>
            </w:tcBorders>
          </w:tcPr>
          <w:p>
            <w:pPr>
              <w:jc w:val="center"/>
              <w:ind w:left="265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190"/>
        </w:trPr>
        <w:tc>
          <w:tcPr>
            <w:tcW w:w="7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20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Beneficially Owned</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8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by Each Reporting</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520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Aggregate</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Amount</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5,135,383</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jc w:val="center"/>
              <w:ind w:left="2630"/>
              <w:spacing w:after="0"/>
              <w:rPr>
                <w:sz w:val="20"/>
                <w:szCs w:val="20"/>
                <w:color w:val="auto"/>
              </w:rPr>
            </w:pPr>
            <w:r>
              <w:rPr>
                <w:rFonts w:ascii="Times New Roman" w:cs="Times New Roman" w:eastAsia="Times New Roman" w:hAnsi="Times New Roman"/>
                <w:sz w:val="18"/>
                <w:szCs w:val="18"/>
                <w:color w:val="auto"/>
              </w:rPr>
              <w:t>Page 7 of 12</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5200" w:type="dxa"/>
            <w:vAlign w:val="bottom"/>
            <w:tcBorders>
              <w:bottom w:val="single" w:sz="8" w:color="auto"/>
            </w:tcBorders>
            <w:gridSpan w:val="2"/>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SVF II Oyster (DE) LLC</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6840" w:type="dxa"/>
            <w:vAlign w:val="bottom"/>
            <w:gridSpan w:val="5"/>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80" w:type="dxa"/>
            <w:vAlign w:val="bottom"/>
            <w:tcBorders>
              <w:right w:val="single" w:sz="8" w:color="auto"/>
            </w:tcBorders>
          </w:tcPr>
          <w:p>
            <w:pPr>
              <w:jc w:val="center"/>
              <w:ind w:left="2650"/>
              <w:spacing w:after="0" w:line="162"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80" w:type="dxa"/>
            <w:vAlign w:val="bottom"/>
            <w:tcBorders>
              <w:right w:val="single" w:sz="8" w:color="auto"/>
            </w:tcBorders>
          </w:tcPr>
          <w:p>
            <w:pPr>
              <w:jc w:val="center"/>
              <w:ind w:left="265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190"/>
        </w:trPr>
        <w:tc>
          <w:tcPr>
            <w:tcW w:w="7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20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Beneficially Owned</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8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by Each Reporting</w:t>
            </w:r>
          </w:p>
        </w:tc>
        <w:tc>
          <w:tcPr>
            <w:tcW w:w="260" w:type="dxa"/>
            <w:vAlign w:val="bottom"/>
          </w:tcPr>
          <w:p>
            <w:pPr>
              <w:spacing w:after="0"/>
              <w:rPr>
                <w:sz w:val="16"/>
                <w:szCs w:val="16"/>
                <w:color w:val="auto"/>
              </w:rPr>
            </w:pPr>
          </w:p>
        </w:tc>
        <w:tc>
          <w:tcPr>
            <w:tcW w:w="420" w:type="dxa"/>
            <w:vAlign w:val="bottom"/>
            <w:tcBorders>
              <w:right w:val="single" w:sz="8" w:color="auto"/>
            </w:tcBorders>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520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Aggregate</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Amount</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0.0%</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2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w w:val="99"/>
              </w:rPr>
              <w:t>Page 8 of 12</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p>
        </w:tc>
        <w:tc>
          <w:tcPr>
            <w:tcW w:w="2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Seer, Inc. (the “Issuer”)</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194" w:lineRule="exact"/>
        <w:rPr>
          <w:sz w:val="20"/>
          <w:szCs w:val="20"/>
          <w:color w:val="auto"/>
        </w:rPr>
      </w:pPr>
    </w:p>
    <w:p>
      <w:pPr>
        <w:ind w:left="1620" w:hanging="640"/>
        <w:spacing w:after="0"/>
        <w:tabs>
          <w:tab w:leader="none" w:pos="1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203" w:lineRule="exact"/>
        <w:rPr>
          <w:sz w:val="20"/>
          <w:szCs w:val="20"/>
          <w:color w:val="auto"/>
        </w:rPr>
      </w:pPr>
    </w:p>
    <w:p>
      <w:pPr>
        <w:spacing w:after="0"/>
        <w:tabs>
          <w:tab w:leader="none" w:pos="960" w:val="left"/>
          <w:tab w:leader="none" w:pos="16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ind w:left="1620" w:firstLine="324"/>
        <w:spacing w:after="0" w:line="282" w:lineRule="auto"/>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 Persons.” This statement is filed on behalf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SoftBank Group Corp. (“SoftBank”)</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SB Global Advisers Limited (“SBGA”)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SoftBank Vision Fund II-2 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SVF II Aggregator (Jersey) 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SVF II Holdings (DE)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SVF II Armadillo (DE)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SVF II Oyster (DE) LLC</w:t>
      </w:r>
    </w:p>
    <w:p>
      <w:pPr>
        <w:spacing w:after="0" w:line="203" w:lineRule="exact"/>
        <w:rPr>
          <w:sz w:val="20"/>
          <w:szCs w:val="20"/>
          <w:color w:val="auto"/>
        </w:rPr>
      </w:pPr>
    </w:p>
    <w:p>
      <w:pPr>
        <w:ind w:left="1620" w:hanging="640"/>
        <w:spacing w:after="0"/>
        <w:tabs>
          <w:tab w:leader="none" w:pos="16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w:t>
      </w:r>
    </w:p>
    <w:p>
      <w:pPr>
        <w:spacing w:after="0" w:line="229" w:lineRule="exact"/>
        <w:rPr>
          <w:sz w:val="20"/>
          <w:szCs w:val="20"/>
          <w:color w:val="auto"/>
        </w:rPr>
      </w:pPr>
    </w:p>
    <w:p>
      <w:pPr>
        <w:jc w:val="both"/>
        <w:ind w:left="1620" w:firstLine="324"/>
        <w:spacing w:after="0" w:line="261" w:lineRule="auto"/>
        <w:rPr>
          <w:sz w:val="20"/>
          <w:szCs w:val="20"/>
          <w:color w:val="auto"/>
        </w:rPr>
      </w:pPr>
      <w:r>
        <w:rPr>
          <w:rFonts w:ascii="Times New Roman" w:cs="Times New Roman" w:eastAsia="Times New Roman" w:hAnsi="Times New Roman"/>
          <w:sz w:val="18"/>
          <w:szCs w:val="18"/>
          <w:color w:val="auto"/>
        </w:rPr>
        <w:t>The address for SoftBank is 1-7-1 Kaigan, Minato-ku, Tokyo, 105-7537, Japan. The address for SBGA is 69 Grosvenor Street, London W1K 3JP, United Kingdom. The address for each of SoftBank Vision Fund II-2 L.P. and SVF II Aggregator (Jersey) L.P. is Crestbridge Limited, 47 Esplanade, St. Helier, Jersey, JE1 0BD. The address for each of the other Reporting Persons is 251 Little Falls Drive, Wilmington, DE 19808.</w:t>
      </w:r>
    </w:p>
    <w:p>
      <w:pPr>
        <w:spacing w:after="0" w:line="176" w:lineRule="exact"/>
        <w:rPr>
          <w:sz w:val="20"/>
          <w:szCs w:val="20"/>
          <w:color w:val="auto"/>
        </w:rPr>
      </w:pPr>
    </w:p>
    <w:p>
      <w:pPr>
        <w:ind w:left="1620" w:hanging="640"/>
        <w:spacing w:after="0"/>
        <w:tabs>
          <w:tab w:leader="none" w:pos="1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of each Reporting Person is:</w:t>
      </w:r>
    </w:p>
    <w:p>
      <w:pPr>
        <w:spacing w:after="0" w:line="229" w:lineRule="exact"/>
        <w:rPr>
          <w:sz w:val="20"/>
          <w:szCs w:val="20"/>
          <w:color w:val="auto"/>
        </w:rPr>
      </w:pPr>
    </w:p>
    <w:p>
      <w:pPr>
        <w:jc w:val="both"/>
        <w:ind w:left="1620" w:firstLine="324"/>
        <w:spacing w:after="0" w:line="266" w:lineRule="auto"/>
        <w:rPr>
          <w:sz w:val="20"/>
          <w:szCs w:val="20"/>
          <w:color w:val="auto"/>
        </w:rPr>
      </w:pPr>
      <w:r>
        <w:rPr>
          <w:rFonts w:ascii="Times New Roman" w:cs="Times New Roman" w:eastAsia="Times New Roman" w:hAnsi="Times New Roman"/>
          <w:sz w:val="18"/>
          <w:szCs w:val="18"/>
          <w:color w:val="auto"/>
        </w:rPr>
        <w:t>SoftBank is organized under the laws of Japan. SBGA is organized under the laws of England and Wales. SoftBank Vision Fund II-2 L.P. and SVF II Aggregator (Jersey) L.P. are organized under the laws of Jersey. Each of the other Reporting Persons is organized under the laws of the State of Delaware.</w:t>
      </w:r>
    </w:p>
    <w:p>
      <w:pPr>
        <w:spacing w:after="0" w:line="172" w:lineRule="exact"/>
        <w:rPr>
          <w:sz w:val="20"/>
          <w:szCs w:val="20"/>
          <w:color w:val="auto"/>
        </w:rPr>
      </w:pPr>
    </w:p>
    <w:p>
      <w:pPr>
        <w:ind w:left="1620" w:hanging="640"/>
        <w:spacing w:after="0"/>
        <w:tabs>
          <w:tab w:leader="none" w:pos="1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Class A Common stock, par value $0.00001 per share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w w:val="99"/>
              </w:rPr>
              <w:t>Page 9 of 12</w:t>
            </w:r>
          </w:p>
        </w:tc>
      </w:tr>
    </w:tbl>
    <w:p>
      <w:pPr>
        <w:spacing w:after="0" w:line="194" w:lineRule="exact"/>
        <w:rPr>
          <w:sz w:val="20"/>
          <w:szCs w:val="20"/>
          <w:color w:val="auto"/>
        </w:rPr>
      </w:pPr>
    </w:p>
    <w:p>
      <w:pPr>
        <w:ind w:left="1960" w:right="8320" w:hanging="980"/>
        <w:spacing w:after="0" w:line="530" w:lineRule="auto"/>
        <w:tabs>
          <w:tab w:leader="none" w:pos="1636"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81578P106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(a-c)</w:t>
      </w:r>
    </w:p>
    <w:p>
      <w:pPr>
        <w:spacing w:after="0" w:line="229" w:lineRule="exact"/>
        <w:rPr>
          <w:sz w:val="20"/>
          <w:szCs w:val="20"/>
          <w:color w:val="auto"/>
        </w:rPr>
      </w:pPr>
    </w:p>
    <w:p>
      <w:pPr>
        <w:jc w:val="both"/>
        <w:ind w:left="980" w:firstLine="324"/>
        <w:spacing w:after="0" w:line="266" w:lineRule="auto"/>
        <w:rPr>
          <w:sz w:val="20"/>
          <w:szCs w:val="20"/>
          <w:color w:val="auto"/>
        </w:rPr>
      </w:pPr>
      <w:r>
        <w:rPr>
          <w:rFonts w:ascii="Times New Roman" w:cs="Times New Roman" w:eastAsia="Times New Roman" w:hAnsi="Times New Roman"/>
          <w:sz w:val="18"/>
          <w:szCs w:val="18"/>
          <w:color w:val="auto"/>
        </w:rPr>
        <w:t>The ownership information presented below represents beneficial ownership of Class A Common Stock of the Issuer as of December 31, 2023, based upon 59,780,244 shares of Class A Common Stock outstanding as of November 3, 2023, as disclosed in the Issuer’s Quarterly Report on Form 10-Q with the Securities and Exchange Commission on November 7,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Shared</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power to</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dispose or</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dispose or</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direct</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vote or</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vote or to</w:t>
            </w: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disposition</w:t>
            </w:r>
          </w:p>
        </w:tc>
      </w:tr>
      <w:tr>
        <w:trPr>
          <w:trHeight w:val="24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3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vote:</w:t>
            </w:r>
          </w:p>
        </w:tc>
        <w:tc>
          <w:tcPr>
            <w:tcW w:w="3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w:t>
            </w:r>
          </w:p>
        </w:tc>
        <w:tc>
          <w:tcPr>
            <w:tcW w:w="3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Borders>
              <w:bottom w:val="single" w:sz="8" w:color="CCEEFF"/>
            </w:tcBorders>
          </w:tcPr>
          <w:p>
            <w:pPr>
              <w:spacing w:after="0"/>
              <w:rPr>
                <w:sz w:val="21"/>
                <w:szCs w:val="2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SoftBank Group Corp.</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5,135,383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5,135,383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5,135,383</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SB Global Advisers Limited</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5,135,383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5,135,383</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5,135,383</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SoftBank Vision Fund II-2, L.P.</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5,135,383</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5,135,383</w:t>
            </w: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5,135,383</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SVF II Aggregator (Jersey) L.P.</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5,135,383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5,135,383</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5,135,383</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SVF II Holdings (DE) LLC</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5,135,383</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5,135,383</w:t>
            </w: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5,135,383</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SVF II Armadillo (DE) LLC</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5,135,383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5,135,383</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5,135,383</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SVF II Oyster (DE) LLC</w:t>
            </w:r>
          </w:p>
        </w:tc>
        <w:tc>
          <w:tcPr>
            <w:tcW w:w="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7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980" w:firstLine="324"/>
        <w:spacing w:after="0" w:line="266" w:lineRule="auto"/>
        <w:rPr>
          <w:sz w:val="20"/>
          <w:szCs w:val="20"/>
          <w:color w:val="auto"/>
        </w:rPr>
      </w:pPr>
      <w:r>
        <w:rPr>
          <w:rFonts w:ascii="Times New Roman" w:cs="Times New Roman" w:eastAsia="Times New Roman" w:hAnsi="Times New Roman"/>
          <w:sz w:val="18"/>
          <w:szCs w:val="18"/>
          <w:color w:val="auto"/>
        </w:rPr>
        <w:t>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w:t>
      </w:r>
    </w:p>
    <w:p>
      <w:pPr>
        <w:spacing w:after="0" w:line="176" w:lineRule="exact"/>
        <w:rPr>
          <w:sz w:val="20"/>
          <w:szCs w:val="20"/>
          <w:color w:val="auto"/>
        </w:rPr>
      </w:pPr>
    </w:p>
    <w:p>
      <w:pPr>
        <w:jc w:val="both"/>
        <w:ind w:left="980" w:firstLine="324"/>
        <w:spacing w:after="0" w:line="261" w:lineRule="auto"/>
        <w:rPr>
          <w:sz w:val="20"/>
          <w:szCs w:val="20"/>
          <w:color w:val="auto"/>
        </w:rPr>
      </w:pPr>
      <w:r>
        <w:rPr>
          <w:rFonts w:ascii="Times New Roman" w:cs="Times New Roman" w:eastAsia="Times New Roman" w:hAnsi="Times New Roman"/>
          <w:sz w:val="18"/>
          <w:szCs w:val="18"/>
          <w:color w:val="auto"/>
        </w:rPr>
        <w:t>SoftBank, which is a publicly traded company listed on the Tokyo Stock Exchange, is the sole shareholder of SBGA, which has been appointed as manager and is responsible for making final decisions related to the acquisition, structuring, financing and disposal of SoftBank Vision Fund II-2 L.P.’s investments. As a result of these relationships, each of the Reporting Persons may be deemed to share beneficial ownership of the securities reported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w w:val="98"/>
              </w:rPr>
              <w:t>Page 10 of 12</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980" w:firstLine="379"/>
        <w:spacing w:after="0" w:line="282" w:lineRule="auto"/>
        <w:rPr>
          <w:sz w:val="20"/>
          <w:szCs w:val="20"/>
          <w:color w:val="auto"/>
        </w:rPr>
      </w:pPr>
      <w:r>
        <w:rPr>
          <w:rFonts w:ascii="Times New Roman" w:cs="Times New Roman" w:eastAsia="Times New Roman" w:hAnsi="Times New Roman"/>
          <w:sz w:val="18"/>
          <w:szCs w:val="18"/>
          <w:color w:val="auto"/>
        </w:rPr>
        <w:t>On December 8, 2023, SVF II Oyster (DE) LLC transferred its securities to SVF II Armadillo (DE) LLC, and as a result, ceased to be the beneficial owner of any shares of Class A Common Stock.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w w:val="98"/>
              </w:rPr>
              <w:t>Page 11 of 12</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February 13,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SoftBank Group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Yuko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Yuko Yamamoto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Corporate Legal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SB Global Advisers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Alex Clavel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Clavel</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SoftBank Vision Fund II-2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SB Global Advisers Limited, its Manager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Alex Clavel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Clavel</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SVF II Aggregator (Jersey)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SVF II GP (Jersey) Limited, its General Partner</w:t>
      </w:r>
    </w:p>
    <w:p>
      <w:pPr>
        <w:spacing w:after="0" w:line="27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Johnson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SVF II Holdings (DE)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Duckles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Duckles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SVF II Armadillo (DE)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Duckles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Duckles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SVF II Oyster (DE)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Duckles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Duckles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81578P106</w:t>
            </w:r>
          </w:p>
        </w:tc>
        <w:tc>
          <w:tcPr>
            <w:tcW w:w="370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Schedule 13G</w:t>
            </w:r>
          </w:p>
        </w:tc>
        <w:tc>
          <w:tcPr>
            <w:tcW w:w="3680" w:type="dxa"/>
            <w:vAlign w:val="bottom"/>
            <w:tcBorders>
              <w:top w:val="single" w:sz="8" w:color="auto"/>
              <w:bottom w:val="single" w:sz="8" w:color="auto"/>
              <w:right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w w:val="98"/>
              </w:rPr>
              <w:t>Page 12 of 12</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1100" w:hanging="696"/>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February 13,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SoftBank Group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Yuko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Yuko Yamamoto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Corporate Legal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SB Global Advisers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Alex Clavel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Clavel</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SoftBank Vision Fund II-2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SB Global Advisers Limited, its Manager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Alex Clavel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Clavel</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SVF II Aggregator (Jersey)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SVF II GP (Jersey) Limited,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Johnson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SVF II Holdings (DE)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Duckles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Duckles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SVF II Armadillo (DE)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Duckles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Duckles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SVF II Oyster (DE)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Duckles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Duckles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2024-02-13T17:06:38Z</dcterms:created>
  <dcterms:modified xsi:type="dcterms:W3CDTF">2024-02-13T17:06:38Z</dcterms:modified>
</cp:coreProperties>
</file>