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40229.htm"/>
      <w:bookmarkStart w:id="1" w:name="ksck000172644520240229"/>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February 29, 2024</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vAlign w:val="center"/>
          </w:tcPr>
          <w:p>
            <w:pPr>
              <w:pStyle w:val="TableContents"/>
              <w:bidi w:val="0"/>
              <w:spacing w:before="40" w:after="283"/>
              <w:jc w:val="left"/>
              <w:rPr>
                <w:color w:val="000000"/>
              </w:rPr>
            </w:pPr>
            <w:r>
              <w:rPr>
                <w:color w:val="000000"/>
              </w:rPr>
              <w:t>☐</w:t>
            </w:r>
          </w:p>
        </w:tc>
        <w:tc>
          <w:tcPr>
            <w:tcW w:w="8101" w:type="dxa"/>
            <w:tcBorders/>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vAlign w:val="center"/>
          </w:tcPr>
          <w:p>
            <w:pPr>
              <w:pStyle w:val="TableContents"/>
              <w:bidi w:val="0"/>
              <w:spacing w:before="0" w:after="283"/>
              <w:jc w:val="left"/>
              <w:rPr/>
            </w:pPr>
            <w:r>
              <w:rPr/>
              <w:t> </w:t>
            </w:r>
          </w:p>
        </w:tc>
      </w:tr>
      <w:tr>
        <w:trPr/>
        <w:tc>
          <w:tcPr>
            <w:tcW w:w="8432" w:type="dxa"/>
            <w:gridSpan w:val="2"/>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29, 2024, Seer, Inc. (the “Company”) issued a press release (the “Press Release”) announcing results for the quarter and year ended December 31, 2023. A copy of the Press Release is attached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1081"/>
        <w:gridCol w:w="146"/>
        <w:gridCol w:w="6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February 29, 2024.</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2086"/>
        <w:gridCol w:w="146"/>
        <w:gridCol w:w="406"/>
        <w:gridCol w:w="146"/>
        <w:gridCol w:w="315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0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February 29,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15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Horn</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2160" w:right="0" w:firstLine="720"/>
        <w:jc w:val="left"/>
        <w:rPr/>
      </w:pPr>
      <w:bookmarkStart w:id="3" w:name="ck0001726445-ex99_1.htm"/>
      <w:bookmarkStart w:id="4" w:name="ksck0001726445ex99_1"/>
      <w:bookmarkEnd w:id="3"/>
      <w:bookmarkEnd w:id="4"/>
      <w:r>
        <w:rPr/>
        <w:t> </w:t>
      </w:r>
      <w:r>
        <w:br w:type="page"/>
      </w:r>
    </w:p>
    <w:p>
      <w:pPr>
        <w:pStyle w:val="TextBody"/>
        <w:bidi w:val="0"/>
        <w:ind w:left="2160" w:right="0" w:firstLine="720"/>
        <w:jc w:val="left"/>
        <w:rPr/>
      </w:pPr>
      <w:r>
        <w:rPr/>
        <w:t> </w:t>
      </w:r>
    </w:p>
    <w:p>
      <w:pPr>
        <w:pStyle w:val="TextBody"/>
        <w:bidi w:val="0"/>
        <w:ind w:left="8640" w:right="0" w:firstLine="720"/>
        <w:jc w:val="right"/>
        <w:rPr/>
      </w:pPr>
      <w:r>
        <w:rPr/>
        <w:t> </w:t>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spacing w:before="0" w:after="120"/>
        <w:jc w:val="center"/>
        <w:rPr>
          <w:rFonts w:ascii="Arial" w:hAnsi="Arial"/>
          <w:b/>
          <w:color w:val="000000"/>
          <w:sz w:val="24"/>
        </w:rPr>
      </w:pPr>
      <w:r>
        <w:rPr>
          <w:rFonts w:ascii="Arial" w:hAnsi="Arial"/>
          <w:b/>
          <w:color w:val="000000"/>
          <w:sz w:val="24"/>
        </w:rPr>
        <w:t xml:space="preserve">Seer Reports Fourth Quarter and Full Year 2023 Financial Results </w:t>
        <w:br/>
        <w:t>and Provides Full Year 2024 Outlook</w:t>
      </w:r>
    </w:p>
    <w:p>
      <w:pPr>
        <w:pStyle w:val="TextBody"/>
        <w:bidi w:val="0"/>
        <w:spacing w:before="0" w:after="120"/>
        <w:jc w:val="center"/>
        <w:rPr>
          <w:rFonts w:ascii="Times New Roman" w:hAnsi="Times New Roman"/>
          <w:sz w:val="20"/>
        </w:rPr>
      </w:pPr>
      <w:r>
        <w:rPr>
          <w:rFonts w:ascii="Arial" w:hAnsi="Arial"/>
          <w:i/>
          <w:color w:val="000000"/>
          <w:sz w:val="20"/>
        </w:rPr>
        <w:t>Enhanced access to the Proteograph Product Suite and demonstrated its power with new customer data</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color w:val="000000"/>
          <w:sz w:val="20"/>
        </w:rPr>
        <w:t xml:space="preserve">REDWOOD CITY, Calif. </w:t>
      </w:r>
      <w:r>
        <w:rPr>
          <w:rFonts w:ascii="Arial" w:hAnsi="Arial"/>
          <w:color w:val="000000"/>
          <w:sz w:val="20"/>
        </w:rPr>
        <w:t>February 29, 2024 – Seer, Inc. (Nasdaq: SEER), a leading life sciences company commercializing a disruptive new platform for proteomics, today reported financial results for the fourth quarter and full year ended December 31, 2023.</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Achieved revenue of $4.4 million for the fourth quarter of 2023, a decrease of 4% over the fourth quarter of 2022, and $16.7 million for the full year 2023, an increase of 8% over the full year 2022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Shipped 23 instruments during 2023, bringing</w:t>
      </w:r>
      <w:r>
        <w:rPr>
          <w:color w:val="808080"/>
        </w:rPr>
        <w:t xml:space="preserve"> </w:t>
      </w:r>
      <w:r>
        <w:rPr>
          <w:rFonts w:ascii="Arial" w:hAnsi="Arial"/>
          <w:color w:val="000000"/>
          <w:sz w:val="20"/>
        </w:rPr>
        <w:t>cumulative instruments shipped to 62 as of December 31, 2023</w:t>
      </w:r>
      <w:r>
        <w:rPr>
          <w:color w:val="80808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Expanded internationally with the addition of four new distributors and partners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First peer-reviewed customer publication in </w:t>
      </w:r>
      <w:r>
        <w:rPr>
          <w:rFonts w:ascii="Arial" w:hAnsi="Arial"/>
          <w:i/>
          <w:color w:val="000000"/>
          <w:sz w:val="20"/>
        </w:rPr>
        <w:t xml:space="preserve">Nature Communications, </w:t>
      </w:r>
      <w:r>
        <w:rPr>
          <w:rFonts w:ascii="Arial" w:hAnsi="Arial"/>
          <w:color w:val="000000"/>
          <w:sz w:val="20"/>
        </w:rPr>
        <w:t xml:space="preserve">demonstrating the power of the Proteograph in pQTL analysis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Launched the Protein Discovery Catalog with over 10,000 proteins across 1,900 pathways to empower researchers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Ended the year with approximately $373 million of cash, cash equivalents and investments </w:t>
      </w:r>
    </w:p>
    <w:p>
      <w:pPr>
        <w:pStyle w:val="TextBody"/>
        <w:bidi w:val="0"/>
        <w:jc w:val="left"/>
        <w:rPr/>
      </w:pPr>
      <w:r>
        <w:rPr/>
        <w:t> </w:t>
      </w:r>
    </w:p>
    <w:p>
      <w:pPr>
        <w:pStyle w:val="TextBody"/>
        <w:bidi w:val="0"/>
        <w:jc w:val="left"/>
        <w:rPr/>
      </w:pPr>
      <w:r>
        <w:rPr>
          <w:color w:val="000000"/>
        </w:rPr>
        <w:t>“</w:t>
      </w:r>
      <w:r>
        <w:rPr>
          <w:rFonts w:ascii="Arial" w:hAnsi="Arial"/>
          <w:color w:val="000000"/>
          <w:sz w:val="20"/>
        </w:rPr>
        <w:t xml:space="preserve">In 2023, our customers continued to demonstrate the powerful biological insight that is uniquely possible by leveraging the Proteograph Product Suite. Recently, we saw our first customer study published in </w:t>
      </w:r>
      <w:r>
        <w:rPr>
          <w:rFonts w:ascii="Arial" w:hAnsi="Arial"/>
          <w:i/>
          <w:color w:val="000000"/>
          <w:sz w:val="20"/>
        </w:rPr>
        <w:t>Nature Communications</w:t>
      </w:r>
      <w:r>
        <w:rPr>
          <w:rFonts w:ascii="Times New Roman" w:hAnsi="Times New Roman"/>
          <w:color w:val="000000"/>
          <w:sz w:val="20"/>
        </w:rPr>
        <w:t xml:space="preserve"> </w:t>
      </w:r>
      <w:r>
        <w:rPr>
          <w:rFonts w:ascii="Arial" w:hAnsi="Arial"/>
          <w:color w:val="000000"/>
          <w:sz w:val="20"/>
        </w:rPr>
        <w:t>and we expect several more this year,” said Omid Farokhzad, Chair and CEO. “Looking ahead, we are laser focused on translating the incredible performance of our platform and the uniqueness of the data it generates into widespread commercial adoption. I continue to be confident in the substantial long-term opportunity ahead and look forward to updating on our progress throughout 2024.”</w:t>
      </w:r>
    </w:p>
    <w:p>
      <w:pPr>
        <w:pStyle w:val="TextBody"/>
        <w:bidi w:val="0"/>
        <w:spacing w:before="120" w:after="120"/>
        <w:jc w:val="both"/>
        <w:rPr>
          <w:rFonts w:ascii="Arial" w:hAnsi="Arial"/>
          <w:b/>
          <w:color w:val="000000"/>
          <w:sz w:val="20"/>
        </w:rPr>
      </w:pPr>
      <w:r>
        <w:rPr>
          <w:rFonts w:ascii="Arial" w:hAnsi="Arial"/>
          <w:b/>
          <w:color w:val="000000"/>
          <w:sz w:val="20"/>
        </w:rPr>
        <w:t>Fourth Quarter 2023 Financial Results</w:t>
      </w:r>
    </w:p>
    <w:p>
      <w:pPr>
        <w:pStyle w:val="TextBody"/>
        <w:bidi w:val="0"/>
        <w:jc w:val="both"/>
        <w:rPr>
          <w:rFonts w:ascii="Times New Roman" w:hAnsi="Times New Roman"/>
          <w:sz w:val="20"/>
        </w:rPr>
      </w:pPr>
      <w:r>
        <w:rPr>
          <w:rFonts w:ascii="Arial" w:hAnsi="Arial"/>
          <w:color w:val="000000"/>
          <w:sz w:val="20"/>
        </w:rPr>
        <w:t>Revenue was $4.4 million for the three months ended December 31, 2023, a 3.6% decrease from $4.6 million for the three months ended December 31, 2022. This decrease was primarily due to a decrease in lease revenue related to SP100 instruments, partially offset by an increase in service revenue. Product revenue for the fourth quarter of 2023 was $3.0 million, including $366 thousand of related party revenue, and consisted of sales of SP100 instruments and consumable kits. Service revenue was $1.1 million, including $201 thousand of related party revenue, and primarily consisted of revenue related to the Seer Technology Access Center, and grant and other revenue was $258 thousand.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profit, inclusive of grant and other revenue, was $2.0</w:t>
      </w:r>
      <w:r>
        <w:rPr>
          <w:rFonts w:ascii="Times New Roman" w:hAnsi="Times New Roman"/>
          <w:color w:val="FF0000"/>
          <w:sz w:val="20"/>
        </w:rPr>
        <w:t xml:space="preserve"> </w:t>
      </w:r>
      <w:r>
        <w:rPr>
          <w:rFonts w:ascii="Arial" w:hAnsi="Arial"/>
          <w:color w:val="000000"/>
          <w:sz w:val="20"/>
        </w:rPr>
        <w:t>million and gross margin was 45.1% for the fourth quarter of 2023.</w:t>
      </w:r>
      <w:r>
        <w:rPr>
          <w:rFonts w:ascii="Times New Roman" w:hAnsi="Times New Roman"/>
          <w:color w:val="000000"/>
          <w:sz w:val="20"/>
        </w:rPr>
        <w:t xml:space="preserve"> </w:t>
      </w:r>
    </w:p>
    <w:p>
      <w:pPr>
        <w:pStyle w:val="TextBody"/>
        <w:bidi w:val="0"/>
        <w:jc w:val="right"/>
        <w:rPr/>
      </w:pPr>
      <w:r>
        <w:rPr/>
        <w:t> </w:t>
      </w:r>
    </w:p>
    <w:p>
      <w:pPr>
        <w:pStyle w:val="TextBody"/>
        <w:bidi w:val="0"/>
        <w:jc w:val="both"/>
        <w:rPr>
          <w:rFonts w:ascii="Arial" w:hAnsi="Arial"/>
          <w:color w:val="000000"/>
          <w:sz w:val="20"/>
        </w:rPr>
      </w:pPr>
      <w:r>
        <w:rPr>
          <w:rFonts w:ascii="Arial" w:hAnsi="Arial"/>
          <w:color w:val="000000"/>
          <w:sz w:val="20"/>
        </w:rPr>
        <w:t>Operating expenses were $24.2 million for the fourth quarter of 2023, including $7.6 million of stock-based compensation, a decrease of 11% as compared to $27.2 million, including $8.2 million of stock-based compensation, for the corresponding prior year period. The decrease in expenses was primarily driven by a decrease in product development costs related to the Proteograph Product Suite, including employee compensation and other related expenses.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2160" w:right="0" w:firstLine="720"/>
        <w:jc w:val="left"/>
        <w:rPr/>
      </w:pPr>
      <w:r>
        <w:rPr/>
        <w:t> </w:t>
      </w:r>
    </w:p>
    <w:p>
      <w:pPr>
        <w:pStyle w:val="TextBody"/>
        <w:bidi w:val="0"/>
        <w:ind w:left="2160" w:right="0" w:firstLine="720"/>
        <w:jc w:val="left"/>
        <w:rPr/>
      </w:pPr>
      <w:r>
        <w:rPr/>
        <w:t> </w:t>
      </w:r>
    </w:p>
    <w:p>
      <w:pPr>
        <w:pStyle w:val="TextBody"/>
        <w:bidi w:val="0"/>
        <w:ind w:left="8640" w:right="0" w:firstLine="720"/>
        <w:jc w:val="righ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Net loss was $17.8</w:t>
      </w:r>
      <w:r>
        <w:rPr>
          <w:rFonts w:ascii="Times New Roman" w:hAnsi="Times New Roman"/>
          <w:color w:val="FF0000"/>
          <w:sz w:val="20"/>
        </w:rPr>
        <w:t xml:space="preserve"> </w:t>
      </w:r>
      <w:r>
        <w:rPr>
          <w:rFonts w:ascii="Arial" w:hAnsi="Arial"/>
          <w:color w:val="000000"/>
          <w:sz w:val="20"/>
        </w:rPr>
        <w:t>million for the fourth quarter of 2023, as compared to $22.5 million for the corresponding prior year period.</w:t>
      </w:r>
    </w:p>
    <w:p>
      <w:pPr>
        <w:pStyle w:val="TextBody"/>
        <w:bidi w:val="0"/>
        <w:jc w:val="both"/>
        <w:rPr/>
      </w:pPr>
      <w:r>
        <w:rPr/>
        <w:t> </w:t>
      </w:r>
    </w:p>
    <w:p>
      <w:pPr>
        <w:pStyle w:val="TextBody"/>
        <w:bidi w:val="0"/>
        <w:spacing w:before="120" w:after="120"/>
        <w:jc w:val="both"/>
        <w:rPr>
          <w:rFonts w:ascii="Arial" w:hAnsi="Arial"/>
          <w:b/>
          <w:color w:val="000000"/>
          <w:sz w:val="20"/>
        </w:rPr>
      </w:pPr>
      <w:r>
        <w:rPr>
          <w:rFonts w:ascii="Arial" w:hAnsi="Arial"/>
          <w:b/>
          <w:color w:val="000000"/>
          <w:sz w:val="20"/>
        </w:rPr>
        <w:t>Full Year 2023 Financial Results</w:t>
      </w:r>
    </w:p>
    <w:p>
      <w:pPr>
        <w:pStyle w:val="TextBody"/>
        <w:bidi w:val="0"/>
        <w:jc w:val="both"/>
        <w:rPr>
          <w:rFonts w:ascii="Times New Roman" w:hAnsi="Times New Roman"/>
          <w:sz w:val="20"/>
        </w:rPr>
      </w:pPr>
      <w:r>
        <w:rPr>
          <w:rFonts w:ascii="Arial" w:hAnsi="Arial"/>
          <w:color w:val="000000"/>
          <w:sz w:val="20"/>
        </w:rPr>
        <w:t>Revenue was $16.7 million for the year ended December 31, 2023, an 8% increase from $15.5 million for the year ended December 31, 2022. Product revenue for the full year 2023 was $12.9 million, including $4.4 million of related party revenue. Service revenue was $2.3 million, including $241 thousand of related party revenue, and grant and other revenue was $1.5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profit, inclusive of grant and other revenue, was $8.5 million and gross margin was 51.1% for the full year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Operating expenses were $112.0 million for the full year 2023, including $34.4 million of stock-based compensation, as compared to $104.3 million, including $33.7 million of stock-based compensation, for the corresponding prior year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loss was $86.3 million for the full year 2023, as compared to $93.0 million for the corresponding prior year period.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Cash, cash equivalents and investments were $373.1 million as of December 31, 2023.</w:t>
      </w:r>
    </w:p>
    <w:p>
      <w:pPr>
        <w:pStyle w:val="TextBody"/>
        <w:bidi w:val="0"/>
        <w:jc w:val="both"/>
        <w:rPr/>
      </w:pPr>
      <w:r>
        <w:rPr/>
        <w:t> </w:t>
      </w:r>
    </w:p>
    <w:p>
      <w:pPr>
        <w:pStyle w:val="TextBody"/>
        <w:bidi w:val="0"/>
        <w:spacing w:before="120" w:after="120"/>
        <w:jc w:val="both"/>
        <w:rPr>
          <w:rFonts w:ascii="Times New Roman" w:hAnsi="Times New Roman"/>
          <w:sz w:val="20"/>
        </w:rPr>
      </w:pPr>
      <w:r>
        <w:rPr>
          <w:rFonts w:ascii="Arial" w:hAnsi="Arial"/>
          <w:b/>
          <w:color w:val="000000"/>
          <w:sz w:val="20"/>
        </w:rPr>
        <w:t>2024 Guidance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Seer expects full year 2024 revenue to be in the range of $18 million to $20 million, representing growth of 14% at the midpoint over full year 2023.</w:t>
      </w:r>
    </w:p>
    <w:p>
      <w:pPr>
        <w:pStyle w:val="TextBody"/>
        <w:bidi w:val="0"/>
        <w:jc w:val="both"/>
        <w:rPr/>
      </w:pPr>
      <w:r>
        <w:rPr/>
        <w:t> </w:t>
      </w:r>
    </w:p>
    <w:p>
      <w:pPr>
        <w:pStyle w:val="TextBody"/>
        <w:bidi w:val="0"/>
        <w:spacing w:before="120" w:after="120"/>
        <w:jc w:val="both"/>
        <w:rPr>
          <w:rFonts w:ascii="Arial" w:hAnsi="Arial"/>
          <w:b/>
          <w:color w:val="000000"/>
          <w:sz w:val="20"/>
        </w:rPr>
      </w:pPr>
      <w:r>
        <w:rPr>
          <w:rFonts w:ascii="Arial" w:hAnsi="Arial"/>
          <w:b/>
          <w:color w:val="000000"/>
          <w:sz w:val="20"/>
        </w:rPr>
        <w:t>Webcast Information</w:t>
      </w:r>
    </w:p>
    <w:p>
      <w:pPr>
        <w:pStyle w:val="TextBody"/>
        <w:bidi w:val="0"/>
        <w:jc w:val="both"/>
        <w:rPr>
          <w:rFonts w:ascii="Times New Roman" w:hAnsi="Times New Roman"/>
          <w:sz w:val="20"/>
        </w:rPr>
      </w:pPr>
      <w:r>
        <w:rPr>
          <w:rFonts w:ascii="Arial" w:hAnsi="Arial"/>
          <w:color w:val="000000"/>
          <w:sz w:val="20"/>
        </w:rPr>
        <w:t xml:space="preserve">Seer will host a conference call to discuss the fourth quarter and full year 2023 financial results on Thursday, February 29, 2024 at 1:30 pm Pacific Time / 4:30 pm Eastern Time. A webcast of the conference call can be accessed at </w:t>
      </w:r>
      <w:r>
        <w:rPr>
          <w:rFonts w:ascii="Arial" w:hAnsi="Arial"/>
          <w:color w:val="0000FF"/>
          <w:sz w:val="20"/>
        </w:rPr>
        <w:t xml:space="preserve">http://investor.seer.bio. </w:t>
      </w:r>
      <w:r>
        <w:rPr>
          <w:rFonts w:ascii="Arial" w:hAnsi="Arial"/>
          <w:color w:val="000000"/>
          <w:sz w:val="20"/>
        </w:rPr>
        <w:t>The webcast will be archived and available for replay for at least 90 days after the event.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0"/>
        </w:rPr>
        <w:t>About Seer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w:t>
      </w:r>
      <w:r>
        <w:rPr>
          <w:rFonts w:ascii="Times New Roman" w:hAnsi="Times New Roman"/>
          <w:color w:val="24282D"/>
          <w:sz w:val="20"/>
        </w:rPr>
        <w:t xml:space="preserve"> </w:t>
      </w:r>
      <w:r>
        <w:rPr>
          <w:rFonts w:ascii="Arial" w:hAnsi="Arial"/>
          <w:color w:val="0563C1"/>
          <w:sz w:val="20"/>
        </w:rPr>
        <w:t>www.seer.bio</w:t>
      </w:r>
      <w:r>
        <w:rPr>
          <w:rFonts w:ascii="Arial" w:hAnsi="Arial"/>
          <w:color w:val="24282D"/>
          <w:sz w:val="20"/>
        </w:rPr>
        <w:t>.</w:t>
      </w:r>
    </w:p>
    <w:p>
      <w:pPr>
        <w:pStyle w:val="TextBody"/>
        <w:bidi w:val="0"/>
        <w:spacing w:before="120" w:after="120"/>
        <w:jc w:val="both"/>
        <w:rPr>
          <w:rFonts w:ascii="Times New Roman" w:hAnsi="Times New Roman"/>
          <w:sz w:val="20"/>
        </w:rPr>
      </w:pPr>
      <w:r>
        <w:rPr>
          <w:rFonts w:ascii="Arial" w:hAnsi="Arial"/>
          <w:b/>
          <w:color w:val="000000"/>
          <w:sz w:val="20"/>
        </w:rPr>
        <w:t>Forward Looking Statements</w:t>
      </w:r>
      <w:r>
        <w:rPr>
          <w:rFonts w:ascii="Times New Roman" w:hAnsi="Times New Roman"/>
          <w:color w:val="FF0000"/>
          <w:sz w:val="20"/>
        </w:rPr>
        <w:t xml:space="preserve"> </w:t>
      </w:r>
    </w:p>
    <w:p>
      <w:pPr>
        <w:pStyle w:val="TextBody"/>
        <w:bidi w:val="0"/>
        <w:jc w:val="left"/>
        <w:rPr>
          <w:rFonts w:ascii="Times New Roman" w:hAnsi="Times New Roman"/>
          <w:sz w:val="20"/>
        </w:rPr>
      </w:pPr>
      <w:r>
        <w:rPr>
          <w:rFonts w:ascii="Arial" w:hAnsi="Arial"/>
          <w:color w:val="000000"/>
          <w:sz w:val="20"/>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Company’s expectations for future results of operations and its financial position,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2160" w:right="0" w:firstLine="720"/>
        <w:jc w:val="left"/>
        <w:rPr/>
      </w:pPr>
      <w:r>
        <w:rPr/>
        <w:t> </w:t>
      </w:r>
    </w:p>
    <w:p>
      <w:pPr>
        <w:pStyle w:val="TextBody"/>
        <w:bidi w:val="0"/>
        <w:ind w:left="2160" w:right="0" w:firstLine="720"/>
        <w:jc w:val="left"/>
        <w:rPr/>
      </w:pPr>
      <w:r>
        <w:rPr/>
        <w:t> </w:t>
      </w:r>
    </w:p>
    <w:p>
      <w:pPr>
        <w:pStyle w:val="TextBody"/>
        <w:bidi w:val="0"/>
        <w:ind w:left="8640" w:right="0" w:firstLine="720"/>
        <w:jc w:val="right"/>
        <w:rPr/>
      </w:pPr>
      <w:r>
        <w:rPr/>
        <w:t> </w:t>
      </w:r>
    </w:p>
    <w:p>
      <w:pPr>
        <w:pStyle w:val="TextBody"/>
        <w:bidi w:val="0"/>
        <w:jc w:val="left"/>
        <w:rPr>
          <w:rFonts w:ascii="Arial" w:hAnsi="Arial"/>
          <w:color w:val="000000"/>
          <w:sz w:val="20"/>
        </w:rPr>
      </w:pPr>
      <w:r>
        <w:rPr>
          <w:rFonts w:ascii="Arial" w:hAnsi="Arial"/>
          <w:color w:val="000000"/>
          <w:sz w:val="20"/>
        </w:rPr>
        <w:t>business strategy, customer publications and adoption and outlook for fiscal year 2024.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both"/>
        <w:rPr>
          <w:rFonts w:ascii="Arial" w:hAnsi="Arial"/>
          <w:color w:val="000000"/>
          <w:sz w:val="20"/>
          <w:u w:val="single"/>
        </w:rPr>
      </w:pPr>
      <w:r>
        <w:rPr>
          <w:rFonts w:ascii="Arial" w:hAnsi="Arial"/>
          <w:color w:val="000000"/>
          <w:sz w:val="20"/>
          <w:u w:val="single"/>
        </w:rPr>
        <w:t>Investor Contact:</w:t>
      </w:r>
    </w:p>
    <w:p>
      <w:pPr>
        <w:pStyle w:val="TextBody"/>
        <w:bidi w:val="0"/>
        <w:jc w:val="left"/>
        <w:rPr>
          <w:rFonts w:ascii="Arial" w:hAnsi="Arial"/>
          <w:color w:val="000000"/>
          <w:sz w:val="20"/>
        </w:rPr>
      </w:pPr>
      <w:r>
        <w:rPr>
          <w:rFonts w:ascii="Arial" w:hAnsi="Arial"/>
          <w:color w:val="000000"/>
          <w:sz w:val="20"/>
        </w:rPr>
        <w:t>Carrie Mendivil</w:t>
      </w:r>
    </w:p>
    <w:p>
      <w:pPr>
        <w:pStyle w:val="TextBody"/>
        <w:bidi w:val="0"/>
        <w:jc w:val="left"/>
        <w:rPr>
          <w:rFonts w:ascii="Arial" w:hAnsi="Arial"/>
          <w:color w:val="0563C1"/>
          <w:sz w:val="20"/>
        </w:rPr>
      </w:pPr>
      <w:r>
        <w:rPr>
          <w:rFonts w:ascii="Arial" w:hAnsi="Arial"/>
          <w:color w:val="0563C1"/>
          <w:sz w:val="20"/>
        </w:rPr>
        <w:t>investor@seer.bio</w:t>
      </w:r>
    </w:p>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Media Contact:</w:t>
      </w:r>
    </w:p>
    <w:p>
      <w:pPr>
        <w:pStyle w:val="TextBody"/>
        <w:bidi w:val="0"/>
        <w:jc w:val="left"/>
        <w:rPr>
          <w:rFonts w:ascii="Arial" w:hAnsi="Arial"/>
          <w:color w:val="000000"/>
          <w:sz w:val="20"/>
        </w:rPr>
      </w:pPr>
      <w:r>
        <w:rPr>
          <w:rFonts w:ascii="Arial" w:hAnsi="Arial"/>
          <w:color w:val="000000"/>
          <w:sz w:val="20"/>
        </w:rPr>
        <w:t>Patrick Schmidt</w:t>
      </w:r>
    </w:p>
    <w:p>
      <w:pPr>
        <w:pStyle w:val="TextBody"/>
        <w:bidi w:val="0"/>
        <w:jc w:val="left"/>
        <w:rPr>
          <w:rFonts w:ascii="Arial" w:hAnsi="Arial"/>
          <w:color w:val="0563C1"/>
          <w:sz w:val="20"/>
        </w:rPr>
      </w:pPr>
      <w:r>
        <w:rPr>
          <w:rFonts w:ascii="Arial" w:hAnsi="Arial"/>
          <w:color w:val="0563C1"/>
          <w:sz w:val="20"/>
        </w:rPr>
        <w:t>pr@seer.bio</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2160" w:right="0" w:firstLine="720"/>
        <w:jc w:val="left"/>
        <w:rPr/>
      </w:pPr>
      <w:r>
        <w:rPr/>
        <w:t> </w:t>
      </w:r>
    </w:p>
    <w:p>
      <w:pPr>
        <w:pStyle w:val="TextBody"/>
        <w:bidi w:val="0"/>
        <w:ind w:left="2160" w:right="0" w:firstLine="720"/>
        <w:jc w:val="left"/>
        <w:rPr/>
      </w:pPr>
      <w:r>
        <w:rPr/>
        <w:t> </w:t>
      </w:r>
    </w:p>
    <w:p>
      <w:pPr>
        <w:pStyle w:val="TextBody"/>
        <w:bidi w:val="0"/>
        <w:ind w:left="8640" w:right="0" w:firstLine="720"/>
        <w:jc w:val="right"/>
        <w:rPr/>
      </w:pPr>
      <w:r>
        <w:rPr/>
        <w:t> </w:t>
      </w:r>
    </w:p>
    <w:p>
      <w:pPr>
        <w:pStyle w:val="TextBody"/>
        <w:bidi w:val="0"/>
        <w:jc w:val="center"/>
        <w:rPr>
          <w:rFonts w:ascii="Arial" w:hAnsi="Arial"/>
          <w:b/>
          <w:color w:val="000000"/>
          <w:sz w:val="20"/>
        </w:rPr>
      </w:pPr>
      <w:r>
        <w:rPr>
          <w:rFonts w:ascii="Arial" w:hAnsi="Arial"/>
          <w:b/>
          <w:color w:val="000000"/>
          <w:sz w:val="20"/>
        </w:rPr>
        <w:t>Seer, Inc.</w:t>
      </w:r>
    </w:p>
    <w:p>
      <w:pPr>
        <w:pStyle w:val="TextBody"/>
        <w:bidi w:val="0"/>
        <w:jc w:val="center"/>
        <w:rPr>
          <w:rFonts w:ascii="Times New Roman" w:hAnsi="Times New Roman"/>
          <w:sz w:val="20"/>
        </w:rPr>
      </w:pPr>
      <w:r>
        <w:rPr>
          <w:rFonts w:ascii="Arial" w:hAnsi="Arial"/>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spacing w:before="0" w:after="180"/>
        <w:jc w:val="left"/>
        <w:rPr/>
      </w:pPr>
      <w:r>
        <w:rPr/>
        <w:t> </w:t>
      </w:r>
    </w:p>
    <w:tbl>
      <w:tblPr>
        <w:tblW w:w="10205" w:type="dxa"/>
        <w:jc w:val="left"/>
        <w:tblInd w:w="0" w:type="dxa"/>
        <w:tblLayout w:type="fixed"/>
        <w:tblCellMar>
          <w:top w:w="28" w:type="dxa"/>
          <w:left w:w="28" w:type="dxa"/>
          <w:bottom w:w="28" w:type="dxa"/>
          <w:right w:w="28" w:type="dxa"/>
        </w:tblCellMar>
      </w:tblPr>
      <w:tblGrid>
        <w:gridCol w:w="3471"/>
        <w:gridCol w:w="211"/>
        <w:gridCol w:w="1191"/>
        <w:gridCol w:w="163"/>
        <w:gridCol w:w="302"/>
        <w:gridCol w:w="1191"/>
        <w:gridCol w:w="146"/>
        <w:gridCol w:w="211"/>
        <w:gridCol w:w="1155"/>
        <w:gridCol w:w="158"/>
        <w:gridCol w:w="117"/>
        <w:gridCol w:w="228"/>
        <w:gridCol w:w="239"/>
        <w:gridCol w:w="325"/>
        <w:gridCol w:w="298"/>
        <w:gridCol w:w="204"/>
        <w:gridCol w:w="595"/>
      </w:tblGrid>
      <w:tr>
        <w:trPr/>
        <w:tc>
          <w:tcPr>
            <w:tcW w:w="3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471"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72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pPr>
            <w:r>
              <w:rPr/>
              <w:t> </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66" w:type="dxa"/>
            <w:gridSpan w:val="4"/>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8,506</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8,557</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2,016</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66" w:type="dxa"/>
            <w:gridSpan w:val="4"/>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913</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4,660</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5,215</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w:t>
            </w:r>
          </w:p>
        </w:tc>
        <w:tc>
          <w:tcPr>
            <w:tcW w:w="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16,661</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15,493</w:t>
            </w:r>
          </w:p>
        </w:tc>
        <w:tc>
          <w:tcPr>
            <w:tcW w:w="595" w:type="dxa"/>
            <w:tcBorders/>
            <w:shd w:fill="FFFFFF" w:val="clear"/>
            <w:vAlign w:val="center"/>
          </w:tcPr>
          <w:p>
            <w:pPr>
              <w:pStyle w:val="TableContents"/>
              <w:bidi w:val="0"/>
              <w:spacing w:before="0" w:after="283"/>
              <w:jc w:val="left"/>
              <w:rPr/>
            </w:pPr>
            <w:r>
              <w:rPr/>
              <w:t> </w:t>
            </w:r>
          </w:p>
        </w:tc>
      </w:tr>
      <w:tr>
        <w:trPr/>
        <w:tc>
          <w:tcPr>
            <w:tcW w:w="3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pPr>
            <w:r>
              <w:rPr/>
              <w:t> </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66" w:type="dxa"/>
            <w:gridSpan w:val="4"/>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5,398</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5,459</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685</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66" w:type="dxa"/>
            <w:gridSpan w:val="4"/>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495</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1,430</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1,989</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Grant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w:t>
            </w:r>
          </w:p>
        </w:tc>
        <w:tc>
          <w:tcPr>
            <w:tcW w:w="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2,437</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8,155</w:t>
            </w:r>
          </w:p>
        </w:tc>
        <w:tc>
          <w:tcPr>
            <w:tcW w:w="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2,001</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8,506</w:t>
            </w:r>
          </w:p>
        </w:tc>
        <w:tc>
          <w:tcPr>
            <w:tcW w:w="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584" w:type="dxa"/>
            <w:gridSpan w:val="3"/>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53,019</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66" w:type="dxa"/>
            <w:gridSpan w:val="4"/>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45,797</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13,068</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14,612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58,950</w:t>
            </w:r>
          </w:p>
        </w:tc>
        <w:tc>
          <w:tcPr>
            <w:tcW w:w="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CFF0FC"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24,233</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111,969</w:t>
            </w:r>
          </w:p>
        </w:tc>
        <w:tc>
          <w:tcPr>
            <w:tcW w:w="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104,328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(103,463)</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(97,235)</w:t>
            </w:r>
          </w:p>
        </w:tc>
        <w:tc>
          <w:tcPr>
            <w:tcW w:w="595" w:type="dxa"/>
            <w:tcBorders/>
            <w:shd w:fill="FFFFFF" w:val="clear"/>
            <w:vAlign w:val="center"/>
          </w:tcPr>
          <w:p>
            <w:pPr>
              <w:pStyle w:val="TableContents"/>
              <w:bidi w:val="0"/>
              <w:spacing w:before="0" w:after="283"/>
              <w:jc w:val="left"/>
              <w:rPr/>
            </w:pPr>
            <w:r>
              <w:rPr/>
              <w:t> </w:t>
            </w:r>
          </w:p>
        </w:tc>
      </w:tr>
      <w:tr>
        <w:trPr/>
        <w:tc>
          <w:tcPr>
            <w:tcW w:w="3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right"/>
              <w:rPr/>
            </w:pPr>
            <w:r>
              <w:rPr/>
              <w:t> </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66" w:type="dxa"/>
            <w:gridSpan w:val="4"/>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471"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17,764</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4,602</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w:t>
            </w:r>
          </w:p>
        </w:tc>
        <w:tc>
          <w:tcPr>
            <w:tcW w:w="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17,186</w:t>
            </w:r>
          </w:p>
        </w:tc>
        <w:tc>
          <w:tcPr>
            <w:tcW w:w="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(17,799)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(86,277)</w:t>
            </w:r>
          </w:p>
        </w:tc>
        <w:tc>
          <w:tcPr>
            <w:tcW w:w="275" w:type="dxa"/>
            <w:gridSpan w:val="2"/>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gridSpan w:val="4"/>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(92,966)</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3471"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275" w:type="dxa"/>
            <w:gridSpan w:val="2"/>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66" w:type="dxa"/>
            <w:gridSpan w:val="4"/>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left"/>
              <w:rPr/>
            </w:pPr>
            <w:r>
              <w:rPr/>
              <w:t> </w:t>
            </w:r>
          </w:p>
        </w:tc>
      </w:tr>
      <w:tr>
        <w:trPr/>
        <w:tc>
          <w:tcPr>
            <w:tcW w:w="3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(0.28)</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right"/>
              <w:rPr>
                <w:color w:val="000000"/>
              </w:rPr>
            </w:pPr>
            <w:r>
              <w:rPr>
                <w:color w:val="000000"/>
              </w:rPr>
              <w:t> </w:t>
            </w:r>
            <w:r>
              <w:rPr>
                <w:rFonts w:ascii="Arial" w:hAnsi="Arial"/>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275"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gridSpan w:val="4"/>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64,157,125</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Arial" w:hAnsi="Arial"/>
                <w:color w:val="000000"/>
                <w:sz w:val="20"/>
              </w:rPr>
            </w:pPr>
            <w:r>
              <w:rPr>
                <w:rFonts w:ascii="Arial" w:hAnsi="Arial"/>
                <w:color w:val="000000"/>
                <w:sz w:val="20"/>
              </w:rPr>
              <w:t>62,805,423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63,850,490</w:t>
            </w:r>
          </w:p>
        </w:tc>
        <w:tc>
          <w:tcPr>
            <w:tcW w:w="27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4"/>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62,433,613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jc w:val="center"/>
        <w:rPr/>
      </w:pPr>
      <w:r>
        <w:rPr/>
        <w:t> </w:t>
      </w:r>
    </w:p>
    <w:p>
      <w:pPr>
        <w:pStyle w:val="TextBody"/>
        <w:bidi w:val="0"/>
        <w:spacing w:before="0" w:after="180"/>
        <w:jc w:val="left"/>
        <w:rPr/>
      </w:pPr>
      <w:r>
        <w:rPr/>
        <w:t> </w:t>
      </w:r>
    </w:p>
    <w:p>
      <w:pPr>
        <w:pStyle w:val="TextBody"/>
        <w:bidi w:val="0"/>
        <w:spacing w:before="179"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2160" w:right="0" w:firstLine="720"/>
        <w:jc w:val="left"/>
        <w:rPr/>
      </w:pPr>
      <w:r>
        <w:rPr/>
        <w:t> </w:t>
      </w:r>
    </w:p>
    <w:p>
      <w:pPr>
        <w:pStyle w:val="TextBody"/>
        <w:bidi w:val="0"/>
        <w:ind w:left="2160" w:right="0" w:firstLine="720"/>
        <w:jc w:val="left"/>
        <w:rPr/>
      </w:pPr>
      <w:r>
        <w:rPr/>
        <w:t> </w:t>
      </w:r>
    </w:p>
    <w:p>
      <w:pPr>
        <w:pStyle w:val="TextBody"/>
        <w:bidi w:val="0"/>
        <w:ind w:left="8640" w:right="0" w:firstLine="720"/>
        <w:jc w:val="right"/>
        <w:rPr/>
      </w:pPr>
      <w:r>
        <w:rPr/>
        <w:t> </w:t>
      </w:r>
    </w:p>
    <w:p>
      <w:pPr>
        <w:pStyle w:val="TextBody"/>
        <w:bidi w:val="0"/>
        <w:jc w:val="center"/>
        <w:rPr>
          <w:rFonts w:ascii="Arial" w:hAnsi="Arial"/>
          <w:b/>
          <w:color w:val="000000"/>
          <w:sz w:val="20"/>
        </w:rPr>
      </w:pPr>
      <w:r>
        <w:rPr>
          <w:rFonts w:ascii="Arial" w:hAnsi="Arial"/>
          <w:b/>
          <w:color w:val="000000"/>
          <w:sz w:val="20"/>
        </w:rPr>
        <w:t>Seer,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tbl>
      <w:tblPr>
        <w:tblW w:w="10079" w:type="dxa"/>
        <w:jc w:val="left"/>
        <w:tblInd w:w="0" w:type="dxa"/>
        <w:tblLayout w:type="fixed"/>
        <w:tblCellMar>
          <w:top w:w="28" w:type="dxa"/>
          <w:left w:w="28" w:type="dxa"/>
          <w:bottom w:w="28" w:type="dxa"/>
          <w:right w:w="28" w:type="dxa"/>
        </w:tblCellMar>
      </w:tblPr>
      <w:tblGrid>
        <w:gridCol w:w="6876"/>
        <w:gridCol w:w="146"/>
        <w:gridCol w:w="211"/>
        <w:gridCol w:w="856"/>
        <w:gridCol w:w="166"/>
        <w:gridCol w:w="146"/>
        <w:gridCol w:w="211"/>
        <w:gridCol w:w="856"/>
        <w:gridCol w:w="611"/>
      </w:tblGrid>
      <w:tr>
        <w:trPr/>
        <w:tc>
          <w:tcPr>
            <w:tcW w:w="6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6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ind w:left="0" w:right="0" w:firstLine="200"/>
              <w:jc w:val="center"/>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53,208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283,725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368,031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4,315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Related party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1,804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Other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4,627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6"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330,513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434,982</w:t>
            </w:r>
          </w:p>
        </w:tc>
        <w:tc>
          <w:tcPr>
            <w:tcW w:w="611" w:type="dxa"/>
            <w:tcBorders/>
            <w:shd w:fill="FFFFFF" w:val="clear"/>
            <w:vAlign w:val="center"/>
          </w:tcPr>
          <w:p>
            <w:pPr>
              <w:pStyle w:val="TableContents"/>
              <w:bidi w:val="0"/>
              <w:spacing w:before="0" w:after="283"/>
              <w:jc w:val="left"/>
              <w:rPr/>
            </w:pPr>
            <w:r>
              <w:rPr/>
              <w:t> </w:t>
            </w:r>
          </w:p>
        </w:tc>
      </w:tr>
      <w:tr>
        <w:trPr/>
        <w:tc>
          <w:tcPr>
            <w:tcW w:w="6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5,157</w:t>
            </w:r>
          </w:p>
        </w:tc>
        <w:tc>
          <w:tcPr>
            <w:tcW w:w="611" w:type="dxa"/>
            <w:tcBorders/>
            <w:shd w:fill="CFF0FC" w:val="clear"/>
            <w:vAlign w:val="center"/>
          </w:tcPr>
          <w:p>
            <w:pPr>
              <w:pStyle w:val="TableContents"/>
              <w:bidi w:val="0"/>
              <w:spacing w:before="0" w:after="283"/>
              <w:jc w:val="left"/>
              <w:rPr/>
            </w:pPr>
            <w:r>
              <w:rPr/>
              <w:t> </w:t>
            </w:r>
          </w:p>
        </w:tc>
      </w:tr>
      <w:tr>
        <w:trPr/>
        <w:tc>
          <w:tcPr>
            <w:tcW w:w="6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25,177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27,003</w:t>
            </w:r>
          </w:p>
        </w:tc>
        <w:tc>
          <w:tcPr>
            <w:tcW w:w="611" w:type="dxa"/>
            <w:tcBorders/>
            <w:shd w:fill="FFFFFF" w:val="clear"/>
            <w:vAlign w:val="center"/>
          </w:tcPr>
          <w:p>
            <w:pPr>
              <w:pStyle w:val="TableContents"/>
              <w:bidi w:val="0"/>
              <w:spacing w:before="0" w:after="283"/>
              <w:jc w:val="left"/>
              <w:rPr/>
            </w:pPr>
            <w:r>
              <w:rPr/>
              <w:t> </w:t>
            </w:r>
          </w:p>
        </w:tc>
      </w:tr>
      <w:tr>
        <w:trPr/>
        <w:tc>
          <w:tcPr>
            <w:tcW w:w="6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19,408</w:t>
            </w:r>
          </w:p>
        </w:tc>
        <w:tc>
          <w:tcPr>
            <w:tcW w:w="611" w:type="dxa"/>
            <w:tcBorders/>
            <w:shd w:fill="CFF0FC" w:val="clear"/>
            <w:vAlign w:val="center"/>
          </w:tcPr>
          <w:p>
            <w:pPr>
              <w:pStyle w:val="TableContents"/>
              <w:bidi w:val="0"/>
              <w:spacing w:before="0" w:after="283"/>
              <w:jc w:val="left"/>
              <w:rPr/>
            </w:pPr>
            <w:r>
              <w:rPr/>
              <w:t> </w:t>
            </w:r>
          </w:p>
        </w:tc>
      </w:tr>
      <w:tr>
        <w:trPr/>
        <w:tc>
          <w:tcPr>
            <w:tcW w:w="6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524</w:t>
            </w:r>
          </w:p>
        </w:tc>
        <w:tc>
          <w:tcPr>
            <w:tcW w:w="611" w:type="dxa"/>
            <w:tcBorders/>
            <w:shd w:fill="FFFFFF" w:val="clear"/>
            <w:vAlign w:val="center"/>
          </w:tcPr>
          <w:p>
            <w:pPr>
              <w:pStyle w:val="TableContents"/>
              <w:bidi w:val="0"/>
              <w:spacing w:before="0" w:after="283"/>
              <w:jc w:val="left"/>
              <w:rPr/>
            </w:pPr>
            <w:r>
              <w:rPr/>
              <w:t> </w:t>
            </w:r>
          </w:p>
        </w:tc>
      </w:tr>
      <w:tr>
        <w:trPr/>
        <w:tc>
          <w:tcPr>
            <w:tcW w:w="6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6"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487,929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8,298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6"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12,584</w:t>
            </w:r>
          </w:p>
        </w:tc>
        <w:tc>
          <w:tcPr>
            <w:tcW w:w="611" w:type="dxa"/>
            <w:tcBorders/>
            <w:shd w:fill="FFFFFF" w:val="clear"/>
            <w:vAlign w:val="center"/>
          </w:tcPr>
          <w:p>
            <w:pPr>
              <w:pStyle w:val="TableContents"/>
              <w:bidi w:val="0"/>
              <w:spacing w:before="0" w:after="283"/>
              <w:jc w:val="left"/>
              <w:rPr/>
            </w:pPr>
            <w:r>
              <w:rPr/>
              <w:t> </w:t>
            </w:r>
          </w:p>
        </w:tc>
      </w:tr>
      <w:tr>
        <w:trPr/>
        <w:tc>
          <w:tcPr>
            <w:tcW w:w="6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28,032</w:t>
            </w:r>
          </w:p>
        </w:tc>
        <w:tc>
          <w:tcPr>
            <w:tcW w:w="611" w:type="dxa"/>
            <w:tcBorders/>
            <w:shd w:fill="CFF0FC" w:val="clear"/>
            <w:vAlign w:val="center"/>
          </w:tcPr>
          <w:p>
            <w:pPr>
              <w:pStyle w:val="TableContents"/>
              <w:bidi w:val="0"/>
              <w:spacing w:before="0" w:after="283"/>
              <w:jc w:val="left"/>
              <w:rPr/>
            </w:pPr>
            <w:r>
              <w:rPr/>
              <w:t> </w:t>
            </w:r>
          </w:p>
        </w:tc>
      </w:tr>
      <w:tr>
        <w:trPr/>
        <w:tc>
          <w:tcPr>
            <w:tcW w:w="68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6" w:type="dxa"/>
            <w:tcBorders/>
            <w:shd w:fill="CFF0FC"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6"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Commitments and contingencies</w:t>
            </w:r>
            <w:r>
              <w:rPr>
                <w:rFonts w:ascii="Times New Roman" w:hAnsi="Times New Roman"/>
                <w:color w:val="000000"/>
                <w:sz w:val="20"/>
              </w:rPr>
              <w:t xml:space="preserve">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8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Preferred stock, $0.00001 par value; 5,000,000 shares authorized as of</w:t>
              <w:br/>
              <w:t xml:space="preserve">    December 31, 2023 and 2022; zero shares issued and outstanding </w:t>
              <w:br/>
              <w:t>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Arial" w:hAnsi="Arial"/>
                <w:color w:val="000000"/>
                <w:sz w:val="20"/>
              </w:rPr>
              <w:t>Class A common stock, $0.00001 par value; 94,000,000 shares authorized</w:t>
              <w:br/>
              <w:t>    as of December 31, 2023 and 2022; 60,253,707 and 59,366,077 shares</w:t>
              <w:br/>
              <w:t>    issued and outstanding as of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Arial" w:hAnsi="Arial"/>
                <w:color w:val="000000"/>
                <w:sz w:val="20"/>
              </w:rPr>
              <w:t>Class B common stock, $0.00001 par value; 6,000,000 shares authorized</w:t>
              <w:br/>
              <w:t>    as of December 31, 2023 and 2022; 4,044,969 shares</w:t>
              <w:br/>
              <w:t>    issued and outstanding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702,868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667,739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876" w:type="dxa"/>
            <w:tcBorders/>
            <w:shd w:fill="FFFFFF"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(1,251</w:t>
            </w:r>
          </w:p>
        </w:tc>
        <w:tc>
          <w:tcPr>
            <w:tcW w:w="611" w:type="dxa"/>
            <w:tcBorders/>
            <w:shd w:fill="FFFFFF" w:val="cle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w:t>
            </w:r>
          </w:p>
        </w:tc>
      </w:tr>
      <w:tr>
        <w:trPr/>
        <w:tc>
          <w:tcPr>
            <w:tcW w:w="6876" w:type="dxa"/>
            <w:tcBorders/>
            <w:shd w:fill="CFF0FC" w:val="clear"/>
            <w:vAlign w:val="center"/>
          </w:tcPr>
          <w:p>
            <w:pPr>
              <w:pStyle w:val="TableContents"/>
              <w:bidi w:val="0"/>
              <w:spacing w:before="0" w:after="283"/>
              <w:ind w:left="200" w:right="0" w:firstLine="200"/>
              <w:jc w:val="left"/>
              <w:rPr>
                <w:rFonts w:ascii="Arial" w:hAnsi="Arial"/>
                <w:color w:val="000000"/>
                <w:sz w:val="20"/>
              </w:rPr>
            </w:pPr>
            <w:r>
              <w:rPr>
                <w:rFonts w:ascii="Arial" w:hAnsi="Arial"/>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(219,496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20"/>
              </w:rPr>
            </w:pPr>
            <w:r>
              <w:rPr>
                <w:rFonts w:ascii="Arial" w:hAnsi="Arial"/>
                <w:color w:val="000000"/>
                <w:sz w:val="20"/>
              </w:rPr>
              <w:t>)</w:t>
            </w:r>
          </w:p>
        </w:tc>
      </w:tr>
      <w:tr>
        <w:trPr/>
        <w:tc>
          <w:tcPr>
            <w:tcW w:w="6876" w:type="dxa"/>
            <w:tcBorders/>
            <w:shd w:fill="FFFFFF"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446,993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6" w:type="dxa"/>
            <w:tcBorders/>
            <w:shd w:fill="CFF0FC" w:val="clear"/>
            <w:vAlign w:val="center"/>
          </w:tcPr>
          <w:p>
            <w:pPr>
              <w:pStyle w:val="TableContents"/>
              <w:bidi w:val="0"/>
              <w:spacing w:before="0" w:after="283"/>
              <w:ind w:left="400" w:right="0" w:firstLine="40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487,929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2043</Words>
  <Characters>11297</Characters>
  <CharactersWithSpaces>13630</CharactersWithSpaces>
  <Paragraphs>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