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50806.htm"/>
      <w:bookmarkStart w:id="1" w:name="ksck000172644520250806"/>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August 6, 2025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2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6, 2025, Seer, Inc. issued a press release (the “Press Release”) announcing results for the quarter ended June 30, 2025. A copy of the Press Release is attached as Exhibit 99.1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1081"/>
        <w:gridCol w:w="146"/>
        <w:gridCol w:w="6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August 6, 2025.</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695" w:type="dxa"/>
        <w:jc w:val="left"/>
        <w:tblInd w:w="0" w:type="dxa"/>
        <w:tblLayout w:type="fixed"/>
        <w:tblCellMar>
          <w:top w:w="28" w:type="dxa"/>
          <w:left w:w="28" w:type="dxa"/>
          <w:bottom w:w="28" w:type="dxa"/>
          <w:right w:w="28" w:type="dxa"/>
        </w:tblCellMar>
      </w:tblPr>
      <w:tblGrid>
        <w:gridCol w:w="1846"/>
        <w:gridCol w:w="146"/>
        <w:gridCol w:w="406"/>
        <w:gridCol w:w="146"/>
        <w:gridCol w:w="315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August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ck0001726445-ex99_1.htm"/>
      <w:bookmarkStart w:id="4" w:name="ksck0001726445ex99_1"/>
      <w:bookmarkEnd w:id="3"/>
      <w:bookmarkEnd w:id="4"/>
      <w:r>
        <w:rPr/>
        <w:t> </w:t>
      </w:r>
      <w:r>
        <w:br w:type="page"/>
      </w:r>
    </w:p>
    <w:p>
      <w:pPr>
        <w:pStyle w:val="TextBody"/>
        <w:bidi w:val="0"/>
        <w:spacing w:before="0" w:after="120"/>
        <w:jc w:val="center"/>
        <w:rPr>
          <w:rFonts w:ascii="Arial" w:hAnsi="Arial"/>
          <w:b/>
          <w:color w:val="000000"/>
          <w:sz w:val="24"/>
        </w:rPr>
      </w:pPr>
      <w:r>
        <w:rPr>
          <w:rFonts w:ascii="Arial" w:hAnsi="Arial"/>
          <w:b/>
          <w:color w:val="000000"/>
          <w:sz w:val="24"/>
        </w:rPr>
        <w:t>Seer Reports Second Quarter 2025 Financial Results and Reiterates Full Year 2025 Outlook</w:t>
      </w:r>
    </w:p>
    <w:p>
      <w:pPr>
        <w:pStyle w:val="TextBody"/>
        <w:bidi w:val="0"/>
        <w:spacing w:before="0" w:after="120"/>
        <w:jc w:val="center"/>
        <w:rPr>
          <w:rFonts w:ascii="Arial" w:hAnsi="Arial"/>
          <w:i/>
          <w:color w:val="000000"/>
          <w:sz w:val="20"/>
        </w:rPr>
      </w:pPr>
      <w:r>
        <w:rPr>
          <w:rFonts w:ascii="Arial" w:hAnsi="Arial"/>
          <w:i/>
          <w:color w:val="000000"/>
          <w:sz w:val="20"/>
        </w:rPr>
        <w:t>Revenue grew 32% year-over-year, driven by increased product sales and service revenue</w:t>
      </w:r>
    </w:p>
    <w:p>
      <w:pPr>
        <w:pStyle w:val="TextBody"/>
        <w:bidi w:val="0"/>
        <w:spacing w:before="0" w:after="120"/>
        <w:jc w:val="center"/>
        <w:rPr>
          <w:rFonts w:ascii="Times New Roman" w:hAnsi="Times New Roman"/>
          <w:sz w:val="20"/>
        </w:rPr>
      </w:pPr>
      <w:r>
        <w:rPr>
          <w:rFonts w:ascii="Arial" w:hAnsi="Arial"/>
          <w:i/>
          <w:color w:val="000000"/>
          <w:sz w:val="20"/>
        </w:rPr>
        <w:t>Launched new high-throughput Proteograph</w:t>
      </w:r>
      <w:r>
        <w:rPr>
          <w:rFonts w:ascii="Arial" w:hAnsi="Arial"/>
          <w:i/>
          <w:color w:val="000000"/>
          <w:sz w:val="13"/>
        </w:rPr>
        <w:t>®</w:t>
      </w:r>
      <w:r>
        <w:rPr>
          <w:rFonts w:ascii="Times New Roman" w:hAnsi="Times New Roman"/>
          <w:color w:val="000000"/>
          <w:sz w:val="20"/>
        </w:rPr>
        <w:t xml:space="preserve"> </w:t>
      </w:r>
      <w:r>
        <w:rPr>
          <w:rFonts w:ascii="Arial" w:hAnsi="Arial"/>
          <w:i/>
          <w:color w:val="000000"/>
          <w:sz w:val="20"/>
        </w:rPr>
        <w:t>ONE assay and SP200 automation instrument</w:t>
      </w:r>
    </w:p>
    <w:p>
      <w:pPr>
        <w:pStyle w:val="TextBody"/>
        <w:bidi w:val="0"/>
        <w:jc w:val="both"/>
        <w:rPr>
          <w:rFonts w:ascii="Times New Roman" w:hAnsi="Times New Roman"/>
          <w:sz w:val="20"/>
        </w:rPr>
      </w:pPr>
      <w:r>
        <w:rPr>
          <w:rFonts w:ascii="Arial" w:hAnsi="Arial"/>
          <w:b/>
          <w:color w:val="000000"/>
          <w:sz w:val="20"/>
        </w:rPr>
        <w:t xml:space="preserve">REDWOOD CITY, Calif. </w:t>
      </w:r>
      <w:r>
        <w:rPr>
          <w:rFonts w:ascii="Arial" w:hAnsi="Arial"/>
          <w:color w:val="000000"/>
          <w:sz w:val="20"/>
        </w:rPr>
        <w:t>August 6, 2025 – Seer, Inc. (Nasdaq: SEER), a leading life sciences company commercializing a disruptive new platform for proteomics, today reported financial results for the second quarter ended June 30, 2025.</w:t>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b/>
          <w:color w:val="000000"/>
          <w:sz w:val="20"/>
        </w:rPr>
        <w:t>Recent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Achieved revenue of $4.1 million for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Launched new high-throughput Proteograph ONE assay and SP200 automation instrument, enabling previously unattainable scale and efficiency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Announced a collaboration with Korea University to launch a 20,000-sample population-scale proteomics study utilizing the Proteograph ONE assay to develop AI-driven diagnostics for cancers in young adults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Accelerated third-party validation through impactful data presentations and publications from key opinion leaders at recent conferences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Ended the quarter with approximately $263.3 million of cash, cash equivalents and investments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Our team delivered a solid second quarter and achieved a pivotal milestone with the launches of our high-throughput Proteograph ONE assay and SP200 instrument, which significantly enhance the scalability and efficiency of our platform,” said Omid Farokhzad, Chair and CEO of Seer. “Seer was founded on the belief that we could transform the field of deep, unbiased proteomics. It’s incredibly rewarding to see that vision come to fruition, with our technology now powering multiple population-scale studies. I’m deeply proud of our team’s relentless focus on innovation and execution, even with continued macroeconomic pressures affecting our customer base.”</w:t>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b/>
          <w:color w:val="000000"/>
          <w:sz w:val="20"/>
        </w:rPr>
        <w:t>Second Quarter 2025 Financial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Revenue was $4.1 million for the second quarter of 2025, a 32% increase from $3.1 million for the corresponding prior year period, primarily due to higher product sales and service revenue in the quarter. Product revenue for the second quarter of 2025 was $2.7 million and consisted of sales of Proteograph instruments and consumable kits. Service revenue was $1.2 million for the second quarter of 2025, including $409 thousand of related party revenue, and primarily consisted of revenue related to Seer Technology Access Center service projects. Other revenue was $119 thousand for the second quarter of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Gross profit was $2.1 million and gross margin was 52% for the second quarter of 2025.</w:t>
      </w:r>
      <w:r>
        <w:rPr>
          <w:rFonts w:ascii="Times New Roman" w:hAnsi="Times New Roman"/>
          <w:color w:val="000000"/>
          <w:sz w:val="20"/>
        </w:rPr>
        <w:t xml:space="preserve"> </w:t>
      </w:r>
    </w:p>
    <w:p>
      <w:pPr>
        <w:pStyle w:val="TextBody"/>
        <w:bidi w:val="0"/>
        <w:jc w:val="right"/>
        <w:rPr/>
      </w:pPr>
      <w:r>
        <w:rPr/>
        <w:t> </w:t>
      </w:r>
    </w:p>
    <w:p>
      <w:pPr>
        <w:pStyle w:val="TextBody"/>
        <w:bidi w:val="0"/>
        <w:jc w:val="both"/>
        <w:rPr>
          <w:rFonts w:ascii="Times New Roman" w:hAnsi="Times New Roman"/>
          <w:sz w:val="20"/>
        </w:rPr>
      </w:pPr>
      <w:r>
        <w:rPr>
          <w:rFonts w:ascii="Arial" w:hAnsi="Arial"/>
          <w:color w:val="000000"/>
          <w:sz w:val="20"/>
        </w:rPr>
        <w:t>Operating expenses were $22.6 million for the second quarter of 2025, including $3.7</w:t>
      </w:r>
      <w:r>
        <w:rPr>
          <w:rFonts w:ascii="Times New Roman" w:hAnsi="Times New Roman"/>
          <w:color w:val="FF0000"/>
          <w:sz w:val="20"/>
        </w:rPr>
        <w:t xml:space="preserve"> </w:t>
      </w:r>
      <w:r>
        <w:rPr>
          <w:rFonts w:ascii="Arial" w:hAnsi="Arial"/>
          <w:color w:val="000000"/>
          <w:sz w:val="20"/>
        </w:rPr>
        <w:t>million of stock-based compensation, a decrease of 21% compared to $28.8 million for the corresponding prior year period, including $7.3 million of stock-based compensation. The decrease in operating expenses was primarily driven by a decrease in stock-based compensation.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loss was $19.4 million for the second quarter of 2025, compared to $22.9 million for the corresponding prior year period.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Cash, cash equivalents and investments were approximately $263.3 million as of June 30, 2025.</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2025 Guidance</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Seer continues to expect full year 2025 revenue to be in the range of $17 million to $18 million, representing growth of 24% at the midpoint over full year 2024.</w:t>
      </w:r>
    </w:p>
    <w:p>
      <w:pPr>
        <w:pStyle w:val="TextBody"/>
        <w:bidi w:val="0"/>
        <w:spacing w:before="120" w:after="120"/>
        <w:jc w:val="both"/>
        <w:rPr>
          <w:rFonts w:ascii="Arial" w:hAnsi="Arial"/>
          <w:b/>
          <w:color w:val="000000"/>
          <w:sz w:val="20"/>
        </w:rPr>
      </w:pPr>
      <w:r>
        <w:rPr>
          <w:rFonts w:ascii="Arial" w:hAnsi="Arial"/>
          <w:b/>
          <w:color w:val="000000"/>
          <w:sz w:val="20"/>
        </w:rPr>
        <w:t>Webcast Information</w:t>
      </w:r>
    </w:p>
    <w:p>
      <w:pPr>
        <w:pStyle w:val="TextBody"/>
        <w:bidi w:val="0"/>
        <w:jc w:val="both"/>
        <w:rPr>
          <w:rFonts w:ascii="Times New Roman" w:hAnsi="Times New Roman"/>
          <w:sz w:val="20"/>
        </w:rPr>
      </w:pPr>
      <w:r>
        <w:rPr>
          <w:rFonts w:ascii="Arial" w:hAnsi="Arial"/>
          <w:color w:val="000000"/>
          <w:sz w:val="20"/>
        </w:rPr>
        <w:t>Seer will host a conference call to discuss the second quarter 2025 financial results on Wednesday, August 6, 2025 at 1:30 pm Pacific Time / 4:30 pm Eastern Time. A webcast of the conference call can be accessed at https://investor.seer.bio. The webcast will be archived and available for replay for at least 90 days after the event.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0"/>
        </w:rPr>
        <w:t>About Seer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Seer, Inc. (Nasdaq: SEER) sets the standard in deep, unbiased proteomics—delivering insights with a scale, speed, precision, and reproducibility previously unattainable. Seer’s Proteograph</w:t>
      </w:r>
      <w:r>
        <w:rPr>
          <w:rFonts w:ascii="Arial" w:hAnsi="Arial"/>
          <w:i/>
          <w:color w:val="000000"/>
          <w:sz w:val="13"/>
        </w:rPr>
        <w:t>®</w:t>
      </w:r>
      <w:r>
        <w:rPr>
          <w:rFonts w:ascii="Times New Roman" w:hAnsi="Times New Roman"/>
          <w:color w:val="000000"/>
          <w:sz w:val="20"/>
        </w:rPr>
        <w:t xml:space="preserve"> </w:t>
      </w:r>
      <w:r>
        <w:rPr>
          <w:rFonts w:ascii="Arial" w:hAnsi="Arial"/>
          <w:color w:val="000000"/>
          <w:sz w:val="20"/>
        </w:rPr>
        <w:t>Product Suite uniquely integrates proprietary engineered nanoparticles, streamlined automation instrumentation, optimized consumables, and advanced analytical software to solve challenges that conventional methods have failed to overcome. Traditional proteomic technologies have historically struggled with inconsistent data, limited throughput, and prohibitive complexity, but Seer’s robust and scalable workflow consistently reveals biological insights that others do not. Seer’s products are for research use only and are not intended for diagnostic procedures. For more information about Seer’s differentiated approach and ongoing leadership in proteomics, visit www.seer.bio.</w:t>
      </w:r>
    </w:p>
    <w:p>
      <w:pPr>
        <w:pStyle w:val="TextBody"/>
        <w:bidi w:val="0"/>
        <w:spacing w:before="120" w:after="120"/>
        <w:jc w:val="both"/>
        <w:rPr>
          <w:rFonts w:ascii="Times New Roman" w:hAnsi="Times New Roman"/>
          <w:sz w:val="20"/>
        </w:rPr>
      </w:pPr>
      <w:r>
        <w:rPr>
          <w:rFonts w:ascii="Arial" w:hAnsi="Arial"/>
          <w:b/>
          <w:color w:val="000000"/>
          <w:sz w:val="20"/>
        </w:rPr>
        <w:t>Forward Looking Statements</w:t>
      </w:r>
      <w:r>
        <w:rPr>
          <w:rFonts w:ascii="Times New Roman" w:hAnsi="Times New Roman"/>
          <w:color w:val="FF0000"/>
          <w:sz w:val="20"/>
        </w:rPr>
        <w:t xml:space="preserve"> </w:t>
      </w:r>
    </w:p>
    <w:p>
      <w:pPr>
        <w:pStyle w:val="TextBody"/>
        <w:bidi w:val="0"/>
        <w:jc w:val="both"/>
        <w:rPr>
          <w:rFonts w:ascii="Arial" w:hAnsi="Arial"/>
          <w:color w:val="000000"/>
          <w:sz w:val="20"/>
        </w:rPr>
      </w:pPr>
      <w:r>
        <w:rPr>
          <w:rFonts w:ascii="Arial" w:hAnsi="Arial"/>
          <w:color w:val="000000"/>
          <w:sz w:val="20"/>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partnerships, adoption of our products and outlook for fiscal year 2025.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both"/>
        <w:rPr>
          <w:rFonts w:ascii="Arial" w:hAnsi="Arial"/>
          <w:color w:val="000000"/>
          <w:sz w:val="20"/>
          <w:u w:val="single"/>
        </w:rPr>
      </w:pPr>
      <w:r>
        <w:rPr>
          <w:rFonts w:ascii="Arial" w:hAnsi="Arial"/>
          <w:color w:val="000000"/>
          <w:sz w:val="20"/>
          <w:u w:val="single"/>
        </w:rPr>
        <w:t>Investor Contact:</w:t>
      </w:r>
    </w:p>
    <w:p>
      <w:pPr>
        <w:pStyle w:val="TextBody"/>
        <w:bidi w:val="0"/>
        <w:jc w:val="left"/>
        <w:rPr>
          <w:rFonts w:ascii="Arial" w:hAnsi="Arial"/>
          <w:color w:val="000000"/>
          <w:sz w:val="20"/>
        </w:rPr>
      </w:pPr>
      <w:r>
        <w:rPr>
          <w:rFonts w:ascii="Arial" w:hAnsi="Arial"/>
          <w:color w:val="000000"/>
          <w:sz w:val="20"/>
        </w:rPr>
        <w:t>Carrie Mendivil</w:t>
      </w:r>
    </w:p>
    <w:p>
      <w:pPr>
        <w:pStyle w:val="TextBody"/>
        <w:bidi w:val="0"/>
        <w:jc w:val="left"/>
        <w:rPr>
          <w:rFonts w:ascii="Arial" w:hAnsi="Arial"/>
          <w:color w:val="000000"/>
          <w:sz w:val="20"/>
        </w:rPr>
      </w:pPr>
      <w:r>
        <w:rPr>
          <w:rFonts w:ascii="Arial" w:hAnsi="Arial"/>
          <w:color w:val="000000"/>
          <w:sz w:val="20"/>
        </w:rPr>
        <w:t>investor@seer.bio</w:t>
      </w:r>
    </w:p>
    <w:p>
      <w:pPr>
        <w:pStyle w:val="TextBody"/>
        <w:bidi w:val="0"/>
        <w:jc w:val="left"/>
        <w:rPr/>
      </w:pPr>
      <w:r>
        <w:rPr/>
        <w:t> </w:t>
      </w:r>
    </w:p>
    <w:p>
      <w:pPr>
        <w:pStyle w:val="TextBody"/>
        <w:bidi w:val="0"/>
        <w:jc w:val="left"/>
        <w:rPr>
          <w:rFonts w:ascii="Arial" w:hAnsi="Arial"/>
          <w:color w:val="000000"/>
          <w:sz w:val="20"/>
          <w:u w:val="single"/>
        </w:rPr>
      </w:pPr>
      <w:r>
        <w:rPr>
          <w:rFonts w:ascii="Arial" w:hAnsi="Arial"/>
          <w:color w:val="000000"/>
          <w:sz w:val="20"/>
          <w:u w:val="single"/>
        </w:rPr>
        <w:t>Media Contact:</w:t>
      </w:r>
    </w:p>
    <w:p>
      <w:pPr>
        <w:pStyle w:val="TextBody"/>
        <w:bidi w:val="0"/>
        <w:jc w:val="left"/>
        <w:rPr>
          <w:rFonts w:ascii="Arial" w:hAnsi="Arial"/>
          <w:color w:val="000000"/>
          <w:sz w:val="20"/>
        </w:rPr>
      </w:pPr>
      <w:r>
        <w:rPr>
          <w:rFonts w:ascii="Arial" w:hAnsi="Arial"/>
          <w:color w:val="000000"/>
          <w:sz w:val="20"/>
        </w:rPr>
        <w:t>Patrick Schmidt</w:t>
      </w:r>
    </w:p>
    <w:p>
      <w:pPr>
        <w:pStyle w:val="TextBody"/>
        <w:bidi w:val="0"/>
        <w:jc w:val="left"/>
        <w:rPr>
          <w:rFonts w:ascii="Arial" w:hAnsi="Arial"/>
          <w:color w:val="000000"/>
          <w:sz w:val="20"/>
        </w:rPr>
      </w:pPr>
      <w:r>
        <w:rPr>
          <w:rFonts w:ascii="Arial" w:hAnsi="Arial"/>
          <w:color w:val="000000"/>
          <w:sz w:val="20"/>
        </w:rPr>
        <w:t>pr@seer.bio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10"/>
        <w:gridCol w:w="211"/>
        <w:gridCol w:w="1036"/>
        <w:gridCol w:w="546"/>
        <w:gridCol w:w="546"/>
        <w:gridCol w:w="211"/>
        <w:gridCol w:w="1036"/>
        <w:gridCol w:w="546"/>
        <w:gridCol w:w="546"/>
        <w:gridCol w:w="211"/>
        <w:gridCol w:w="1036"/>
        <w:gridCol w:w="166"/>
        <w:gridCol w:w="146"/>
        <w:gridCol w:w="211"/>
        <w:gridCol w:w="1036"/>
        <w:gridCol w:w="611"/>
      </w:tblGrid>
      <w:tr>
        <w:trPr/>
        <w:tc>
          <w:tcPr>
            <w:tcW w:w="2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Class A and Class B common stockholders, </w:t>
              <w:br/>
              <w:t>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per share attributable to </w:t>
              <w:br/>
              <w:t>  Class A and Class B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58,087,565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64,576,399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58,744,490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64,581,228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SEER, INC.</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18"/>
        </w:rPr>
        <w:t>Condensed Consolidated</w:t>
      </w:r>
      <w:r>
        <w:rPr>
          <w:rFonts w:ascii="Times New Roman" w:hAnsi="Times New Roman"/>
          <w:color w:val="000000"/>
          <w:sz w:val="20"/>
        </w:rPr>
        <w:t xml:space="preserve"> </w:t>
      </w:r>
      <w:r>
        <w:rPr>
          <w:rFonts w:ascii="Times New Roman" w:hAnsi="Times New Roman"/>
          <w:b/>
          <w:color w:val="000000"/>
          <w:sz w:val="18"/>
        </w:rPr>
        <w:t>Balance Sheets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i/>
          <w:color w:val="000000"/>
          <w:sz w:val="18"/>
        </w:rPr>
      </w:pPr>
      <w:r>
        <w:rPr>
          <w:rFonts w:ascii="Times New Roman" w:hAnsi="Times New Roman"/>
          <w:b/>
          <w:i/>
          <w:color w:val="000000"/>
          <w:sz w:val="18"/>
        </w:rPr>
        <w:t>(in thousands, except share and per share amounts)</w:t>
      </w:r>
    </w:p>
    <w:p>
      <w:pPr>
        <w:pStyle w:val="TextBody"/>
        <w:bidi w:val="0"/>
        <w:jc w:val="center"/>
        <w:rPr/>
      </w:pPr>
      <w:r>
        <w:rPr/>
        <w:t> </w:t>
      </w:r>
    </w:p>
    <w:tbl>
      <w:tblPr>
        <w:tblW w:w="9537" w:type="dxa"/>
        <w:jc w:val="left"/>
        <w:tblInd w:w="0" w:type="dxa"/>
        <w:tblLayout w:type="fixed"/>
        <w:tblCellMar>
          <w:top w:w="28" w:type="dxa"/>
          <w:left w:w="28" w:type="dxa"/>
          <w:bottom w:w="28" w:type="dxa"/>
          <w:right w:w="28" w:type="dxa"/>
        </w:tblCellMar>
      </w:tblPr>
      <w:tblGrid>
        <w:gridCol w:w="6321"/>
        <w:gridCol w:w="146"/>
        <w:gridCol w:w="211"/>
        <w:gridCol w:w="841"/>
        <w:gridCol w:w="166"/>
        <w:gridCol w:w="146"/>
        <w:gridCol w:w="219"/>
        <w:gridCol w:w="876"/>
        <w:gridCol w:w="6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253,323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Commitments and contingencies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Preferred stock, $0.00001 par value; 5,000,000 shares authorized as of</w:t>
              <w:br/>
              <w:t xml:space="preserve">    June 30, 2025 and December 31, 2024; zero shares issued and </w:t>
              <w:br/>
              <w:t>    outstanding as of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Class A common stock, $0.00001 par value; 94,000,000 shares authorized</w:t>
              <w:br/>
              <w:t xml:space="preserve">    as of June 30, 2025 and December 31, 2024; 52,283,570 and </w:t>
              <w:br/>
              <w:t xml:space="preserve">    55,083,123 shares issued and outstanding as of June 30, 2025 and </w:t>
              <w:br/>
              <w:t>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Class B common stock, $0.00001 par value; 6,000,000 shares authorized</w:t>
              <w:br/>
              <w:t>   as of June 30, 2025 and December 31, 2024; 4,044,969 shares</w:t>
              <w:br/>
              <w:t>   issued and outstanding as of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719,804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(392,372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1956</Words>
  <Characters>10931</Characters>
  <CharactersWithSpaces>13162</CharactersWithSpaces>
  <Paragraphs>1028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