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Seer,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$0.00001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81578P 106</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Mark Gurevich</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Maverick Capital, Ltd.</w:t>
      </w:r>
    </w:p>
    <w:p>
      <w:pPr>
        <w:spacing w:after="0" w:line="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1900 N. Pearl Street, 20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Dallas, TX 75201</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(214) 880-4000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November 11,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3" w:lineRule="exact"/>
        <w:rPr>
          <w:sz w:val="24"/>
          <w:szCs w:val="24"/>
          <w:color w:val="auto"/>
        </w:rPr>
      </w:pPr>
    </w:p>
    <w:p>
      <w:pPr>
        <w:ind w:left="4" w:right="1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Section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640" w:right="7600" w:hanging="397"/>
        <w:spacing w:after="0" w:line="457"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MCV Management Company, LLC</w:t>
      </w:r>
    </w:p>
    <w:p>
      <w:pPr>
        <w:spacing w:after="0" w:line="1" w:lineRule="exact"/>
        <w:rPr>
          <w:rFonts w:ascii="Arial" w:cs="Arial" w:eastAsia="Arial" w:hAnsi="Arial"/>
          <w:sz w:val="16"/>
          <w:szCs w:val="16"/>
          <w:color w:val="auto"/>
        </w:rPr>
      </w:pPr>
    </w:p>
    <w:p>
      <w:pPr>
        <w:ind w:left="640" w:hanging="39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7540" w:hanging="397"/>
        <w:spacing w:after="0" w:line="402"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820" w:hanging="429"/>
        <w:spacing w:after="0"/>
        <w:tabs>
          <w:tab w:leader="none" w:pos="1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3,293,468</w:t>
            </w: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3,293,468</w:t>
      </w:r>
    </w:p>
    <w:p>
      <w:pPr>
        <w:spacing w:after="0" w:line="36" w:lineRule="exact"/>
        <w:rPr>
          <w:sz w:val="20"/>
          <w:szCs w:val="20"/>
          <w:color w:val="auto"/>
        </w:rPr>
      </w:pPr>
    </w:p>
    <w:p>
      <w:pPr>
        <w:ind w:left="740" w:right="5280" w:hanging="497"/>
        <w:spacing w:after="0" w:line="406" w:lineRule="auto"/>
        <w:tabs>
          <w:tab w:leader="none" w:pos="73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3,293,468</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right="6200" w:hanging="587"/>
        <w:spacing w:after="0" w:line="402"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5.8%</w:t>
      </w:r>
    </w:p>
    <w:p>
      <w:pPr>
        <w:spacing w:after="0" w:line="1" w:lineRule="exact"/>
        <w:rPr>
          <w:rFonts w:ascii="Arial" w:cs="Arial" w:eastAsia="Arial" w:hAnsi="Arial"/>
          <w:sz w:val="18"/>
          <w:szCs w:val="18"/>
          <w:color w:val="auto"/>
        </w:rPr>
      </w:pPr>
    </w:p>
    <w:p>
      <w:pPr>
        <w:ind w:left="740" w:right="6900" w:hanging="587"/>
        <w:spacing w:after="0" w:line="559" w:lineRule="auto"/>
        <w:tabs>
          <w:tab w:leader="none" w:pos="737"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IA, OO</w:t>
      </w:r>
    </w:p>
    <w:p>
      <w:pPr>
        <w:sectPr>
          <w:pgSz w:w="11900" w:h="16838" w:orient="portrait"/>
          <w:cols w:equalWidth="0" w:num="1">
            <w:col w:w="10800"/>
          </w:cols>
          <w:pgMar w:left="440" w:top="274" w:right="6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81578P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640" w:right="7500" w:hanging="397"/>
        <w:spacing w:after="0" w:line="457"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Names of Reporting Persons. Maverick Capital Management, LLC</w:t>
      </w:r>
    </w:p>
    <w:p>
      <w:pPr>
        <w:spacing w:after="0" w:line="1" w:lineRule="exact"/>
        <w:rPr>
          <w:rFonts w:ascii="Arial" w:cs="Arial" w:eastAsia="Arial" w:hAnsi="Arial"/>
          <w:sz w:val="16"/>
          <w:szCs w:val="16"/>
          <w:color w:val="auto"/>
        </w:rPr>
      </w:pPr>
    </w:p>
    <w:p>
      <w:pPr>
        <w:ind w:left="640" w:hanging="39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7540" w:hanging="397"/>
        <w:spacing w:after="0" w:line="402"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Texas</w:t>
      </w:r>
    </w:p>
    <w:p>
      <w:pPr>
        <w:spacing w:after="0" w:line="1" w:lineRule="exact"/>
        <w:rPr>
          <w:rFonts w:ascii="Arial" w:cs="Arial" w:eastAsia="Arial" w:hAnsi="Arial"/>
          <w:sz w:val="18"/>
          <w:szCs w:val="18"/>
          <w:color w:val="auto"/>
        </w:rPr>
      </w:pPr>
    </w:p>
    <w:p>
      <w:pPr>
        <w:ind w:left="1820" w:hanging="429"/>
        <w:spacing w:after="0"/>
        <w:tabs>
          <w:tab w:leader="none" w:pos="1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3,324,153</w:t>
            </w: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3,324,153</w:t>
      </w:r>
    </w:p>
    <w:p>
      <w:pPr>
        <w:spacing w:after="0" w:line="36" w:lineRule="exact"/>
        <w:rPr>
          <w:sz w:val="20"/>
          <w:szCs w:val="20"/>
          <w:color w:val="auto"/>
        </w:rPr>
      </w:pPr>
    </w:p>
    <w:p>
      <w:pPr>
        <w:ind w:left="740" w:right="5280" w:hanging="497"/>
        <w:spacing w:after="0" w:line="406" w:lineRule="auto"/>
        <w:tabs>
          <w:tab w:leader="none" w:pos="73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3,324,153</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right="6200" w:hanging="587"/>
        <w:spacing w:after="0" w:line="402"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5.8%</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0800"/>
          </w:cols>
          <w:pgMar w:left="4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640" w:hanging="397"/>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Maverick Ventures Investment Fund, L.P.</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7540" w:hanging="397"/>
        <w:spacing w:after="0" w:line="402"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820" w:hanging="429"/>
        <w:spacing w:after="0"/>
        <w:tabs>
          <w:tab w:leader="none" w:pos="1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413,077</w:t>
            </w: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413,077</w:t>
      </w:r>
    </w:p>
    <w:p>
      <w:pPr>
        <w:spacing w:after="0" w:line="36" w:lineRule="exact"/>
        <w:rPr>
          <w:sz w:val="20"/>
          <w:szCs w:val="20"/>
          <w:color w:val="auto"/>
        </w:rPr>
      </w:pPr>
    </w:p>
    <w:p>
      <w:pPr>
        <w:ind w:left="740" w:right="5280" w:hanging="497"/>
        <w:spacing w:after="0" w:line="406" w:lineRule="auto"/>
        <w:tabs>
          <w:tab w:leader="none" w:pos="73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413,077</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right="6200" w:hanging="587"/>
        <w:spacing w:after="0" w:line="402"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0.7%</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0800"/>
          </w:cols>
          <w:pgMar w:left="440" w:top="274" w:right="6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jc w:val="both"/>
        <w:ind w:left="640" w:right="8000" w:hanging="397"/>
        <w:spacing w:after="0" w:line="457"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Names of Reporting Persons. Maverick Advisors Fund, L.P.</w:t>
      </w:r>
    </w:p>
    <w:p>
      <w:pPr>
        <w:spacing w:after="0" w:line="1" w:lineRule="exact"/>
        <w:rPr>
          <w:rFonts w:ascii="Arial" w:cs="Arial" w:eastAsia="Arial" w:hAnsi="Arial"/>
          <w:sz w:val="16"/>
          <w:szCs w:val="16"/>
          <w:color w:val="auto"/>
        </w:rPr>
      </w:pPr>
    </w:p>
    <w:p>
      <w:pPr>
        <w:ind w:left="640" w:hanging="397"/>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7540" w:hanging="397"/>
        <w:spacing w:after="0" w:line="402"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820" w:hanging="429"/>
        <w:spacing w:after="0"/>
        <w:tabs>
          <w:tab w:leader="none" w:pos="1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1,198,050</w:t>
            </w: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1,198,050</w:t>
      </w:r>
    </w:p>
    <w:p>
      <w:pPr>
        <w:spacing w:after="0" w:line="36" w:lineRule="exact"/>
        <w:rPr>
          <w:sz w:val="20"/>
          <w:szCs w:val="20"/>
          <w:color w:val="auto"/>
        </w:rPr>
      </w:pPr>
    </w:p>
    <w:p>
      <w:pPr>
        <w:ind w:left="740" w:right="5280" w:hanging="497"/>
        <w:spacing w:after="0" w:line="406" w:lineRule="auto"/>
        <w:tabs>
          <w:tab w:leader="none" w:pos="7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1,198,050</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right="6200" w:hanging="587"/>
        <w:spacing w:after="0" w:line="402"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2.1%</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0800"/>
          </w:cols>
          <w:pgMar w:left="440" w:top="274" w:right="6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640" w:right="7800" w:hanging="397"/>
        <w:spacing w:after="0" w:line="457"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Names of Reporting Persons. Maverick Capital Ventures, LLC</w:t>
      </w:r>
    </w:p>
    <w:p>
      <w:pPr>
        <w:spacing w:after="0" w:line="1" w:lineRule="exact"/>
        <w:rPr>
          <w:rFonts w:ascii="Arial" w:cs="Arial" w:eastAsia="Arial" w:hAnsi="Arial"/>
          <w:sz w:val="16"/>
          <w:szCs w:val="16"/>
          <w:color w:val="auto"/>
        </w:rPr>
      </w:pPr>
    </w:p>
    <w:p>
      <w:pPr>
        <w:ind w:left="640" w:hanging="39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7540" w:hanging="397"/>
        <w:spacing w:after="0" w:line="402"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820" w:hanging="429"/>
        <w:spacing w:after="0"/>
        <w:tabs>
          <w:tab w:leader="none" w:pos="18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3,478,307</w:t>
            </w: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3,478,307</w:t>
      </w:r>
    </w:p>
    <w:p>
      <w:pPr>
        <w:spacing w:after="0" w:line="36" w:lineRule="exact"/>
        <w:rPr>
          <w:sz w:val="20"/>
          <w:szCs w:val="20"/>
          <w:color w:val="auto"/>
        </w:rPr>
      </w:pPr>
    </w:p>
    <w:p>
      <w:pPr>
        <w:ind w:left="740" w:right="5280" w:hanging="497"/>
        <w:spacing w:after="0" w:line="406" w:lineRule="auto"/>
        <w:tabs>
          <w:tab w:leader="none" w:pos="7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3,478,307</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right="6200" w:hanging="587"/>
        <w:spacing w:after="0" w:line="402"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6.1%</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0800"/>
          </w:cols>
          <w:pgMar w:left="440" w:top="274" w:right="6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81578P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640" w:right="7840" w:hanging="397"/>
        <w:spacing w:after="0" w:line="457"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Names of Reporting Persons. Maverick Capital Advisors, L.P.</w:t>
      </w:r>
    </w:p>
    <w:p>
      <w:pPr>
        <w:spacing w:after="0" w:line="1" w:lineRule="exact"/>
        <w:rPr>
          <w:rFonts w:ascii="Arial" w:cs="Arial" w:eastAsia="Arial" w:hAnsi="Arial"/>
          <w:sz w:val="16"/>
          <w:szCs w:val="16"/>
          <w:color w:val="auto"/>
        </w:rPr>
      </w:pPr>
    </w:p>
    <w:p>
      <w:pPr>
        <w:ind w:left="640" w:hanging="39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7540" w:hanging="397"/>
        <w:spacing w:after="0" w:line="402"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820" w:hanging="429"/>
        <w:spacing w:after="0"/>
        <w:tabs>
          <w:tab w:leader="none" w:pos="1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3,293,468</w:t>
            </w: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3,293,468</w:t>
      </w:r>
    </w:p>
    <w:p>
      <w:pPr>
        <w:spacing w:after="0" w:line="36" w:lineRule="exact"/>
        <w:rPr>
          <w:sz w:val="20"/>
          <w:szCs w:val="20"/>
          <w:color w:val="auto"/>
        </w:rPr>
      </w:pPr>
    </w:p>
    <w:p>
      <w:pPr>
        <w:ind w:left="740" w:right="5280" w:hanging="497"/>
        <w:spacing w:after="0" w:line="406" w:lineRule="auto"/>
        <w:tabs>
          <w:tab w:leader="none" w:pos="73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3,293,468</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right="6200" w:hanging="587"/>
        <w:spacing w:after="0" w:line="402"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5.8%</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0800"/>
          </w:cols>
          <w:pgMar w:left="440" w:top="274" w:right="6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81578P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640" w:right="8060" w:hanging="397"/>
        <w:spacing w:after="0" w:line="457" w:lineRule="auto"/>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Names of Reporting Persons. Maverick Capital, Ltd.</w:t>
      </w:r>
    </w:p>
    <w:p>
      <w:pPr>
        <w:spacing w:after="0" w:line="1" w:lineRule="exact"/>
        <w:rPr>
          <w:rFonts w:ascii="Arial" w:cs="Arial" w:eastAsia="Arial" w:hAnsi="Arial"/>
          <w:sz w:val="16"/>
          <w:szCs w:val="16"/>
          <w:color w:val="auto"/>
        </w:rPr>
      </w:pPr>
    </w:p>
    <w:p>
      <w:pPr>
        <w:ind w:left="640" w:hanging="39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7540" w:hanging="397"/>
        <w:spacing w:after="0" w:line="402" w:lineRule="auto"/>
        <w:tabs>
          <w:tab w:leader="none" w:pos="6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 Texas</w:t>
      </w:r>
    </w:p>
    <w:p>
      <w:pPr>
        <w:spacing w:after="0" w:line="1" w:lineRule="exact"/>
        <w:rPr>
          <w:rFonts w:ascii="Arial" w:cs="Arial" w:eastAsia="Arial" w:hAnsi="Arial"/>
          <w:sz w:val="18"/>
          <w:szCs w:val="18"/>
          <w:color w:val="auto"/>
        </w:rPr>
      </w:pPr>
    </w:p>
    <w:p>
      <w:pPr>
        <w:ind w:left="1820" w:hanging="429"/>
        <w:spacing w:after="0"/>
        <w:tabs>
          <w:tab w:leader="none" w:pos="18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30,685</w:t>
            </w: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30,685</w:t>
      </w:r>
    </w:p>
    <w:p>
      <w:pPr>
        <w:spacing w:after="0" w:line="36" w:lineRule="exact"/>
        <w:rPr>
          <w:sz w:val="20"/>
          <w:szCs w:val="20"/>
          <w:color w:val="auto"/>
        </w:rPr>
      </w:pPr>
    </w:p>
    <w:p>
      <w:pPr>
        <w:ind w:left="740" w:right="5280" w:hanging="497"/>
        <w:spacing w:after="0" w:line="406" w:lineRule="auto"/>
        <w:tabs>
          <w:tab w:leader="none" w:pos="73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30,685</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right="6200" w:hanging="587"/>
        <w:spacing w:after="0" w:line="402"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0800"/>
          </w:cols>
          <w:pgMar w:left="440" w:top="274" w:right="6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81578P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640" w:right="8060" w:hanging="397"/>
        <w:spacing w:after="0" w:line="406"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Names of Reporting Persons. Lee S. Ainslie III</w:t>
      </w:r>
    </w:p>
    <w:p>
      <w:pPr>
        <w:spacing w:after="0" w:line="1" w:lineRule="exact"/>
        <w:rPr>
          <w:rFonts w:ascii="Arial" w:cs="Arial" w:eastAsia="Arial" w:hAnsi="Arial"/>
          <w:sz w:val="18"/>
          <w:szCs w:val="18"/>
          <w:color w:val="auto"/>
        </w:rPr>
      </w:pPr>
    </w:p>
    <w:p>
      <w:pPr>
        <w:ind w:left="640" w:hanging="397"/>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7540" w:hanging="397"/>
        <w:spacing w:after="0" w:line="453"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ind w:left="1820" w:hanging="429"/>
        <w:spacing w:after="0"/>
        <w:tabs>
          <w:tab w:leader="none" w:pos="1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801,760</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3,324,153</w:t>
            </w: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801,760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3,324,153</w:t>
      </w:r>
    </w:p>
    <w:p>
      <w:pPr>
        <w:spacing w:after="0" w:line="36" w:lineRule="exact"/>
        <w:rPr>
          <w:sz w:val="20"/>
          <w:szCs w:val="20"/>
          <w:color w:val="auto"/>
        </w:rPr>
      </w:pPr>
    </w:p>
    <w:p>
      <w:pPr>
        <w:ind w:left="740" w:right="5280" w:hanging="497"/>
        <w:spacing w:after="0" w:line="406" w:lineRule="auto"/>
        <w:tabs>
          <w:tab w:leader="none" w:pos="73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4,125,913</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right="6200" w:hanging="587"/>
        <w:spacing w:after="0" w:line="402"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7.2%</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IN</w:t>
      </w:r>
    </w:p>
    <w:p>
      <w:pPr>
        <w:sectPr>
          <w:pgSz w:w="11900" w:h="16838" w:orient="portrait"/>
          <w:cols w:equalWidth="0" w:num="1">
            <w:col w:w="10800"/>
          </w:cols>
          <w:pgMar w:left="440" w:top="274" w:right="6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81578P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640" w:right="8060" w:hanging="397"/>
        <w:spacing w:after="0" w:line="406"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Names of Reporting Persons. David B. Singer</w:t>
      </w:r>
    </w:p>
    <w:p>
      <w:pPr>
        <w:spacing w:after="0" w:line="1" w:lineRule="exact"/>
        <w:rPr>
          <w:rFonts w:ascii="Arial" w:cs="Arial" w:eastAsia="Arial" w:hAnsi="Arial"/>
          <w:sz w:val="18"/>
          <w:szCs w:val="18"/>
          <w:color w:val="auto"/>
        </w:rPr>
      </w:pPr>
    </w:p>
    <w:p>
      <w:pPr>
        <w:ind w:left="640" w:hanging="397"/>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7540" w:hanging="397"/>
        <w:spacing w:after="0" w:line="453" w:lineRule="auto"/>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ind w:left="1820" w:hanging="429"/>
        <w:spacing w:after="0"/>
        <w:tabs>
          <w:tab w:leader="none" w:pos="1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234,192</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3,293,468</w:t>
            </w: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234,192</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3,293,468</w:t>
      </w:r>
    </w:p>
    <w:p>
      <w:pPr>
        <w:spacing w:after="0" w:line="36" w:lineRule="exact"/>
        <w:rPr>
          <w:sz w:val="20"/>
          <w:szCs w:val="20"/>
          <w:color w:val="auto"/>
        </w:rPr>
      </w:pPr>
    </w:p>
    <w:p>
      <w:pPr>
        <w:ind w:left="740" w:right="5280" w:hanging="497"/>
        <w:spacing w:after="0" w:line="406" w:lineRule="auto"/>
        <w:tabs>
          <w:tab w:leader="none" w:pos="73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3,527,660</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right="6200" w:hanging="587"/>
        <w:spacing w:after="0" w:line="402"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6.2%</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IN</w:t>
      </w:r>
    </w:p>
    <w:p>
      <w:pPr>
        <w:sectPr>
          <w:pgSz w:w="11900" w:h="16838" w:orient="portrait"/>
          <w:cols w:equalWidth="0" w:num="1">
            <w:col w:w="10800"/>
          </w:cols>
          <w:pgMar w:left="440" w:top="274" w:right="6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620" w:right="8060" w:hanging="377"/>
        <w:spacing w:after="0" w:line="457" w:lineRule="auto"/>
        <w:tabs>
          <w:tab w:leader="none" w:pos="63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Names of Reporting Persons. Andrew H. Warford</w:t>
      </w:r>
    </w:p>
    <w:p>
      <w:pPr>
        <w:spacing w:after="0" w:line="1" w:lineRule="exact"/>
        <w:rPr>
          <w:rFonts w:ascii="Arial" w:cs="Arial" w:eastAsia="Arial" w:hAnsi="Arial"/>
          <w:sz w:val="16"/>
          <w:szCs w:val="16"/>
          <w:color w:val="auto"/>
        </w:rPr>
      </w:pPr>
    </w:p>
    <w:p>
      <w:pPr>
        <w:ind w:left="640" w:hanging="397"/>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7540" w:hanging="397"/>
        <w:spacing w:after="0" w:line="453" w:lineRule="auto"/>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ind w:left="1820" w:hanging="429"/>
        <w:spacing w:after="0"/>
        <w:tabs>
          <w:tab w:leader="none" w:pos="1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61,692</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30,685</w:t>
            </w: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61,692</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30,685</w:t>
      </w:r>
    </w:p>
    <w:p>
      <w:pPr>
        <w:spacing w:after="0" w:line="36" w:lineRule="exact"/>
        <w:rPr>
          <w:sz w:val="20"/>
          <w:szCs w:val="20"/>
          <w:color w:val="auto"/>
        </w:rPr>
      </w:pPr>
    </w:p>
    <w:p>
      <w:pPr>
        <w:ind w:left="740" w:right="5280" w:hanging="497"/>
        <w:spacing w:after="0" w:line="406" w:lineRule="auto"/>
        <w:tabs>
          <w:tab w:leader="none" w:pos="73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92,377</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right="6200" w:hanging="587"/>
        <w:spacing w:after="0" w:line="402"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0.2%</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IN</w:t>
      </w:r>
    </w:p>
    <w:p>
      <w:pPr>
        <w:sectPr>
          <w:pgSz w:w="11900" w:h="16838" w:orient="portrait"/>
          <w:cols w:equalWidth="0" w:num="1">
            <w:col w:w="10800"/>
          </w:cols>
          <w:pgMar w:left="440" w:top="274" w:right="6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640" w:hanging="397"/>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Maverick Ventures Liquidity Fund I, LP</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858000" cy="6111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00" cy="6111875"/>
                    </a:xfrm>
                    <a:prstGeom prst="rect">
                      <a:avLst/>
                    </a:prstGeom>
                    <a:noFill/>
                  </pic:spPr>
                </pic:pic>
              </a:graphicData>
            </a:graphic>
          </wp:anchor>
        </w:drawing>
      </w:r>
    </w:p>
    <w:p>
      <w:pPr>
        <w:ind w:left="64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40" w:hanging="397"/>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40" w:hanging="397"/>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40" w:hanging="397"/>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40" w:right="7540" w:hanging="397"/>
        <w:spacing w:after="0" w:line="402"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820" w:hanging="429"/>
        <w:spacing w:after="0"/>
        <w:tabs>
          <w:tab w:leader="none" w:pos="1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1,682,341</w:t>
            </w:r>
          </w:p>
        </w:tc>
        <w:tc>
          <w:tcPr>
            <w:tcW w:w="0" w:type="dxa"/>
            <w:vAlign w:val="bottom"/>
          </w:tcPr>
          <w:p>
            <w:pPr>
              <w:spacing w:after="0"/>
              <w:rPr>
                <w:sz w:val="1"/>
                <w:szCs w:val="1"/>
                <w:color w:val="auto"/>
              </w:rPr>
            </w:pPr>
          </w:p>
        </w:tc>
      </w:tr>
      <w:tr>
        <w:trPr>
          <w:trHeight w:val="230"/>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4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6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1,682,341</w:t>
      </w:r>
    </w:p>
    <w:p>
      <w:pPr>
        <w:spacing w:after="0" w:line="36" w:lineRule="exact"/>
        <w:rPr>
          <w:sz w:val="20"/>
          <w:szCs w:val="20"/>
          <w:color w:val="auto"/>
        </w:rPr>
      </w:pPr>
    </w:p>
    <w:p>
      <w:pPr>
        <w:ind w:left="740" w:right="5280" w:hanging="497"/>
        <w:spacing w:after="0" w:line="406" w:lineRule="auto"/>
        <w:tabs>
          <w:tab w:leader="none" w:pos="73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1,682,341</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right="6200" w:hanging="587"/>
        <w:spacing w:after="0" w:line="402"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2.9%</w:t>
      </w:r>
    </w:p>
    <w:p>
      <w:pPr>
        <w:spacing w:after="0" w:line="1" w:lineRule="exact"/>
        <w:rPr>
          <w:rFonts w:ascii="Arial" w:cs="Arial" w:eastAsia="Arial" w:hAnsi="Arial"/>
          <w:sz w:val="18"/>
          <w:szCs w:val="18"/>
          <w:color w:val="auto"/>
        </w:rPr>
      </w:pPr>
    </w:p>
    <w:p>
      <w:pPr>
        <w:ind w:left="740" w:hanging="587"/>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0800"/>
          </w:cols>
          <w:pgMar w:left="440" w:top="274" w:right="659" w:bottom="1440" w:gutter="0" w:footer="0" w:header="0"/>
        </w:sectPr>
      </w:pPr>
    </w:p>
    <w:bookmarkStart w:id="12" w:name="page13"/>
    <w:bookmarkEnd w:id="1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5 of the Schedule 13D is amended and supplemented as follows:</w:t>
      </w:r>
    </w:p>
    <w:p>
      <w:pPr>
        <w:spacing w:after="0" w:line="131" w:lineRule="exact"/>
        <w:rPr>
          <w:sz w:val="20"/>
          <w:szCs w:val="20"/>
          <w:color w:val="auto"/>
        </w:rPr>
      </w:pPr>
    </w:p>
    <w:p>
      <w:pPr>
        <w:ind w:left="960" w:right="80" w:hanging="532"/>
        <w:spacing w:after="0" w:line="308" w:lineRule="auto"/>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set forth in rows 11 and 13 of the cover pages to this Schedule 13D is incorporated by reference. The percentage set forth in row 13 is based on 57,022,436 outstanding shares of Class A common stock as reported by the Issuer.</w:t>
      </w:r>
    </w:p>
    <w:p>
      <w:pPr>
        <w:spacing w:after="0" w:line="51" w:lineRule="exact"/>
        <w:rPr>
          <w:rFonts w:ascii="Arial" w:cs="Arial" w:eastAsia="Arial" w:hAnsi="Arial"/>
          <w:sz w:val="17"/>
          <w:szCs w:val="17"/>
          <w:color w:val="auto"/>
        </w:rPr>
      </w:pPr>
    </w:p>
    <w:p>
      <w:pPr>
        <w:ind w:left="960" w:hanging="53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set forth in rows 7 through 10 of the cover pages to this Schedule 13D is incorporated by reference.</w:t>
      </w:r>
    </w:p>
    <w:p>
      <w:pPr>
        <w:spacing w:after="0" w:line="117" w:lineRule="exact"/>
        <w:rPr>
          <w:rFonts w:ascii="Arial" w:cs="Arial" w:eastAsia="Arial" w:hAnsi="Arial"/>
          <w:sz w:val="18"/>
          <w:szCs w:val="18"/>
          <w:color w:val="auto"/>
        </w:rPr>
      </w:pPr>
    </w:p>
    <w:p>
      <w:pPr>
        <w:ind w:left="980" w:right="20"/>
        <w:spacing w:after="0" w:line="271" w:lineRule="auto"/>
        <w:rPr>
          <w:rFonts w:ascii="Arial" w:cs="Arial" w:eastAsia="Arial" w:hAnsi="Arial"/>
          <w:sz w:val="18"/>
          <w:szCs w:val="18"/>
          <w:color w:val="auto"/>
        </w:rPr>
      </w:pPr>
      <w:r>
        <w:rPr>
          <w:rFonts w:ascii="Arial" w:cs="Arial" w:eastAsia="Arial" w:hAnsi="Arial"/>
          <w:sz w:val="17"/>
          <w:szCs w:val="17"/>
          <w:color w:val="auto"/>
        </w:rPr>
        <w:t>The shares of Class A common stock reported on this Schedule 13D include (i) 381,930 shares of Class A common stock and 31,147 shares of Class B common stock held of record by Maverick Ventures Investment Fund, L.P., (ii) 1,136,261 shares of Class A common stock and 61,789 shares of Class B common stock held of record by Maverick Advisors Fund, L.P., (iii) 30,685 shares of Class A common stock held by funds managed by Maverick Capital, Ltd., and (iv) 1,611,727 shares of Class A common stock and 70,614 shares of Class B common stock held of record by Maverick Ventures Liquidity Fund I, LP. Each share of Class B common stock is convertible at any time into shares of Class A common stock at the option of the holder. The percentages reported on the cover pages of this Schedule 13D are based on 57,022,436 outstanding shares of Class A common stock as reported by the Issuer plus the Class B shares held by each reporting person on an as-converted basis.</w:t>
      </w:r>
    </w:p>
    <w:p>
      <w:pPr>
        <w:spacing w:after="0" w:line="70" w:lineRule="exact"/>
        <w:rPr>
          <w:rFonts w:ascii="Arial" w:cs="Arial" w:eastAsia="Arial" w:hAnsi="Arial"/>
          <w:sz w:val="18"/>
          <w:szCs w:val="18"/>
          <w:color w:val="auto"/>
        </w:rPr>
      </w:pPr>
    </w:p>
    <w:p>
      <w:pPr>
        <w:ind w:left="980" w:right="460"/>
        <w:spacing w:after="0" w:line="277" w:lineRule="auto"/>
        <w:rPr>
          <w:rFonts w:ascii="Arial" w:cs="Arial" w:eastAsia="Arial" w:hAnsi="Arial"/>
          <w:sz w:val="18"/>
          <w:szCs w:val="18"/>
          <w:color w:val="auto"/>
        </w:rPr>
      </w:pPr>
      <w:r>
        <w:rPr>
          <w:rFonts w:ascii="Arial" w:cs="Arial" w:eastAsia="Arial" w:hAnsi="Arial"/>
          <w:sz w:val="18"/>
          <w:szCs w:val="18"/>
          <w:color w:val="auto"/>
        </w:rPr>
        <w:t>Maverick Capital Ventures, LLC is the general partner of Maverick Ventures Fund, Maverick Advisors Fund and Maverick Ventures Liquidity Fund I, LP. Mr. Ainslie and Mr. Singer are the Managing Partners of Maverick Ventures.</w:t>
      </w:r>
    </w:p>
    <w:p>
      <w:pPr>
        <w:spacing w:after="0" w:line="62" w:lineRule="exact"/>
        <w:rPr>
          <w:rFonts w:ascii="Arial" w:cs="Arial" w:eastAsia="Arial" w:hAnsi="Arial"/>
          <w:sz w:val="18"/>
          <w:szCs w:val="18"/>
          <w:color w:val="auto"/>
        </w:rPr>
      </w:pPr>
    </w:p>
    <w:p>
      <w:pPr>
        <w:ind w:left="980"/>
        <w:spacing w:after="0" w:line="259" w:lineRule="auto"/>
        <w:rPr>
          <w:rFonts w:ascii="Arial" w:cs="Arial" w:eastAsia="Arial" w:hAnsi="Arial"/>
          <w:sz w:val="18"/>
          <w:szCs w:val="18"/>
          <w:color w:val="auto"/>
        </w:rPr>
      </w:pPr>
      <w:r>
        <w:rPr>
          <w:rFonts w:ascii="Arial" w:cs="Arial" w:eastAsia="Arial" w:hAnsi="Arial"/>
          <w:sz w:val="18"/>
          <w:szCs w:val="18"/>
          <w:color w:val="auto"/>
        </w:rPr>
        <w:t>MCV is the investment manager of Maverick Ventures Fund, Maverick Ventures Investment Fund, L.P. and Maverick Advisors Fund. Maverick Capital Management is the general partner of Maverick Capital Advisors (the controlling member of Maverick Capital Ventures, LLC) and Maverick Capital (the controlling member of MCV). Mr. Ainslie is the manager of Maverick Capital Management. Mr. Warford is a partner of Maverick Capital.</w:t>
      </w:r>
    </w:p>
    <w:p>
      <w:pPr>
        <w:spacing w:after="0" w:line="92" w:lineRule="exact"/>
        <w:rPr>
          <w:rFonts w:ascii="Arial" w:cs="Arial" w:eastAsia="Arial" w:hAnsi="Arial"/>
          <w:sz w:val="18"/>
          <w:szCs w:val="18"/>
          <w:color w:val="auto"/>
        </w:rPr>
      </w:pPr>
    </w:p>
    <w:p>
      <w:pPr>
        <w:ind w:left="960" w:right="360" w:hanging="532"/>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Schedule A to this Amendment sets forth all transactions with respect to the shares of Class A Common Stock effected during the past sixty days by any Reporting Person.</w:t>
      </w:r>
    </w:p>
    <w:p>
      <w:pPr>
        <w:spacing w:after="0" w:line="75"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shares of Common Stock subject to this Schedule 13D.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0980"/>
          </w:cols>
          <w:pgMar w:left="440" w:top="270" w:right="479" w:bottom="1440" w:gutter="0" w:footer="0" w:header="0"/>
        </w:sectPr>
      </w:pPr>
    </w:p>
    <w:bookmarkStart w:id="13" w:name="page14"/>
    <w:bookmarkEnd w:id="13"/>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MCV MANAGEMENT COMPANY,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Lee S. Ainslie III, Manager</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Gurevich</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Under Power of Attorney dated March 15,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MAVERICK CAPITAL MANAGEMENT,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Lee S. Ainslie III, Manager</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Gurevich</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Under Power of Attorney dated March 15,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MAVERICK VENTURES INVESTMENT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Pr>
          <w:p>
            <w:pPr>
              <w:spacing w:after="0"/>
              <w:rPr>
                <w:sz w:val="20"/>
                <w:szCs w:val="20"/>
                <w:color w:val="auto"/>
              </w:rPr>
            </w:pPr>
            <w:r>
              <w:rPr>
                <w:rFonts w:ascii="Arial" w:cs="Arial" w:eastAsia="Arial" w:hAnsi="Arial"/>
                <w:sz w:val="18"/>
                <w:szCs w:val="18"/>
                <w:color w:val="auto"/>
                <w:w w:val="94"/>
              </w:rPr>
              <w:t>Maverick Capital Ventures, LLC,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Pr>
          <w:p>
            <w:pPr>
              <w:spacing w:after="0"/>
              <w:rPr>
                <w:sz w:val="20"/>
                <w:szCs w:val="20"/>
                <w:color w:val="auto"/>
              </w:rPr>
            </w:pPr>
            <w:r>
              <w:rPr>
                <w:rFonts w:ascii="Arial" w:cs="Arial" w:eastAsia="Arial" w:hAnsi="Arial"/>
                <w:sz w:val="18"/>
                <w:szCs w:val="18"/>
                <w:color w:val="auto"/>
              </w:rPr>
              <w:t>Lee S. Ainslie III, Manager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Gurevich</w:t>
            </w:r>
          </w:p>
        </w:tc>
      </w:tr>
      <w:tr>
        <w:trPr>
          <w:trHeight w:val="209"/>
        </w:trPr>
        <w:tc>
          <w:tcPr>
            <w:tcW w:w="54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Mark Gurevich</w:t>
            </w:r>
          </w:p>
        </w:tc>
      </w:tr>
      <w:tr>
        <w:trPr>
          <w:trHeight w:val="230"/>
        </w:trPr>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Under Power of Attorney dated March 15,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MAVERICK ADVISORS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Pr>
          <w:p>
            <w:pPr>
              <w:spacing w:after="0"/>
              <w:rPr>
                <w:sz w:val="20"/>
                <w:szCs w:val="20"/>
                <w:color w:val="auto"/>
              </w:rPr>
            </w:pPr>
            <w:r>
              <w:rPr>
                <w:rFonts w:ascii="Arial" w:cs="Arial" w:eastAsia="Arial" w:hAnsi="Arial"/>
                <w:sz w:val="18"/>
                <w:szCs w:val="18"/>
                <w:color w:val="auto"/>
                <w:w w:val="94"/>
              </w:rPr>
              <w:t>Maverick Capital Ventures, LLC, its 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Pr>
          <w:p>
            <w:pPr>
              <w:spacing w:after="0"/>
              <w:rPr>
                <w:sz w:val="20"/>
                <w:szCs w:val="20"/>
                <w:color w:val="auto"/>
              </w:rPr>
            </w:pPr>
            <w:r>
              <w:rPr>
                <w:rFonts w:ascii="Arial" w:cs="Arial" w:eastAsia="Arial" w:hAnsi="Arial"/>
                <w:sz w:val="18"/>
                <w:szCs w:val="18"/>
                <w:color w:val="auto"/>
              </w:rPr>
              <w:t>Lee S. Ainslie III, Manager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Gurevich</w:t>
            </w:r>
          </w:p>
        </w:tc>
      </w:tr>
      <w:tr>
        <w:trPr>
          <w:trHeight w:val="209"/>
        </w:trPr>
        <w:tc>
          <w:tcPr>
            <w:tcW w:w="54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Mark Gurevich</w:t>
            </w:r>
          </w:p>
        </w:tc>
      </w:tr>
      <w:tr>
        <w:trPr>
          <w:trHeight w:val="230"/>
        </w:trPr>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Under Power of Attorney dated March 15,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MAVERICK CAPITAL VENTURES,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Lee S. Ainslie III, Manager</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Gurevich</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Under Power of Attorney dated March 15,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MAVERICK CAPITAL ADVISORS, L.P.</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Gurevich</w:t>
      </w:r>
    </w:p>
    <w:p>
      <w:pPr>
        <w:sectPr>
          <w:pgSz w:w="11900" w:h="16838" w:orient="portrait"/>
          <w:cols w:equalWidth="0" w:num="1">
            <w:col w:w="10320"/>
          </w:cols>
          <w:pgMar w:left="440" w:top="270" w:right="11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MAVERICK CAPITAL,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Mark Gurevich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LEE S. AINSLE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Mark Gurevich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Power of Attorney dated March 15,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DAVID B. SINGER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Mark Gurevich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Power of Attorney dated January 7,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ANDREW H. WARFORD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Mark Gurevich</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Power of Attorney dated March 16, 2018</w:t>
      </w:r>
    </w:p>
    <w:p>
      <w:pPr>
        <w:sectPr>
          <w:pgSz w:w="11900" w:h="16838" w:orient="portrait"/>
          <w:cols w:equalWidth="0" w:num="1">
            <w:col w:w="10019"/>
          </w:cols>
          <w:pgMar w:left="440" w:top="274" w:right="1440" w:bottom="1440" w:gutter="0" w:footer="0" w:header="0"/>
        </w:sectPr>
      </w:pPr>
    </w:p>
    <w:bookmarkStart w:id="15" w:name="page16"/>
    <w:bookmarkEnd w:id="1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ind w:left="4" w:right="300"/>
        <w:spacing w:after="0" w:line="342" w:lineRule="auto"/>
        <w:rPr>
          <w:sz w:val="20"/>
          <w:szCs w:val="20"/>
          <w:color w:val="auto"/>
        </w:rPr>
      </w:pPr>
      <w:r>
        <w:rPr>
          <w:rFonts w:ascii="Arial" w:cs="Arial" w:eastAsia="Arial" w:hAnsi="Arial"/>
          <w:sz w:val="16"/>
          <w:szCs w:val="16"/>
          <w:color w:val="auto"/>
        </w:rPr>
        <w:t>The following table sets forth all transactions in the shares of Common Stock effected in the past sixty days not previously reported by the Reporting Persons. Certain shares were purchased in multiple transactions at prices between the price range, as indicated in the footnote below.</w:t>
      </w:r>
    </w:p>
    <w:p>
      <w:pPr>
        <w:spacing w:after="0" w:line="13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color w:val="auto"/>
                <w:w w:val="93"/>
              </w:rPr>
              <w:t>Number of Shares</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 w:type="dxa"/>
            <w:vAlign w:val="bottom"/>
            <w:vMerge w:val="restart"/>
          </w:tcPr>
          <w:p>
            <w:pPr>
              <w:spacing w:after="0"/>
              <w:rPr>
                <w:sz w:val="20"/>
                <w:szCs w:val="20"/>
                <w:color w:val="auto"/>
              </w:rPr>
            </w:pPr>
            <w:r>
              <w:rPr>
                <w:rFonts w:ascii="Arial" w:cs="Arial" w:eastAsia="Arial" w:hAnsi="Arial"/>
                <w:sz w:val="14"/>
                <w:szCs w:val="14"/>
                <w:color w:val="auto"/>
                <w:w w:val="85"/>
              </w:rPr>
              <w:t>Name</w:t>
            </w:r>
          </w:p>
        </w:tc>
        <w:tc>
          <w:tcPr>
            <w:tcW w:w="3940" w:type="dxa"/>
            <w:vAlign w:val="bottom"/>
            <w:vMerge w:val="restart"/>
          </w:tcPr>
          <w:p>
            <w:pPr>
              <w:spacing w:after="0"/>
              <w:rPr>
                <w:sz w:val="12"/>
                <w:szCs w:val="12"/>
                <w:color w:val="auto"/>
              </w:rPr>
            </w:pPr>
          </w:p>
        </w:tc>
        <w:tc>
          <w:tcPr>
            <w:tcW w:w="1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8"/>
              </w:rPr>
              <w:t>Acquired /</w:t>
            </w: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0" w:type="dxa"/>
            <w:vAlign w:val="bottom"/>
            <w:tcBorders>
              <w:bottom w:val="single" w:sz="8" w:color="auto"/>
            </w:tcBorders>
            <w:vMerge w:val="continue"/>
          </w:tcPr>
          <w:p>
            <w:pPr>
              <w:spacing w:after="0"/>
              <w:rPr>
                <w:sz w:val="13"/>
                <w:szCs w:val="13"/>
                <w:color w:val="auto"/>
              </w:rPr>
            </w:pPr>
          </w:p>
        </w:tc>
        <w:tc>
          <w:tcPr>
            <w:tcW w:w="394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1500" w:type="dxa"/>
            <w:vAlign w:val="bottom"/>
            <w:gridSpan w:val="2"/>
          </w:tcPr>
          <w:p>
            <w:pPr>
              <w:spacing w:after="0" w:line="154" w:lineRule="exact"/>
              <w:rPr>
                <w:sz w:val="20"/>
                <w:szCs w:val="20"/>
                <w:color w:val="auto"/>
              </w:rPr>
            </w:pPr>
            <w:r>
              <w:rPr>
                <w:rFonts w:ascii="Arial" w:cs="Arial" w:eastAsia="Arial" w:hAnsi="Arial"/>
                <w:sz w:val="14"/>
                <w:szCs w:val="14"/>
                <w:color w:val="auto"/>
              </w:rPr>
              <w:t>Date of Transaction</w:t>
            </w:r>
          </w:p>
        </w:tc>
        <w:tc>
          <w:tcPr>
            <w:tcW w:w="1520" w:type="dxa"/>
            <w:vAlign w:val="bottom"/>
            <w:gridSpan w:val="2"/>
          </w:tcPr>
          <w:p>
            <w:pPr>
              <w:jc w:val="center"/>
              <w:ind w:right="460"/>
              <w:spacing w:after="0" w:line="154" w:lineRule="exact"/>
              <w:rPr>
                <w:sz w:val="20"/>
                <w:szCs w:val="20"/>
                <w:color w:val="auto"/>
              </w:rPr>
            </w:pPr>
            <w:r>
              <w:rPr>
                <w:rFonts w:ascii="Arial" w:cs="Arial" w:eastAsia="Arial" w:hAnsi="Arial"/>
                <w:sz w:val="14"/>
                <w:szCs w:val="14"/>
                <w:color w:val="auto"/>
                <w:w w:val="91"/>
              </w:rPr>
              <w:t>(Disposed)</w:t>
            </w:r>
          </w:p>
        </w:tc>
        <w:tc>
          <w:tcPr>
            <w:tcW w:w="880" w:type="dxa"/>
            <w:vAlign w:val="bottom"/>
          </w:tcPr>
          <w:p>
            <w:pPr>
              <w:ind w:left="120"/>
              <w:spacing w:after="0" w:line="154" w:lineRule="exact"/>
              <w:rPr>
                <w:sz w:val="20"/>
                <w:szCs w:val="20"/>
                <w:color w:val="auto"/>
              </w:rPr>
            </w:pPr>
            <w:r>
              <w:rPr>
                <w:rFonts w:ascii="Arial" w:cs="Arial" w:eastAsia="Arial" w:hAnsi="Arial"/>
                <w:sz w:val="14"/>
                <w:szCs w:val="14"/>
                <w:color w:val="auto"/>
              </w:rPr>
              <w:t>Transaction</w:t>
            </w:r>
          </w:p>
        </w:tc>
        <w:tc>
          <w:tcPr>
            <w:tcW w:w="380" w:type="dxa"/>
            <w:vAlign w:val="bottom"/>
          </w:tcPr>
          <w:p>
            <w:pPr>
              <w:spacing w:after="0"/>
              <w:rPr>
                <w:sz w:val="13"/>
                <w:szCs w:val="13"/>
                <w:color w:val="auto"/>
              </w:rPr>
            </w:pPr>
          </w:p>
        </w:tc>
        <w:tc>
          <w:tcPr>
            <w:tcW w:w="1160" w:type="dxa"/>
            <w:vAlign w:val="bottom"/>
            <w:gridSpan w:val="3"/>
          </w:tcPr>
          <w:p>
            <w:pPr>
              <w:spacing w:after="0" w:line="154" w:lineRule="exact"/>
              <w:rPr>
                <w:sz w:val="20"/>
                <w:szCs w:val="20"/>
                <w:color w:val="auto"/>
              </w:rPr>
            </w:pPr>
            <w:r>
              <w:rPr>
                <w:rFonts w:ascii="Arial" w:cs="Arial" w:eastAsia="Arial" w:hAnsi="Arial"/>
                <w:sz w:val="14"/>
                <w:szCs w:val="14"/>
                <w:color w:val="auto"/>
              </w:rPr>
              <w:t>Price Per Share</w:t>
            </w:r>
          </w:p>
        </w:tc>
        <w:tc>
          <w:tcPr>
            <w:tcW w:w="0" w:type="dxa"/>
            <w:vAlign w:val="bottom"/>
          </w:tcPr>
          <w:p>
            <w:pPr>
              <w:spacing w:after="0"/>
              <w:rPr>
                <w:sz w:val="1"/>
                <w:szCs w:val="1"/>
                <w:color w:val="auto"/>
              </w:rPr>
            </w:pPr>
          </w:p>
        </w:tc>
      </w:tr>
      <w:tr>
        <w:trPr>
          <w:trHeight w:val="20"/>
        </w:trPr>
        <w:tc>
          <w:tcPr>
            <w:tcW w:w="4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Maverick Capital Ventures, LLC</w:t>
            </w:r>
          </w:p>
        </w:tc>
        <w:tc>
          <w:tcPr>
            <w:tcW w:w="13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gridSpan w:val="2"/>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140" w:type="dxa"/>
            <w:vAlign w:val="bottom"/>
            <w:shd w:val="clear" w:color="auto" w:fill="CCEEFF"/>
          </w:tcPr>
          <w:p>
            <w:pPr>
              <w:jc w:val="right"/>
              <w:ind w:right="439"/>
              <w:spacing w:after="0" w:line="203" w:lineRule="exact"/>
              <w:rPr>
                <w:sz w:val="20"/>
                <w:szCs w:val="20"/>
                <w:color w:val="auto"/>
              </w:rPr>
            </w:pPr>
            <w:r>
              <w:rPr>
                <w:rFonts w:ascii="Arial" w:cs="Arial" w:eastAsia="Arial" w:hAnsi="Arial"/>
                <w:sz w:val="18"/>
                <w:szCs w:val="18"/>
                <w:color w:val="auto"/>
                <w:w w:val="85"/>
              </w:rPr>
              <w:t>11/11/21</w:t>
            </w:r>
          </w:p>
        </w:tc>
        <w:tc>
          <w:tcPr>
            <w:tcW w:w="360" w:type="dxa"/>
            <w:vAlign w:val="bottom"/>
            <w:vMerge w:val="continue"/>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184,839</w:t>
            </w:r>
          </w:p>
        </w:tc>
        <w:tc>
          <w:tcPr>
            <w:tcW w:w="46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5"/>
              </w:rPr>
              <w:t>Distribution</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Lee S. Ainslie III</w:t>
            </w:r>
          </w:p>
        </w:tc>
        <w:tc>
          <w:tcPr>
            <w:tcW w:w="2440" w:type="dxa"/>
            <w:vAlign w:val="bottom"/>
            <w:gridSpan w:val="2"/>
          </w:tcPr>
          <w:p>
            <w:pPr>
              <w:jc w:val="right"/>
              <w:ind w:right="439"/>
              <w:spacing w:after="0"/>
              <w:rPr>
                <w:sz w:val="20"/>
                <w:szCs w:val="20"/>
                <w:color w:val="auto"/>
              </w:rPr>
            </w:pPr>
            <w:r>
              <w:rPr>
                <w:rFonts w:ascii="Arial" w:cs="Arial" w:eastAsia="Arial" w:hAnsi="Arial"/>
                <w:sz w:val="18"/>
                <w:szCs w:val="18"/>
                <w:color w:val="auto"/>
              </w:rPr>
              <w:t>11/11/21</w:t>
            </w:r>
          </w:p>
        </w:tc>
        <w:tc>
          <w:tcPr>
            <w:tcW w:w="36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801,760</w:t>
            </w:r>
          </w:p>
        </w:tc>
        <w:tc>
          <w:tcPr>
            <w:tcW w:w="880" w:type="dxa"/>
            <w:vAlign w:val="bottom"/>
          </w:tcPr>
          <w:p>
            <w:pPr>
              <w:spacing w:after="0"/>
              <w:rPr>
                <w:sz w:val="20"/>
                <w:szCs w:val="20"/>
                <w:color w:val="auto"/>
              </w:rPr>
            </w:pPr>
            <w:r>
              <w:rPr>
                <w:rFonts w:ascii="Arial" w:cs="Arial" w:eastAsia="Arial" w:hAnsi="Arial"/>
                <w:sz w:val="18"/>
                <w:szCs w:val="18"/>
                <w:color w:val="auto"/>
                <w:w w:val="95"/>
              </w:rPr>
              <w:t>Distribution</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Singer</w:t>
            </w:r>
          </w:p>
        </w:tc>
        <w:tc>
          <w:tcPr>
            <w:tcW w:w="244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11/11/21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234,192</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95"/>
              </w:rPr>
              <w:t>Distribution</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Andrew H. Warford</w:t>
            </w:r>
          </w:p>
        </w:tc>
        <w:tc>
          <w:tcPr>
            <w:tcW w:w="2440" w:type="dxa"/>
            <w:vAlign w:val="bottom"/>
            <w:gridSpan w:val="2"/>
          </w:tcPr>
          <w:p>
            <w:pPr>
              <w:jc w:val="right"/>
              <w:ind w:right="439"/>
              <w:spacing w:after="0"/>
              <w:rPr>
                <w:sz w:val="20"/>
                <w:szCs w:val="20"/>
                <w:color w:val="auto"/>
              </w:rPr>
            </w:pPr>
            <w:r>
              <w:rPr>
                <w:rFonts w:ascii="Arial" w:cs="Arial" w:eastAsia="Arial" w:hAnsi="Arial"/>
                <w:sz w:val="18"/>
                <w:szCs w:val="18"/>
                <w:color w:val="auto"/>
              </w:rPr>
              <w:t>11/11/21</w:t>
            </w:r>
          </w:p>
        </w:tc>
        <w:tc>
          <w:tcPr>
            <w:tcW w:w="36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61,692</w:t>
            </w:r>
          </w:p>
        </w:tc>
        <w:tc>
          <w:tcPr>
            <w:tcW w:w="880" w:type="dxa"/>
            <w:vAlign w:val="bottom"/>
          </w:tcPr>
          <w:p>
            <w:pPr>
              <w:spacing w:after="0"/>
              <w:rPr>
                <w:sz w:val="20"/>
                <w:szCs w:val="20"/>
                <w:color w:val="auto"/>
              </w:rPr>
            </w:pPr>
            <w:r>
              <w:rPr>
                <w:rFonts w:ascii="Arial" w:cs="Arial" w:eastAsia="Arial" w:hAnsi="Arial"/>
                <w:sz w:val="18"/>
                <w:szCs w:val="18"/>
                <w:color w:val="auto"/>
                <w:w w:val="95"/>
              </w:rPr>
              <w:t>Distribution</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Maverick Ventures Investment Fund, L.P.</w:t>
            </w:r>
          </w:p>
        </w:tc>
        <w:tc>
          <w:tcPr>
            <w:tcW w:w="244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11/11/21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(275,376)</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95"/>
              </w:rPr>
              <w:t>Distribution</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Maverick Advisors Fund, L.P.</w:t>
            </w:r>
          </w:p>
        </w:tc>
        <w:tc>
          <w:tcPr>
            <w:tcW w:w="2440" w:type="dxa"/>
            <w:vAlign w:val="bottom"/>
            <w:gridSpan w:val="2"/>
          </w:tcPr>
          <w:p>
            <w:pPr>
              <w:jc w:val="right"/>
              <w:ind w:right="439"/>
              <w:spacing w:after="0"/>
              <w:rPr>
                <w:sz w:val="20"/>
                <w:szCs w:val="20"/>
                <w:color w:val="auto"/>
              </w:rPr>
            </w:pPr>
            <w:r>
              <w:rPr>
                <w:rFonts w:ascii="Arial" w:cs="Arial" w:eastAsia="Arial" w:hAnsi="Arial"/>
                <w:sz w:val="18"/>
                <w:szCs w:val="18"/>
                <w:color w:val="auto"/>
              </w:rPr>
              <w:t>11/11/21</w:t>
            </w:r>
          </w:p>
        </w:tc>
        <w:tc>
          <w:tcPr>
            <w:tcW w:w="36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(798,685)</w:t>
            </w:r>
          </w:p>
        </w:tc>
        <w:tc>
          <w:tcPr>
            <w:tcW w:w="880" w:type="dxa"/>
            <w:vAlign w:val="bottom"/>
          </w:tcPr>
          <w:p>
            <w:pPr>
              <w:spacing w:after="0"/>
              <w:rPr>
                <w:sz w:val="20"/>
                <w:szCs w:val="20"/>
                <w:color w:val="auto"/>
              </w:rPr>
            </w:pPr>
            <w:r>
              <w:rPr>
                <w:rFonts w:ascii="Arial" w:cs="Arial" w:eastAsia="Arial" w:hAnsi="Arial"/>
                <w:sz w:val="18"/>
                <w:szCs w:val="18"/>
                <w:color w:val="auto"/>
                <w:w w:val="95"/>
              </w:rPr>
              <w:t>Distribution</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Maverick Ventures Liquidity Fund I, LP</w:t>
            </w:r>
          </w:p>
        </w:tc>
        <w:tc>
          <w:tcPr>
            <w:tcW w:w="244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11/11/21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(1,121,526)</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95"/>
              </w:rPr>
              <w:t>Distribution</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Maverick Advisors Fund, L.P.</w:t>
            </w:r>
          </w:p>
        </w:tc>
        <w:tc>
          <w:tcPr>
            <w:tcW w:w="2440" w:type="dxa"/>
            <w:vAlign w:val="bottom"/>
            <w:gridSpan w:val="2"/>
          </w:tcPr>
          <w:p>
            <w:pPr>
              <w:jc w:val="right"/>
              <w:ind w:right="439"/>
              <w:spacing w:after="0"/>
              <w:rPr>
                <w:sz w:val="20"/>
                <w:szCs w:val="20"/>
                <w:color w:val="auto"/>
              </w:rPr>
            </w:pPr>
            <w:r>
              <w:rPr>
                <w:rFonts w:ascii="Arial" w:cs="Arial" w:eastAsia="Arial" w:hAnsi="Arial"/>
                <w:sz w:val="18"/>
                <w:szCs w:val="18"/>
                <w:color w:val="auto"/>
              </w:rPr>
              <w:t>11/11/21</w:t>
            </w:r>
          </w:p>
        </w:tc>
        <w:tc>
          <w:tcPr>
            <w:tcW w:w="36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20"/>
                <w:szCs w:val="20"/>
                <w:color w:val="auto"/>
              </w:rPr>
            </w:pPr>
            <w:r>
              <w:rPr>
                <w:rFonts w:ascii="Arial" w:cs="Arial" w:eastAsia="Arial" w:hAnsi="Arial"/>
                <w:sz w:val="18"/>
                <w:szCs w:val="18"/>
                <w:color w:val="auto"/>
              </w:rPr>
              <w:t>Sale</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30.60(3)</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Maverick Fund II, Ltd. (2)</w:t>
            </w:r>
          </w:p>
        </w:tc>
        <w:tc>
          <w:tcPr>
            <w:tcW w:w="244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11/11/21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(726)</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30.60(3)</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Maverick Long Fund, Ltd. (2)</w:t>
            </w:r>
          </w:p>
        </w:tc>
        <w:tc>
          <w:tcPr>
            <w:tcW w:w="2440" w:type="dxa"/>
            <w:vAlign w:val="bottom"/>
            <w:gridSpan w:val="2"/>
          </w:tcPr>
          <w:p>
            <w:pPr>
              <w:jc w:val="right"/>
              <w:ind w:right="439"/>
              <w:spacing w:after="0"/>
              <w:rPr>
                <w:sz w:val="20"/>
                <w:szCs w:val="20"/>
                <w:color w:val="auto"/>
              </w:rPr>
            </w:pPr>
            <w:r>
              <w:rPr>
                <w:rFonts w:ascii="Arial" w:cs="Arial" w:eastAsia="Arial" w:hAnsi="Arial"/>
                <w:sz w:val="18"/>
                <w:szCs w:val="18"/>
                <w:color w:val="auto"/>
              </w:rPr>
              <w:t>11/11/21</w:t>
            </w:r>
          </w:p>
        </w:tc>
        <w:tc>
          <w:tcPr>
            <w:tcW w:w="36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(3,461)</w:t>
            </w:r>
          </w:p>
        </w:tc>
        <w:tc>
          <w:tcPr>
            <w:tcW w:w="880" w:type="dxa"/>
            <w:vAlign w:val="bottom"/>
          </w:tcPr>
          <w:p>
            <w:pPr>
              <w:spacing w:after="0"/>
              <w:rPr>
                <w:sz w:val="20"/>
                <w:szCs w:val="20"/>
                <w:color w:val="auto"/>
              </w:rPr>
            </w:pPr>
            <w:r>
              <w:rPr>
                <w:rFonts w:ascii="Arial" w:cs="Arial" w:eastAsia="Arial" w:hAnsi="Arial"/>
                <w:sz w:val="18"/>
                <w:szCs w:val="18"/>
                <w:color w:val="auto"/>
              </w:rPr>
              <w:t>Sale</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30.60(3)</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Maverick Long Enhanced Fund, Ltd. (2)</w:t>
            </w:r>
          </w:p>
        </w:tc>
        <w:tc>
          <w:tcPr>
            <w:tcW w:w="244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11/11/21</w:t>
            </w:r>
          </w:p>
        </w:tc>
        <w:tc>
          <w:tcPr>
            <w:tcW w:w="3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(2,253)</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30.60(3)</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Maverick Fund USA, Ltd. (2)</w:t>
            </w:r>
          </w:p>
        </w:tc>
        <w:tc>
          <w:tcPr>
            <w:tcW w:w="2440" w:type="dxa"/>
            <w:vAlign w:val="bottom"/>
            <w:gridSpan w:val="2"/>
          </w:tcPr>
          <w:p>
            <w:pPr>
              <w:jc w:val="right"/>
              <w:ind w:right="439"/>
              <w:spacing w:after="0"/>
              <w:rPr>
                <w:sz w:val="20"/>
                <w:szCs w:val="20"/>
                <w:color w:val="auto"/>
              </w:rPr>
            </w:pPr>
            <w:r>
              <w:rPr>
                <w:rFonts w:ascii="Arial" w:cs="Arial" w:eastAsia="Arial" w:hAnsi="Arial"/>
                <w:sz w:val="18"/>
                <w:szCs w:val="18"/>
                <w:color w:val="auto"/>
              </w:rPr>
              <w:t>11/11/21</w:t>
            </w:r>
          </w:p>
        </w:tc>
        <w:tc>
          <w:tcPr>
            <w:tcW w:w="36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(15,343)</w:t>
            </w:r>
          </w:p>
        </w:tc>
        <w:tc>
          <w:tcPr>
            <w:tcW w:w="880" w:type="dxa"/>
            <w:vAlign w:val="bottom"/>
          </w:tcPr>
          <w:p>
            <w:pPr>
              <w:spacing w:after="0"/>
              <w:rPr>
                <w:sz w:val="20"/>
                <w:szCs w:val="20"/>
                <w:color w:val="auto"/>
              </w:rPr>
            </w:pPr>
            <w:r>
              <w:rPr>
                <w:rFonts w:ascii="Arial" w:cs="Arial" w:eastAsia="Arial" w:hAnsi="Arial"/>
                <w:sz w:val="18"/>
                <w:szCs w:val="18"/>
                <w:color w:val="auto"/>
              </w:rPr>
              <w:t>Sale</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30.60(3)</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Maverick Advisors Fund, L.P.</w:t>
            </w:r>
          </w:p>
        </w:tc>
        <w:tc>
          <w:tcPr>
            <w:tcW w:w="244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11/12/21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31.20(4)</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Maverick Fund II, Ltd. (2)</w:t>
            </w:r>
          </w:p>
        </w:tc>
        <w:tc>
          <w:tcPr>
            <w:tcW w:w="2440" w:type="dxa"/>
            <w:vAlign w:val="bottom"/>
            <w:gridSpan w:val="2"/>
          </w:tcPr>
          <w:p>
            <w:pPr>
              <w:jc w:val="right"/>
              <w:ind w:right="439"/>
              <w:spacing w:after="0"/>
              <w:rPr>
                <w:sz w:val="20"/>
                <w:szCs w:val="20"/>
                <w:color w:val="auto"/>
              </w:rPr>
            </w:pPr>
            <w:r>
              <w:rPr>
                <w:rFonts w:ascii="Arial" w:cs="Arial" w:eastAsia="Arial" w:hAnsi="Arial"/>
                <w:sz w:val="18"/>
                <w:szCs w:val="18"/>
                <w:color w:val="auto"/>
              </w:rPr>
              <w:t>11/12/21</w:t>
            </w:r>
          </w:p>
        </w:tc>
        <w:tc>
          <w:tcPr>
            <w:tcW w:w="36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(9,918)</w:t>
            </w:r>
          </w:p>
        </w:tc>
        <w:tc>
          <w:tcPr>
            <w:tcW w:w="880" w:type="dxa"/>
            <w:vAlign w:val="bottom"/>
          </w:tcPr>
          <w:p>
            <w:pPr>
              <w:spacing w:after="0"/>
              <w:rPr>
                <w:sz w:val="20"/>
                <w:szCs w:val="20"/>
                <w:color w:val="auto"/>
              </w:rPr>
            </w:pPr>
            <w:r>
              <w:rPr>
                <w:rFonts w:ascii="Arial" w:cs="Arial" w:eastAsia="Arial" w:hAnsi="Arial"/>
                <w:sz w:val="18"/>
                <w:szCs w:val="18"/>
                <w:color w:val="auto"/>
              </w:rPr>
              <w:t>Sale</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31.20(4)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Maverick Long Fund, Ltd. (2)</w:t>
            </w:r>
          </w:p>
        </w:tc>
        <w:tc>
          <w:tcPr>
            <w:tcW w:w="244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11/12/21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(4,987)</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31.20(4)</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Maverick Long Enhanced Fund, Ltd. (2)</w:t>
            </w:r>
          </w:p>
        </w:tc>
        <w:tc>
          <w:tcPr>
            <w:tcW w:w="2440" w:type="dxa"/>
            <w:vAlign w:val="bottom"/>
            <w:gridSpan w:val="2"/>
          </w:tcPr>
          <w:p>
            <w:pPr>
              <w:jc w:val="right"/>
              <w:ind w:right="439"/>
              <w:spacing w:after="0"/>
              <w:rPr>
                <w:sz w:val="20"/>
                <w:szCs w:val="20"/>
                <w:color w:val="auto"/>
              </w:rPr>
            </w:pPr>
            <w:r>
              <w:rPr>
                <w:rFonts w:ascii="Arial" w:cs="Arial" w:eastAsia="Arial" w:hAnsi="Arial"/>
                <w:sz w:val="18"/>
                <w:szCs w:val="18"/>
                <w:color w:val="auto"/>
              </w:rPr>
              <w:t>11/12/21</w:t>
            </w:r>
          </w:p>
        </w:tc>
        <w:tc>
          <w:tcPr>
            <w:tcW w:w="36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(10,887)</w:t>
            </w:r>
          </w:p>
        </w:tc>
        <w:tc>
          <w:tcPr>
            <w:tcW w:w="880" w:type="dxa"/>
            <w:vAlign w:val="bottom"/>
          </w:tcPr>
          <w:p>
            <w:pPr>
              <w:spacing w:after="0"/>
              <w:rPr>
                <w:sz w:val="20"/>
                <w:szCs w:val="20"/>
                <w:color w:val="auto"/>
              </w:rPr>
            </w:pPr>
            <w:r>
              <w:rPr>
                <w:rFonts w:ascii="Arial" w:cs="Arial" w:eastAsia="Arial" w:hAnsi="Arial"/>
                <w:sz w:val="18"/>
                <w:szCs w:val="18"/>
                <w:color w:val="auto"/>
              </w:rPr>
              <w:t>Sale</w:t>
            </w: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31.20(4)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Maverick Fund USA, Ltd. (2)</w:t>
            </w:r>
          </w:p>
        </w:tc>
        <w:tc>
          <w:tcPr>
            <w:tcW w:w="244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11/12/21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(15,12)</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31.20(4)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a distribution in kind.</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Fund managed by Maverick Capital.</w:t>
      </w:r>
    </w:p>
    <w:p>
      <w:pPr>
        <w:spacing w:after="0" w:line="9" w:lineRule="exact"/>
        <w:rPr>
          <w:rFonts w:ascii="Arial" w:cs="Arial" w:eastAsia="Arial" w:hAnsi="Arial"/>
          <w:sz w:val="18"/>
          <w:szCs w:val="18"/>
          <w:color w:val="auto"/>
        </w:rPr>
      </w:pPr>
    </w:p>
    <w:p>
      <w:pPr>
        <w:ind w:left="424" w:right="200" w:hanging="424"/>
        <w:spacing w:after="0" w:line="250"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transaction was executed in multiple trades ranging from $29.21 to $32.80. The price reported reflects the weighted average sale price. The Reporting Persons hereby undertake to provide upon request to the Securities and Exchange Commission staff full information regarding the number of shares and prices at which the transaction was effected.</w:t>
      </w:r>
    </w:p>
    <w:p>
      <w:pPr>
        <w:spacing w:after="0" w:line="1" w:lineRule="exact"/>
        <w:rPr>
          <w:rFonts w:ascii="Arial" w:cs="Arial" w:eastAsia="Arial" w:hAnsi="Arial"/>
          <w:sz w:val="18"/>
          <w:szCs w:val="18"/>
          <w:color w:val="auto"/>
        </w:rPr>
      </w:pPr>
    </w:p>
    <w:p>
      <w:pPr>
        <w:ind w:left="424" w:right="200" w:hanging="424"/>
        <w:spacing w:after="0" w:line="255"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transaction was executed in multiple trades ranging from $29.32 to $31.38. The price reported reflects the weighted average sale price. The Reporting Persons hereby undertake to provide upon request to the Securities and Exchange Commission staff full information regarding the number of shares and prices at which the transaction was effected.</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1."/>
      <w:numFmt w:val="decimal"/>
      <w:start w:val="3"/>
    </w:lvl>
    <w:lvl w:ilvl="1">
      <w:lvlJc w:val="left"/>
      <w:lvlText w:val="%2."/>
      <w:numFmt w:val="decimal"/>
      <w:start w:val="7"/>
    </w:lvl>
  </w:abstractNum>
  <w:abstractNum w:abstractNumId="3">
    <w:nsid w:val="4353D0CD"/>
    <w:multiLevelType w:val="hybridMultilevel"/>
    <w:lvl w:ilvl="0">
      <w:lvlJc w:val="left"/>
      <w:lvlText w:val="%1"/>
      <w:numFmt w:val="decimal"/>
      <w:start w:val="1"/>
    </w:lvl>
    <w:lvl w:ilvl="1">
      <w:lvlJc w:val="left"/>
      <w:lvlText w:val="%2."/>
      <w:numFmt w:val="decimal"/>
      <w:start w:val="11"/>
    </w:lvl>
  </w:abstractNum>
  <w:abstractNum w:abstractNumId="4">
    <w:nsid w:val="B03E0C6"/>
    <w:multiLevelType w:val="hybridMultilevel"/>
    <w:lvl w:ilvl="0">
      <w:lvlJc w:val="left"/>
      <w:lvlText w:val="%1."/>
      <w:numFmt w:val="decimal"/>
      <w:start w:val="12"/>
    </w:lvl>
    <w:lvl w:ilvl="1">
      <w:lvlJc w:val="left"/>
      <w:lvlText w:val="%2"/>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3"/>
    </w:lvl>
    <w:lvl w:ilvl="1">
      <w:lvlJc w:val="left"/>
      <w:lvlText w:val="%2."/>
      <w:numFmt w:val="decimal"/>
      <w:start w:val="7"/>
    </w:lvl>
  </w:abstractNum>
  <w:abstractNum w:abstractNumId="7">
    <w:nsid w:val="71F32454"/>
    <w:multiLevelType w:val="hybridMultilevel"/>
    <w:lvl w:ilvl="0">
      <w:lvlJc w:val="left"/>
      <w:lvlText w:val="%1"/>
      <w:numFmt w:val="decimal"/>
      <w:start w:val="1"/>
    </w:lvl>
    <w:lvl w:ilvl="1">
      <w:lvlJc w:val="left"/>
      <w:lvlText w:val="%2."/>
      <w:numFmt w:val="decimal"/>
      <w:start w:val="11"/>
    </w:lvl>
  </w:abstractNum>
  <w:abstractNum w:abstractNumId="8">
    <w:nsid w:val="2CA88611"/>
    <w:multiLevelType w:val="hybridMultilevel"/>
    <w:lvl w:ilvl="0">
      <w:lvlJc w:val="left"/>
      <w:lvlText w:val="%1."/>
      <w:numFmt w:val="decimal"/>
      <w:start w:val="12"/>
    </w:lvl>
    <w:lvl w:ilvl="1">
      <w:lvlJc w:val="left"/>
      <w:lvlText w:val="%2"/>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3"/>
    </w:lvl>
    <w:lvl w:ilvl="1">
      <w:lvlJc w:val="left"/>
      <w:lvlText w:val="%2."/>
      <w:numFmt w:val="decimal"/>
      <w:start w:val="7"/>
    </w:lvl>
  </w:abstractNum>
  <w:abstractNum w:abstractNumId="11">
    <w:nsid w:val="3A95F874"/>
    <w:multiLevelType w:val="hybridMultilevel"/>
    <w:lvl w:ilvl="0">
      <w:lvlJc w:val="left"/>
      <w:lvlText w:val="%1"/>
      <w:numFmt w:val="decimal"/>
      <w:start w:val="1"/>
    </w:lvl>
    <w:lvl w:ilvl="1">
      <w:lvlJc w:val="left"/>
      <w:lvlText w:val="%2."/>
      <w:numFmt w:val="decimal"/>
      <w:start w:val="11"/>
    </w:lvl>
  </w:abstractNum>
  <w:abstractNum w:abstractNumId="12">
    <w:nsid w:val="8138641"/>
    <w:multiLevelType w:val="hybridMultilevel"/>
    <w:lvl w:ilvl="0">
      <w:lvlJc w:val="left"/>
      <w:lvlText w:val="%1."/>
      <w:numFmt w:val="decimal"/>
      <w:start w:val="12"/>
    </w:lvl>
    <w:lvl w:ilvl="1">
      <w:lvlJc w:val="left"/>
      <w:lvlText w:val="%2"/>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3"/>
    </w:lvl>
    <w:lvl w:ilvl="1">
      <w:lvlJc w:val="left"/>
      <w:lvlText w:val="%2."/>
      <w:numFmt w:val="decimal"/>
      <w:start w:val="7"/>
    </w:lvl>
  </w:abstractNum>
  <w:abstractNum w:abstractNumId="15">
    <w:nsid w:val="737B8DDC"/>
    <w:multiLevelType w:val="hybridMultilevel"/>
    <w:lvl w:ilvl="0">
      <w:lvlJc w:val="left"/>
      <w:lvlText w:val="%1"/>
      <w:numFmt w:val="decimal"/>
      <w:start w:val="1"/>
    </w:lvl>
    <w:lvl w:ilvl="1">
      <w:lvlJc w:val="left"/>
      <w:lvlText w:val="%2."/>
      <w:numFmt w:val="decimal"/>
      <w:start w:val="11"/>
    </w:lvl>
  </w:abstractNum>
  <w:abstractNum w:abstractNumId="16">
    <w:nsid w:val="6CEAF087"/>
    <w:multiLevelType w:val="hybridMultilevel"/>
    <w:lvl w:ilvl="0">
      <w:lvlJc w:val="left"/>
      <w:lvlText w:val="%1."/>
      <w:numFmt w:val="decimal"/>
      <w:start w:val="12"/>
    </w:lvl>
    <w:lvl w:ilvl="1">
      <w:lvlJc w:val="left"/>
      <w:lvlText w:val="%2"/>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3"/>
    </w:lvl>
    <w:lvl w:ilvl="1">
      <w:lvlJc w:val="left"/>
      <w:lvlText w:val="%2."/>
      <w:numFmt w:val="decimal"/>
      <w:start w:val="7"/>
    </w:lvl>
  </w:abstractNum>
  <w:abstractNum w:abstractNumId="19">
    <w:nsid w:val="3006C83E"/>
    <w:multiLevelType w:val="hybridMultilevel"/>
    <w:lvl w:ilvl="0">
      <w:lvlJc w:val="left"/>
      <w:lvlText w:val="%1"/>
      <w:numFmt w:val="decimal"/>
      <w:start w:val="1"/>
    </w:lvl>
    <w:lvl w:ilvl="1">
      <w:lvlJc w:val="left"/>
      <w:lvlText w:val="%2."/>
      <w:numFmt w:val="decimal"/>
      <w:start w:val="11"/>
    </w:lvl>
  </w:abstractNum>
  <w:abstractNum w:abstractNumId="20">
    <w:nsid w:val="614FD4A1"/>
    <w:multiLevelType w:val="hybridMultilevel"/>
    <w:lvl w:ilvl="0">
      <w:lvlJc w:val="left"/>
      <w:lvlText w:val="%1."/>
      <w:numFmt w:val="decimal"/>
      <w:start w:val="12"/>
    </w:lvl>
    <w:lvl w:ilvl="1">
      <w:lvlJc w:val="left"/>
      <w:lvlText w:val="%2"/>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3"/>
    </w:lvl>
    <w:lvl w:ilvl="1">
      <w:lvlJc w:val="left"/>
      <w:lvlText w:val="%2."/>
      <w:numFmt w:val="decimal"/>
      <w:start w:val="7"/>
    </w:lvl>
  </w:abstractNum>
  <w:abstractNum w:abstractNumId="23">
    <w:nsid w:val="440BADFC"/>
    <w:multiLevelType w:val="hybridMultilevel"/>
    <w:lvl w:ilvl="0">
      <w:lvlJc w:val="left"/>
      <w:lvlText w:val="%1"/>
      <w:numFmt w:val="decimal"/>
      <w:start w:val="1"/>
    </w:lvl>
    <w:lvl w:ilvl="1">
      <w:lvlJc w:val="left"/>
      <w:lvlText w:val="%2."/>
      <w:numFmt w:val="decimal"/>
      <w:start w:val="11"/>
    </w:lvl>
  </w:abstractNum>
  <w:abstractNum w:abstractNumId="24">
    <w:nsid w:val="5072367"/>
    <w:multiLevelType w:val="hybridMultilevel"/>
    <w:lvl w:ilvl="0">
      <w:lvlJc w:val="left"/>
      <w:lvlText w:val="%1."/>
      <w:numFmt w:val="decimal"/>
      <w:start w:val="12"/>
    </w:lvl>
    <w:lvl w:ilvl="1">
      <w:lvlJc w:val="left"/>
      <w:lvlText w:val="%2"/>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3"/>
    </w:lvl>
    <w:lvl w:ilvl="1">
      <w:lvlJc w:val="left"/>
      <w:lvlText w:val="%2."/>
      <w:numFmt w:val="decimal"/>
      <w:start w:val="7"/>
    </w:lvl>
  </w:abstractNum>
  <w:abstractNum w:abstractNumId="27">
    <w:nsid w:val="7724C67E"/>
    <w:multiLevelType w:val="hybridMultilevel"/>
    <w:lvl w:ilvl="0">
      <w:lvlJc w:val="left"/>
      <w:lvlText w:val="%1"/>
      <w:numFmt w:val="decimal"/>
      <w:start w:val="1"/>
    </w:lvl>
    <w:lvl w:ilvl="1">
      <w:lvlJc w:val="left"/>
      <w:lvlText w:val="%2."/>
      <w:numFmt w:val="decimal"/>
      <w:start w:val="11"/>
    </w:lvl>
  </w:abstractNum>
  <w:abstractNum w:abstractNumId="28">
    <w:nsid w:val="5C482A97"/>
    <w:multiLevelType w:val="hybridMultilevel"/>
    <w:lvl w:ilvl="0">
      <w:lvlJc w:val="left"/>
      <w:lvlText w:val="%1."/>
      <w:numFmt w:val="decimal"/>
      <w:start w:val="12"/>
    </w:lvl>
    <w:lvl w:ilvl="1">
      <w:lvlJc w:val="left"/>
      <w:lvlText w:val="%2"/>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3"/>
    </w:lvl>
    <w:lvl w:ilvl="1">
      <w:lvlJc w:val="left"/>
      <w:lvlText w:val="%2."/>
      <w:numFmt w:val="decimal"/>
      <w:start w:val="7"/>
    </w:lvl>
  </w:abstractNum>
  <w:abstractNum w:abstractNumId="31">
    <w:nsid w:val="51EAD36B"/>
    <w:multiLevelType w:val="hybridMultilevel"/>
    <w:lvl w:ilvl="0">
      <w:lvlJc w:val="left"/>
      <w:lvlText w:val="%1"/>
      <w:numFmt w:val="decimal"/>
      <w:start w:val="1"/>
    </w:lvl>
    <w:lvl w:ilvl="1">
      <w:lvlJc w:val="left"/>
      <w:lvlText w:val="%2."/>
      <w:numFmt w:val="decimal"/>
      <w:start w:val="11"/>
    </w:lvl>
  </w:abstractNum>
  <w:abstractNum w:abstractNumId="32">
    <w:nsid w:val="2D517796"/>
    <w:multiLevelType w:val="hybridMultilevel"/>
    <w:lvl w:ilvl="0">
      <w:lvlJc w:val="left"/>
      <w:lvlText w:val="%1."/>
      <w:numFmt w:val="decimal"/>
      <w:start w:val="12"/>
    </w:lvl>
    <w:lvl w:ilvl="1">
      <w:lvlJc w:val="left"/>
      <w:lvlText w:val="%2"/>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3"/>
    </w:lvl>
    <w:lvl w:ilvl="1">
      <w:lvlJc w:val="left"/>
      <w:lvlText w:val="%2."/>
      <w:numFmt w:val="decimal"/>
      <w:start w:val="7"/>
    </w:lvl>
  </w:abstractNum>
  <w:abstractNum w:abstractNumId="35">
    <w:nsid w:val="3855585C"/>
    <w:multiLevelType w:val="hybridMultilevel"/>
    <w:lvl w:ilvl="0">
      <w:lvlJc w:val="left"/>
      <w:lvlText w:val="%1"/>
      <w:numFmt w:val="decimal"/>
      <w:start w:val="1"/>
    </w:lvl>
    <w:lvl w:ilvl="1">
      <w:lvlJc w:val="left"/>
      <w:lvlText w:val="%2."/>
      <w:numFmt w:val="decimal"/>
      <w:start w:val="11"/>
    </w:lvl>
  </w:abstractNum>
  <w:abstractNum w:abstractNumId="36">
    <w:nsid w:val="70A64E2A"/>
    <w:multiLevelType w:val="hybridMultilevel"/>
    <w:lvl w:ilvl="0">
      <w:lvlJc w:val="left"/>
      <w:lvlText w:val="%1."/>
      <w:numFmt w:val="decimal"/>
      <w:start w:val="12"/>
    </w:lvl>
    <w:lvl w:ilvl="1">
      <w:lvlJc w:val="left"/>
      <w:lvlText w:val="%2"/>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3"/>
    </w:lvl>
    <w:lvl w:ilvl="1">
      <w:lvlJc w:val="left"/>
      <w:lvlText w:val="%2."/>
      <w:numFmt w:val="decimal"/>
      <w:start w:val="7"/>
    </w:lvl>
  </w:abstractNum>
  <w:abstractNum w:abstractNumId="39">
    <w:nsid w:val="1D4ED43B"/>
    <w:multiLevelType w:val="hybridMultilevel"/>
    <w:lvl w:ilvl="0">
      <w:lvlJc w:val="left"/>
      <w:lvlText w:val="%1"/>
      <w:numFmt w:val="decimal"/>
      <w:start w:val="1"/>
    </w:lvl>
    <w:lvl w:ilvl="1">
      <w:lvlJc w:val="left"/>
      <w:lvlText w:val="%2."/>
      <w:numFmt w:val="decimal"/>
      <w:start w:val="11"/>
    </w:lvl>
  </w:abstractNum>
  <w:abstractNum w:abstractNumId="40">
    <w:nsid w:val="725A06FB"/>
    <w:multiLevelType w:val="hybridMultilevel"/>
    <w:lvl w:ilvl="0">
      <w:lvlJc w:val="left"/>
      <w:lvlText w:val="%1."/>
      <w:numFmt w:val="decimal"/>
      <w:start w:val="12"/>
    </w:lvl>
    <w:lvl w:ilvl="1">
      <w:lvlJc w:val="left"/>
      <w:lvlText w:val="%2"/>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3"/>
    </w:lvl>
    <w:lvl w:ilvl="1">
      <w:lvlJc w:val="left"/>
      <w:lvlText w:val="%2."/>
      <w:numFmt w:val="decimal"/>
      <w:start w:val="7"/>
    </w:lvl>
  </w:abstractNum>
  <w:abstractNum w:abstractNumId="43">
    <w:nsid w:val="7A6D8D3C"/>
    <w:multiLevelType w:val="hybridMultilevel"/>
    <w:lvl w:ilvl="0">
      <w:lvlJc w:val="left"/>
      <w:lvlText w:val="%1"/>
      <w:numFmt w:val="decimal"/>
      <w:start w:val="1"/>
    </w:lvl>
    <w:lvl w:ilvl="1">
      <w:lvlJc w:val="left"/>
      <w:lvlText w:val="%2."/>
      <w:numFmt w:val="decimal"/>
      <w:start w:val="11"/>
    </w:lvl>
  </w:abstractNum>
  <w:abstractNum w:abstractNumId="44">
    <w:nsid w:val="4B588F54"/>
    <w:multiLevelType w:val="hybridMultilevel"/>
    <w:lvl w:ilvl="0">
      <w:lvlJc w:val="left"/>
      <w:lvlText w:val="%1."/>
      <w:numFmt w:val="decimal"/>
      <w:start w:val="12"/>
    </w:lvl>
    <w:lvl w:ilvl="1">
      <w:lvlJc w:val="left"/>
      <w:lvlText w:val="%2"/>
      <w:numFmt w:val="decimal"/>
      <w:start w:val="1"/>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2021-11-17T05:19:51Z</dcterms:created>
  <dcterms:modified xsi:type="dcterms:W3CDTF">2021-11-17T05:19:51Z</dcterms:modified>
</cp:coreProperties>
</file>