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5"/>
              <w:spacing w:after="0" w:line="6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6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2"/>
              <w:spacing w:after="0" w:line="6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5603240</wp:posOffset>
            </wp:positionH>
            <wp:positionV relativeFrom="paragraph">
              <wp:posOffset>-751205</wp:posOffset>
            </wp:positionV>
            <wp:extent cx="1305560" cy="9055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5560" cy="905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33655</wp:posOffset>
            </wp:positionV>
            <wp:extent cx="6946900" cy="25063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0" cy="2506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0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aMoon 2 Fund Limited</w:t>
              </w:r>
            </w:hyperlink>
          </w:p>
        </w:tc>
        <w:tc>
          <w:tcPr>
            <w:tcW w:w="1560" w:type="dxa"/>
            <w:vAlign w:val="bottom"/>
          </w:tcPr>
          <w:p>
            <w:pPr>
              <w:ind w:left="2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200"/>
              <w:spacing w:after="0" w:line="16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top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Partnership</w:t>
              </w:r>
            </w:hyperlink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12/03/2020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0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Seer, Inc.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SEER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50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0" w:gutter="0" w:footer="0" w:header="0"/>
          <w:type w:val="continuous"/>
        </w:sectPr>
      </w:pPr>
    </w:p>
    <w:p>
      <w:pPr>
        <w:spacing w:after="0" w:line="195" w:lineRule="exact"/>
        <w:rPr>
          <w:sz w:val="20"/>
          <w:szCs w:val="20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6" w:lineRule="exact"/>
        <w:rPr>
          <w:sz w:val="20"/>
          <w:szCs w:val="20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34 YERUSHALAIM ROAD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BEIT GAMLA, 6TH FLOOR</w:t>
      </w:r>
    </w:p>
    <w:p>
      <w:pPr>
        <w:spacing w:after="0" w:line="322" w:lineRule="exact"/>
        <w:rPr>
          <w:sz w:val="20"/>
          <w:szCs w:val="20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(Street)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RA-</w:t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140"/>
        <w:spacing w:after="0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ANANA,</w:t>
        <w:tab/>
        <w:t>L3</w:t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4350110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ind w:left="3" w:right="300" w:hanging="3"/>
        <w:spacing w:after="0" w:line="242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523"/>
        <w:spacing w:after="0"/>
        <w:tabs>
          <w:tab w:leader="none" w:pos="1722" w:val="left"/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67" w:lineRule="exact"/>
        <w:rPr>
          <w:sz w:val="20"/>
          <w:szCs w:val="20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ind w:left="-9" w:right="440" w:firstLine="9"/>
        <w:spacing w:after="0" w:line="270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00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spacing w:after="0" w:line="222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5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451" w:right="320" w:hanging="304"/>
        <w:spacing w:after="0" w:line="182" w:lineRule="auto"/>
        <w:tabs>
          <w:tab w:leader="none" w:pos="451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 Person</w:t>
      </w:r>
    </w:p>
    <w:p>
      <w:pPr>
        <w:spacing w:after="0" w:line="50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0" w:gutter="0" w:footer="0" w:header="0"/>
          <w:type w:val="continuous"/>
        </w:sectPr>
      </w:pPr>
    </w:p>
    <w:p>
      <w:pPr>
        <w:spacing w:after="0" w:line="154" w:lineRule="exact"/>
        <w:rPr>
          <w:sz w:val="20"/>
          <w:szCs w:val="20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92710</wp:posOffset>
            </wp:positionV>
            <wp:extent cx="6946900" cy="7721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0" cy="772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4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-18415</wp:posOffset>
            </wp:positionV>
            <wp:extent cx="6946900" cy="28206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0" cy="2820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9525</wp:posOffset>
            </wp:positionH>
            <wp:positionV relativeFrom="paragraph">
              <wp:posOffset>42545</wp:posOffset>
            </wp:positionV>
            <wp:extent cx="6927850" cy="81978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7850" cy="819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4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4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4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40" w:type="dxa"/>
            <w:vAlign w:val="bottom"/>
          </w:tcPr>
          <w:p>
            <w:pPr>
              <w:ind w:left="80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460" w:type="dxa"/>
            <w:vAlign w:val="bottom"/>
          </w:tcPr>
          <w:p>
            <w:pPr>
              <w:ind w:left="6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9525</wp:posOffset>
            </wp:positionH>
            <wp:positionV relativeFrom="paragraph">
              <wp:posOffset>-8890</wp:posOffset>
            </wp:positionV>
            <wp:extent cx="6927850" cy="40005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7850" cy="400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Series D Convertible Preferred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jc w:val="right"/>
              <w:ind w:right="6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(1)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(1)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8"/>
              </w:rPr>
              <w:t>Class A Common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2,875,628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(1)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jc w:val="center"/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9"/>
                <w:szCs w:val="39"/>
                <w:color w:val="0000FF"/>
                <w:w w:val="82"/>
                <w:vertAlign w:val="subscript"/>
              </w:rPr>
              <w:t>D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82"/>
              </w:rPr>
              <w:t>(2)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Stock</w:t>
            </w: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Stock</w:t>
            </w: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Series D-1 Convertible Preferred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jc w:val="right"/>
              <w:ind w:right="6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(3)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(3)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8"/>
              </w:rPr>
              <w:t>Class A Common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1,245,436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(3)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jc w:val="center"/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9"/>
                <w:szCs w:val="39"/>
                <w:color w:val="0000FF"/>
                <w:w w:val="82"/>
                <w:vertAlign w:val="subscript"/>
              </w:rPr>
              <w:t>D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82"/>
              </w:rPr>
              <w:t>(2)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Stock</w:t>
            </w: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Stock</w:t>
            </w: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Series D Convertible Preferred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jc w:val="right"/>
              <w:ind w:right="6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(1)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(1)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8"/>
              </w:rPr>
              <w:t>Class A Common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8"/>
              </w:rPr>
              <w:t>787,380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(1)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jc w:val="center"/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I</w:t>
            </w:r>
          </w:p>
        </w:tc>
        <w:tc>
          <w:tcPr>
            <w:tcW w:w="158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See footnote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8000"/>
                <w:vertAlign w:val="superscript"/>
              </w:rPr>
              <w:t>(4)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Stock</w:t>
            </w: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Stock</w:t>
            </w: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Series D-1 Convertible Preferred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jc w:val="right"/>
              <w:ind w:right="6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(3)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(3)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8"/>
              </w:rPr>
              <w:t>Class A Common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8"/>
              </w:rPr>
              <w:t>125,279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(3)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jc w:val="center"/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I</w:t>
            </w:r>
          </w:p>
        </w:tc>
        <w:tc>
          <w:tcPr>
            <w:tcW w:w="158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See footnote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8000"/>
                <w:vertAlign w:val="superscript"/>
              </w:rPr>
              <w:t>(4)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Stock</w:t>
            </w: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Stock</w:t>
            </w: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2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80"/>
              <w:spacing w:after="0" w:line="2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120" w:type="dxa"/>
            <w:vAlign w:val="bottom"/>
            <w:gridSpan w:val="3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u w:val="single" w:color="auto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u w:val="single" w:color="auto"/>
                  <w:color w:val="0000EE"/>
                </w:rPr>
                <w:t>aMoon 2 Fund Limited Partnership</w:t>
              </w:r>
            </w:hyperlink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176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7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-1945005</wp:posOffset>
            </wp:positionV>
            <wp:extent cx="6937375" cy="396430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37375" cy="3964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34 YERUSHALAIM ROAD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BEIT GAMLA, 6TH FLOOR</w:t>
      </w:r>
    </w:p>
    <w:p>
      <w:pPr>
        <w:spacing w:after="0" w:line="322" w:lineRule="exact"/>
        <w:rPr>
          <w:sz w:val="20"/>
          <w:szCs w:val="20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(Street)</w:t>
      </w:r>
    </w:p>
    <w:p>
      <w:pPr>
        <w:ind w:left="140"/>
        <w:spacing w:after="0" w:line="217" w:lineRule="auto"/>
        <w:tabs>
          <w:tab w:leader="none" w:pos="15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RA-ANANA,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  <w:t>L3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4350110</w:t>
      </w:r>
    </w:p>
    <w:p>
      <w:pPr>
        <w:spacing w:after="0" w:line="345" w:lineRule="exact"/>
        <w:rPr>
          <w:sz w:val="20"/>
          <w:szCs w:val="20"/>
          <w:color w:val="auto"/>
        </w:rPr>
      </w:pPr>
    </w:p>
    <w:p>
      <w:pPr>
        <w:ind w:left="140"/>
        <w:spacing w:after="0"/>
        <w:tabs>
          <w:tab w:leader="none" w:pos="1500" w:val="left"/>
          <w:tab w:leader="none" w:pos="28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9525</wp:posOffset>
            </wp:positionH>
            <wp:positionV relativeFrom="paragraph">
              <wp:posOffset>83185</wp:posOffset>
            </wp:positionV>
            <wp:extent cx="2753995" cy="58102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3995" cy="581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0" w:lineRule="exact"/>
        <w:rPr>
          <w:sz w:val="20"/>
          <w:szCs w:val="20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1. Name and Address of Reporting Person</w:t>
      </w:r>
      <w:r>
        <w:rPr>
          <w:rFonts w:ascii="Arial" w:cs="Arial" w:eastAsia="Arial" w:hAnsi="Arial"/>
          <w:sz w:val="25"/>
          <w:szCs w:val="25"/>
          <w:color w:val="auto"/>
          <w:vertAlign w:val="superscript"/>
        </w:rPr>
        <w:t>*</w:t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0" w:gutter="0" w:footer="0" w:header="0"/>
          <w:type w:val="continuous"/>
        </w:sectPr>
      </w:pPr>
    </w:p>
    <w:p>
      <w:pPr>
        <w:ind w:left="140"/>
        <w:spacing w:after="0"/>
        <w:rPr>
          <w:rFonts w:ascii="Times New Roman" w:cs="Times New Roman" w:eastAsia="Times New Roman" w:hAnsi="Times New Roman"/>
          <w:sz w:val="23"/>
          <w:szCs w:val="23"/>
          <w:u w:val="single" w:color="auto"/>
          <w:color w:val="0000EE"/>
        </w:rPr>
      </w:pPr>
      <w:hyperlink r:id="rId18">
        <w:r>
          <w:rPr>
            <w:rFonts w:ascii="Times New Roman" w:cs="Times New Roman" w:eastAsia="Times New Roman" w:hAnsi="Times New Roman"/>
            <w:sz w:val="23"/>
            <w:szCs w:val="23"/>
            <w:u w:val="single" w:color="auto"/>
            <w:color w:val="0000EE"/>
          </w:rPr>
          <w:t>Schindel Yair Chaim</w:t>
        </w:r>
      </w:hyperlink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0" w:gutter="0" w:footer="0" w:header="0"/>
          <w:type w:val="continuous"/>
        </w:sectPr>
      </w:pPr>
    </w:p>
    <w:bookmarkStart w:id="1" w:name="page2"/>
    <w:bookmarkEnd w:id="1"/>
    <w:p>
      <w:pPr>
        <w:ind w:left="100"/>
        <w:spacing w:after="0"/>
        <w:tabs>
          <w:tab w:leader="none" w:pos="1460" w:val="left"/>
          <w:tab w:leader="none" w:pos="28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304800</wp:posOffset>
            </wp:positionH>
            <wp:positionV relativeFrom="page">
              <wp:posOffset>88900</wp:posOffset>
            </wp:positionV>
            <wp:extent cx="2773045" cy="159131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045" cy="1591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6" w:lineRule="exact"/>
        <w:rPr>
          <w:sz w:val="20"/>
          <w:szCs w:val="20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34 YERUSHALAIM ROAD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BEIT GAMLA, 6TH FLOOR</w:t>
      </w:r>
    </w:p>
    <w:p>
      <w:pPr>
        <w:spacing w:after="0" w:line="322" w:lineRule="exact"/>
        <w:rPr>
          <w:sz w:val="20"/>
          <w:szCs w:val="20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(Street)</w:t>
      </w:r>
    </w:p>
    <w:p>
      <w:pPr>
        <w:ind w:left="100"/>
        <w:spacing w:after="0" w:line="217" w:lineRule="auto"/>
        <w:tabs>
          <w:tab w:leader="none" w:pos="14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RA-ANANA,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  <w:t>L3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4350110</w:t>
      </w:r>
    </w:p>
    <w:p>
      <w:pPr>
        <w:spacing w:after="0" w:line="345" w:lineRule="exact"/>
        <w:rPr>
          <w:sz w:val="20"/>
          <w:szCs w:val="20"/>
          <w:color w:val="auto"/>
        </w:rPr>
      </w:pPr>
    </w:p>
    <w:p>
      <w:pPr>
        <w:ind w:left="100"/>
        <w:spacing w:after="0"/>
        <w:tabs>
          <w:tab w:leader="none" w:pos="1460" w:val="left"/>
          <w:tab w:leader="none" w:pos="28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17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Explanation of Responses: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ind w:right="280" w:firstLine="5"/>
        <w:spacing w:after="0" w:line="259" w:lineRule="auto"/>
        <w:tabs>
          <w:tab w:leader="none" w:pos="150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Each share of Series D Convertible Preferred Stock shall automatically convert into Class A Common Stock on a one-to-one basis immediately prior to the completion of the Issuer's initial public offering of Class A Common Stock and has no expiration date.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5"/>
          <w:szCs w:val="15"/>
          <w:color w:val="008000"/>
        </w:rPr>
      </w:pPr>
    </w:p>
    <w:p>
      <w:pPr>
        <w:ind w:right="60" w:firstLine="5"/>
        <w:spacing w:after="0" w:line="237" w:lineRule="auto"/>
        <w:tabs>
          <w:tab w:leader="none" w:pos="150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The reported shares are held of record by aMoon 2 Fund, Limited Partnership ("aMoon 2 Fund"). aMoon 2 Fund G.P. Limited Partnership ("aMoon 2 Fund G.P.") is the sole General Partner of aMoon 2 Fund and aMoon General Partner Ltd. ("aMoon General Partner") is the sole General Partner of aMoon 2 Fund G.P. Dr. Yair Schindel is the sole shareholder of aMoon General Partner. By virtue of such relationships, aMoon 2 Fund G.P., aMoon General Partner and Dr. Schindel may be deemed to have shared voting and investment power with respect to the shares held of record by aMoon 2 Fund. Each of aMoon 2 Fund G.P., aMoon General Partner and Dr. Schindel disclaims beneficial ownership of the shares held by aMoon 2 Fund except to the extent of its or his pecuniary interest therein, if any.</w:t>
      </w:r>
    </w:p>
    <w:p>
      <w:pPr>
        <w:spacing w:after="0" w:line="33" w:lineRule="exact"/>
        <w:rPr>
          <w:rFonts w:ascii="Times New Roman" w:cs="Times New Roman" w:eastAsia="Times New Roman" w:hAnsi="Times New Roman"/>
          <w:sz w:val="15"/>
          <w:szCs w:val="15"/>
          <w:color w:val="008000"/>
        </w:rPr>
      </w:pPr>
    </w:p>
    <w:p>
      <w:pPr>
        <w:ind w:right="140" w:firstLine="5"/>
        <w:spacing w:after="0" w:line="259" w:lineRule="auto"/>
        <w:tabs>
          <w:tab w:leader="none" w:pos="150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Each share of Series D-1 Convertible Preferred Stock shall automatically convert into Class A Common Stock on a one-to-one basis immediately prior to the completion of the Issuer's initial public offering of Class A Common Stock and has no expiration date.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5"/>
          <w:szCs w:val="15"/>
          <w:color w:val="008000"/>
        </w:rPr>
      </w:pPr>
    </w:p>
    <w:p>
      <w:pPr>
        <w:ind w:firstLine="5"/>
        <w:spacing w:after="0" w:line="237" w:lineRule="auto"/>
        <w:tabs>
          <w:tab w:leader="none" w:pos="150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The reported shares are held of record by aMoon Co-Investment SPV I, L.P. ("aMoon Co-Investment"). aMoon 2 Fund G.P. is the sole General Partner of aMoon Co-Investment and aMoon General Partner is the sole General Partner of aMoon 2 Fund G.P. Dr. Schindel is the sole shareholder of aMoon General Partner. By virtue of such relationships, aMoon 2 Fund G.P., aMoon General Partner and Dr. Schindel may be deemed to have shared voting and investment power with respect to the shares held of record by aMoon Co-Investment. Each of aMoon 2 Fund G.P., aMoon General Partner and Dr. Schindel disclaims beneficial ownership of the shares held by aMoon Co-Investment except to the extent of its or his pecuniary interest therein, if any.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Remarks:</w:t>
      </w:r>
    </w:p>
    <w:p>
      <w:pPr>
        <w:spacing w:after="0" w:line="133" w:lineRule="exact"/>
        <w:rPr>
          <w:sz w:val="20"/>
          <w:szCs w:val="20"/>
          <w:color w:val="auto"/>
        </w:rPr>
      </w:pPr>
    </w:p>
    <w:tbl>
      <w:tblPr>
        <w:tblLayout w:type="fixed"/>
        <w:tblInd w:w="65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218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/s/ Yair Schindel, the sole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20"/>
        </w:trPr>
        <w:tc>
          <w:tcPr>
            <w:tcW w:w="172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shareholder of aMoon</w:t>
            </w:r>
          </w:p>
        </w:tc>
        <w:tc>
          <w:tcPr>
            <w:tcW w:w="260" w:type="dxa"/>
            <w:vAlign w:val="bottom"/>
            <w:tcBorders>
              <w:top w:val="single" w:sz="8" w:color="auto"/>
            </w:tcBorders>
            <w:gridSpan w:val="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20"/>
        </w:trPr>
        <w:tc>
          <w:tcPr>
            <w:tcW w:w="2180" w:type="dxa"/>
            <w:vAlign w:val="bottom"/>
            <w:gridSpan w:val="10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General Partner Ltd., the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20"/>
        </w:trPr>
        <w:tc>
          <w:tcPr>
            <w:tcW w:w="1800" w:type="dxa"/>
            <w:vAlign w:val="bottom"/>
            <w:tcBorders>
              <w:top w:val="single" w:sz="8" w:color="auto"/>
              <w:bottom w:val="single" w:sz="8" w:color="auto"/>
            </w:tcBorders>
            <w:gridSpan w:val="5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sole General Partner of</w:t>
            </w:r>
          </w:p>
        </w:tc>
        <w:tc>
          <w:tcPr>
            <w:tcW w:w="120" w:type="dxa"/>
            <w:vAlign w:val="bottom"/>
            <w:tcBorders>
              <w:top w:val="single" w:sz="8" w:color="auto"/>
            </w:tcBorders>
            <w:gridSpan w:val="3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gridSpan w:val="2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20"/>
        </w:trPr>
        <w:tc>
          <w:tcPr>
            <w:tcW w:w="152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4"/>
              </w:rPr>
              <w:t>aMoon 2 Fund G.P.</w:t>
            </w:r>
          </w:p>
        </w:tc>
        <w:tc>
          <w:tcPr>
            <w:tcW w:w="660" w:type="dxa"/>
            <w:vAlign w:val="bottom"/>
            <w:gridSpan w:val="7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12/03/2020</w:t>
            </w:r>
          </w:p>
        </w:tc>
      </w:tr>
      <w:tr>
        <w:trPr>
          <w:trHeight w:val="220"/>
        </w:trPr>
        <w:tc>
          <w:tcPr>
            <w:tcW w:w="2180" w:type="dxa"/>
            <w:vAlign w:val="bottom"/>
            <w:gridSpan w:val="10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Limited Partnership, the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20"/>
        </w:trPr>
        <w:tc>
          <w:tcPr>
            <w:tcW w:w="1800" w:type="dxa"/>
            <w:vAlign w:val="bottom"/>
            <w:tcBorders>
              <w:top w:val="single" w:sz="8" w:color="auto"/>
              <w:bottom w:val="single" w:sz="8" w:color="auto"/>
            </w:tcBorders>
            <w:gridSpan w:val="5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sole General Partner of</w:t>
            </w:r>
          </w:p>
        </w:tc>
        <w:tc>
          <w:tcPr>
            <w:tcW w:w="8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gridSpan w:val="3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20"/>
        </w:trPr>
        <w:tc>
          <w:tcPr>
            <w:tcW w:w="186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aMoon 2 Fund, Limited</w:t>
            </w:r>
          </w:p>
        </w:tc>
        <w:tc>
          <w:tcPr>
            <w:tcW w:w="320" w:type="dxa"/>
            <w:vAlign w:val="bottom"/>
            <w:gridSpan w:val="4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20"/>
        </w:trPr>
        <w:tc>
          <w:tcPr>
            <w:tcW w:w="2180" w:type="dxa"/>
            <w:vAlign w:val="bottom"/>
            <w:gridSpan w:val="10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Partnership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0"/>
        </w:trPr>
        <w:tc>
          <w:tcPr>
            <w:tcW w:w="8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gridSpan w:val="8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0"/>
        </w:trPr>
        <w:tc>
          <w:tcPr>
            <w:tcW w:w="218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/s/ Yair Schindel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12/03/2020</w:t>
            </w:r>
          </w:p>
        </w:tc>
      </w:tr>
      <w:tr>
        <w:trPr>
          <w:trHeight w:val="20"/>
        </w:trPr>
        <w:tc>
          <w:tcPr>
            <w:tcW w:w="8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jc w:val="both"/>
        <w:ind w:right="2180" w:firstLine="5"/>
        <w:spacing w:after="0" w:line="334" w:lineRule="auto"/>
        <w:tabs>
          <w:tab w:leader="none" w:pos="159" w:val="left"/>
        </w:tabs>
        <w:numPr>
          <w:ilvl w:val="0"/>
          <w:numId w:val="5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ind w:right="20"/>
        <w:spacing w:after="0" w:line="2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840"/>
      </w:cols>
      <w:pgMar w:left="520" w:top="166" w:right="5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2AE8944A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625558EC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%1."/>
      <w:numFmt w:val="decimal"/>
      <w:start w:val="1"/>
    </w:lvl>
  </w:abstractNum>
  <w:abstractNum w:abstractNumId="4">
    <w:nsid w:val="46E87CCD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9" Type="http://schemas.openxmlformats.org/officeDocument/2006/relationships/image" Target="media/image9.png"/><Relationship Id="rId10" Type="http://schemas.openxmlformats.org/officeDocument/2006/relationships/hyperlink" Target="http://www.sec.gov/cgi-bin/browse-edgar?action=getcompany&amp;CIK=0001744099" TargetMode="External"/><Relationship Id="rId11" Type="http://schemas.openxmlformats.org/officeDocument/2006/relationships/hyperlink" Target="http://www.sec.gov/cgi-bin/browse-edgar?action=getcompany&amp;CIK=0001726445" TargetMode="External"/><Relationship Id="rId18" Type="http://schemas.openxmlformats.org/officeDocument/2006/relationships/hyperlink" Target="http://www.sec.gov/cgi-bin/browse-edgar?action=getcompany&amp;CIK=0001823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2020-12-03T18:55:10Z</dcterms:created>
  <dcterms:modified xsi:type="dcterms:W3CDTF">2020-12-03T18:55:10Z</dcterms:modified>
</cp:coreProperties>
</file>