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1726445-20260630.htm"/>
        <w:bookmarkStart w:id="1" w:name="ksck000172644520260630"/>
        <w:bookmarkEnd w:id="0"/>
        <w:bookmarkEnd w:id="1"/>
        <w:r>
          <w:rPr>
            <w:rStyle w:val="InternetLink"/>
            <w:rFonts w:ascii="Times New Roman" w:hAnsi="Times New Roman"/>
            <w:b/>
            <w:color w:val="0000FF"/>
            <w:sz w:val="20"/>
            <w:u w:val="single"/>
          </w:rPr>
          <w:t>Table of Contents</w:t>
        </w:r>
      </w:hyperlink>
    </w:p>
    <w:p>
      <w:pPr>
        <w:pStyle w:val="TextBody"/>
        <w:bidi w:val="0"/>
        <w:spacing w:before="0" w:after="18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0" w:after="180"/>
        <w:jc w:val="center"/>
        <w:rPr>
          <w:rFonts w:ascii="Times New Roman" w:hAnsi="Times New Roman"/>
          <w:b/>
          <w:color w:val="000000"/>
          <w:sz w:val="30"/>
        </w:rPr>
      </w:pPr>
      <w:r>
        <w:rPr>
          <w:rFonts w:ascii="Times New Roman" w:hAnsi="Times New Roman"/>
          <w:b/>
          <w:color w:val="000000"/>
          <w:sz w:val="30"/>
        </w:rPr>
        <w:t>FORM 10-Q</w:t>
      </w:r>
    </w:p>
    <w:p>
      <w:pPr>
        <w:pStyle w:val="TextBody"/>
        <w:bidi w:val="0"/>
        <w:jc w:val="left"/>
        <w:rPr>
          <w:rFonts w:ascii="Times New Roman" w:hAnsi="Times New Roman"/>
          <w:color w:val="000000"/>
          <w:sz w:val="18"/>
        </w:rPr>
      </w:pPr>
      <w:r>
        <w:rPr>
          <w:rFonts w:ascii="Times New Roman" w:hAnsi="Times New Roman"/>
          <w:color w:val="000000"/>
          <w:sz w:val="18"/>
        </w:rPr>
        <w:t>(Mark one)</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[X] QUARTERLY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quarterly period ended June 30, 2026</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or</w:t>
      </w:r>
    </w:p>
    <w:p>
      <w:pPr>
        <w:pStyle w:val="TextBody"/>
        <w:bidi w:val="0"/>
        <w:spacing w:before="60" w:after="283"/>
        <w:jc w:val="left"/>
        <w:rPr>
          <w:rFonts w:ascii="Times New Roman" w:hAnsi="Times New Roman"/>
          <w:sz w:val="20"/>
        </w:rPr>
      </w:pPr>
      <w:r>
        <w:rPr>
          <w:rFonts w:ascii="Times New Roman" w:hAnsi="Times New Roman"/>
          <w:b/>
          <w:color w:val="000000"/>
          <w:sz w:val="18"/>
        </w:rPr>
        <w:t>[ ]</w:t>
      </w:r>
      <w:r>
        <w:rPr>
          <w:rFonts w:ascii="Times New Roman" w:hAnsi="Times New Roman"/>
          <w:color w:val="000000"/>
          <w:sz w:val="2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transition period from _______________ to _______________</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Commission file number 001-39747</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82-1153150</w:t>
            </w:r>
          </w:p>
        </w:tc>
      </w:tr>
      <w:tr>
        <w:trPr/>
        <w:tc>
          <w:tcPr>
            <w:tcW w:w="45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3800 Bridge Parkway, Suite 102</w:t>
      </w:r>
    </w:p>
    <w:p>
      <w:pPr>
        <w:pStyle w:val="TextBody"/>
        <w:bidi w:val="0"/>
        <w:jc w:val="center"/>
        <w:rPr>
          <w:rFonts w:ascii="Times New Roman" w:hAnsi="Times New Roman"/>
          <w:sz w:val="20"/>
        </w:rPr>
      </w:pPr>
      <w:r>
        <w:rPr>
          <w:rFonts w:ascii="Times New Roman" w:hAnsi="Times New Roman"/>
          <w:b/>
          <w:color w:val="000000"/>
          <w:sz w:val="16"/>
        </w:rPr>
        <w:t>Redwood City, California</w:t>
      </w:r>
      <w:r>
        <w:rPr>
          <w:rFonts w:ascii="Times New Roman" w:hAnsi="Times New Roman"/>
          <w:color w:val="000000"/>
          <w:sz w:val="20"/>
        </w:rPr>
        <w:t xml:space="preserve"> </w:t>
      </w:r>
      <w:r>
        <w:rPr>
          <w:rFonts w:ascii="Times New Roman" w:hAnsi="Times New Roman"/>
          <w:b/>
          <w:color w:val="000000"/>
          <w:sz w:val="16"/>
        </w:rPr>
        <w:t>94065</w:t>
      </w:r>
    </w:p>
    <w:p>
      <w:pPr>
        <w:pStyle w:val="TextBody"/>
        <w:bidi w:val="0"/>
        <w:jc w:val="center"/>
        <w:rPr>
          <w:rFonts w:ascii="Times New Roman" w:hAnsi="Times New Roman"/>
          <w:b/>
          <w:color w:val="000000"/>
          <w:sz w:val="16"/>
        </w:rPr>
      </w:pPr>
      <w:r>
        <w:rPr>
          <w:rFonts w:ascii="Times New Roman" w:hAnsi="Times New Roman"/>
          <w:b/>
          <w:color w:val="000000"/>
          <w:sz w:val="16"/>
        </w:rPr>
        <w:t>650-453-0000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i/>
          <w:color w:val="000000"/>
          <w:sz w:val="16"/>
        </w:rPr>
      </w:pPr>
      <w:r>
        <w:rPr>
          <w:rFonts w:ascii="Times New Roman" w:hAnsi="Times New Roman"/>
          <w:i/>
          <w:color w:val="000000"/>
          <w:sz w:val="16"/>
        </w:rPr>
        <w:t>Copies to:</w:t>
      </w:r>
    </w:p>
    <w:p>
      <w:pPr>
        <w:pStyle w:val="TextBody"/>
        <w:bidi w:val="0"/>
        <w:jc w:val="center"/>
        <w:rPr/>
      </w:pPr>
      <w:r>
        <w:rPr/>
        <w:t> </w:t>
      </w:r>
    </w:p>
    <w:tbl>
      <w:tblPr>
        <w:tblW w:w="7375" w:type="dxa"/>
        <w:jc w:val="left"/>
        <w:tblInd w:w="0" w:type="dxa"/>
        <w:tblLayout w:type="fixed"/>
        <w:tblCellMar>
          <w:top w:w="28" w:type="dxa"/>
          <w:left w:w="28" w:type="dxa"/>
          <w:bottom w:w="28" w:type="dxa"/>
          <w:right w:w="28" w:type="dxa"/>
        </w:tblCellMar>
      </w:tblPr>
      <w:tblGrid>
        <w:gridCol w:w="2656"/>
        <w:gridCol w:w="146"/>
        <w:gridCol w:w="1456"/>
        <w:gridCol w:w="146"/>
        <w:gridCol w:w="29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spacing w:before="6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August 5, 2026, the registrant had 55,372,015</w:t>
      </w:r>
      <w:r>
        <w:rPr>
          <w:rFonts w:ascii="Times New Roman" w:hAnsi="Times New Roman"/>
          <w:color w:val="000000"/>
          <w:sz w:val="20"/>
        </w:rPr>
        <w:t xml:space="preserve"> </w:t>
      </w:r>
      <w:r>
        <w:rPr>
          <w:rFonts w:ascii="Times New Roman" w:hAnsi="Times New Roman"/>
          <w:color w:val="000000"/>
          <w:sz w:val="16"/>
        </w:rPr>
        <w:t>shares of Class A common stock, $0.00001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p>
      <w:pPr>
        <w:pStyle w:val="TextBody"/>
        <w:bidi w:val="0"/>
        <w:jc w:val="center"/>
        <w:rPr/>
      </w:pPr>
      <w:bookmarkStart w:id="2" w:name="toc_page"/>
      <w:bookmarkEnd w:id="2"/>
      <w:r>
        <w:rPr/>
        <w:t> </w:t>
      </w:r>
    </w:p>
    <w:tbl>
      <w:tblPr>
        <w:tblW w:w="8553" w:type="dxa"/>
        <w:jc w:val="left"/>
        <w:tblInd w:w="0" w:type="dxa"/>
        <w:tblLayout w:type="fixed"/>
        <w:tblCellMar>
          <w:top w:w="28" w:type="dxa"/>
          <w:left w:w="28" w:type="dxa"/>
          <w:bottom w:w="28" w:type="dxa"/>
          <w:right w:w="28" w:type="dxa"/>
        </w:tblCellMar>
      </w:tblPr>
      <w:tblGrid>
        <w:gridCol w:w="826"/>
        <w:gridCol w:w="7366"/>
        <w:gridCol w:w="361"/>
      </w:tblGrid>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statementsstockholdersequity">
              <w:r>
                <w:rPr>
                  <w:rStyle w:val="InternetLink"/>
                  <w:rFonts w:ascii="Times New Roman" w:hAnsi="Times New Roman"/>
                  <w:color w:val="0000FF"/>
                  <w:sz w:val="20"/>
                  <w:u w:val="single"/>
                </w:rPr>
                <w:t>Condensed Consolidated Statements of Stockholders’ Equity</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5</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19</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28</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28</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30</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88</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estimates of our addressable market, market growth, key performance indicators, capital requirements and our needs for additional financing;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our financial performance, including among others, revenue, cost of revenue, gross profit, operating expenses, loss from operations and net losses;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execute our commercial strategy and attract customers, including our plans for international expansion;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implementation of our business model, strategic plans and pricing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the rate and degree of market acceptance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the Proteograph Product Suite on the field of proteomics and the size and growth of the addressable proteomics market;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competitive companies and technologies and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manage and grow our business;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and commercialize new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or defend claims of infringement;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performance of third-party manufacturers and suppliers;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potential effects of government regulation and legislation;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hire and retain key personnel and to manage our future growth effectively;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volatility of the trading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benefits and risks of our investment in PrognomiQ, Inc.;</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local, regional, and national and international economic conditions and events;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macroeconomic factors, such as tariffs and trade relations, pandemics, inflation, supply chain interruptions and foreign hostilities, on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about market trends.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80"/>
        <w:jc w:val="center"/>
        <w:rPr>
          <w:rFonts w:ascii="Times New Roman" w:hAnsi="Times New Roman"/>
          <w:sz w:val="20"/>
        </w:rPr>
      </w:pPr>
      <w:bookmarkStart w:id="3" w:name="part_1_financial_information"/>
      <w:bookmarkEnd w:id="3"/>
      <w:r>
        <w:rPr>
          <w:rFonts w:ascii="Times New Roman" w:hAnsi="Times New Roman"/>
          <w:b/>
          <w:color w:val="000000"/>
          <w:sz w:val="20"/>
        </w:rPr>
        <w:t>PART I</w:t>
      </w:r>
      <w:r>
        <w:rPr>
          <w:rFonts w:ascii="Times New Roman" w:hAnsi="Times New Roman"/>
          <w:color w:val="000000"/>
          <w:sz w:val="20"/>
        </w:rPr>
        <w:t>—</w:t>
      </w:r>
      <w:r>
        <w:rPr>
          <w:rFonts w:ascii="Times New Roman" w:hAnsi="Times New Roman"/>
          <w:b/>
          <w:color w:val="000000"/>
          <w:sz w:val="20"/>
        </w:rPr>
        <w:t>FINANCIAL INFORMATION</w:t>
      </w:r>
    </w:p>
    <w:p>
      <w:pPr>
        <w:pStyle w:val="TextBody"/>
        <w:bidi w:val="0"/>
        <w:spacing w:before="0" w:after="8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8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537" w:type="dxa"/>
        <w:jc w:val="left"/>
        <w:tblInd w:w="0" w:type="dxa"/>
        <w:tblLayout w:type="fixed"/>
        <w:tblCellMar>
          <w:top w:w="28" w:type="dxa"/>
          <w:left w:w="28" w:type="dxa"/>
          <w:bottom w:w="28" w:type="dxa"/>
          <w:right w:w="28" w:type="dxa"/>
        </w:tblCellMar>
      </w:tblPr>
      <w:tblGrid>
        <w:gridCol w:w="6321"/>
        <w:gridCol w:w="146"/>
        <w:gridCol w:w="211"/>
        <w:gridCol w:w="841"/>
        <w:gridCol w:w="166"/>
        <w:gridCol w:w="146"/>
        <w:gridCol w:w="219"/>
        <w:gridCol w:w="876"/>
        <w:gridCol w:w="6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138,612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201,534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as of</w:t>
              <w:br/>
              <w:t>    June 30, 2026 and December 31, 2025; zero</w:t>
            </w:r>
            <w:r>
              <w:rPr>
                <w:rFonts w:ascii="Times New Roman" w:hAnsi="Times New Roman"/>
                <w:color w:val="000000"/>
                <w:sz w:val="20"/>
              </w:rPr>
              <w:t> </w:t>
            </w:r>
            <w:r>
              <w:rPr>
                <w:rFonts w:ascii="Times New Roman" w:hAnsi="Times New Roman"/>
                <w:color w:val="000000"/>
                <w:sz w:val="19"/>
              </w:rPr>
              <w:t xml:space="preserve">shares issued and </w:t>
              <w:br/>
              <w:t>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A common stock, $0.00001</w:t>
            </w:r>
            <w:r>
              <w:rPr>
                <w:rFonts w:ascii="Times New Roman" w:hAnsi="Times New Roman"/>
                <w:color w:val="000000"/>
                <w:sz w:val="20"/>
              </w:rPr>
              <w:t> </w:t>
            </w:r>
            <w:r>
              <w:rPr>
                <w:rFonts w:ascii="Times New Roman" w:hAnsi="Times New Roman"/>
                <w:color w:val="000000"/>
                <w:sz w:val="19"/>
              </w:rPr>
              <w:t>par value; 94,000,000</w:t>
            </w:r>
            <w:r>
              <w:rPr>
                <w:rFonts w:ascii="Times New Roman" w:hAnsi="Times New Roman"/>
                <w:color w:val="000000"/>
                <w:sz w:val="20"/>
              </w:rPr>
              <w:t> </w:t>
            </w:r>
            <w:r>
              <w:rPr>
                <w:rFonts w:ascii="Times New Roman" w:hAnsi="Times New Roman"/>
                <w:color w:val="000000"/>
                <w:sz w:val="19"/>
              </w:rPr>
              <w:t>shares authorized</w:t>
              <w:br/>
              <w:t>    as of June 30, 2026 and December 31, 2025; 55,300,389</w:t>
            </w:r>
            <w:r>
              <w:rPr>
                <w:rFonts w:ascii="Times New Roman" w:hAnsi="Times New Roman"/>
                <w:color w:val="000000"/>
                <w:sz w:val="20"/>
              </w:rPr>
              <w:t> </w:t>
            </w:r>
            <w:r>
              <w:rPr>
                <w:rFonts w:ascii="Times New Roman" w:hAnsi="Times New Roman"/>
                <w:color w:val="000000"/>
                <w:sz w:val="19"/>
              </w:rPr>
              <w:t xml:space="preserve">and </w:t>
              <w:br/>
              <w:t>    56,219,599</w:t>
            </w:r>
            <w:r>
              <w:rPr>
                <w:rFonts w:ascii="Times New Roman" w:hAnsi="Times New Roman"/>
                <w:color w:val="000000"/>
                <w:sz w:val="20"/>
              </w:rPr>
              <w:t> </w:t>
            </w:r>
            <w:r>
              <w:rPr>
                <w:rFonts w:ascii="Times New Roman" w:hAnsi="Times New Roman"/>
                <w:color w:val="000000"/>
                <w:sz w:val="19"/>
              </w:rPr>
              <w:t xml:space="preserve">shares issued and outstanding as of June 30,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B common stock, $0.00001</w:t>
            </w:r>
            <w:r>
              <w:rPr>
                <w:rFonts w:ascii="Times New Roman" w:hAnsi="Times New Roman"/>
                <w:color w:val="000000"/>
                <w:sz w:val="20"/>
              </w:rPr>
              <w:t> </w:t>
            </w:r>
            <w:r>
              <w:rPr>
                <w:rFonts w:ascii="Times New Roman" w:hAnsi="Times New Roman"/>
                <w:color w:val="000000"/>
                <w:sz w:val="19"/>
              </w:rPr>
              <w:t>par value; 134,268</w:t>
            </w:r>
            <w:r>
              <w:rPr>
                <w:rFonts w:ascii="Times New Roman" w:hAnsi="Times New Roman"/>
                <w:color w:val="000000"/>
                <w:sz w:val="20"/>
              </w:rPr>
              <w:t> </w:t>
            </w:r>
            <w:r>
              <w:rPr>
                <w:rFonts w:ascii="Times New Roman" w:hAnsi="Times New Roman"/>
                <w:color w:val="000000"/>
                <w:sz w:val="19"/>
              </w:rPr>
              <w:t>shares authorized</w:t>
              <w:br/>
              <w:t>   as of June 30, 2026 and December 31, 2025; zero</w:t>
            </w:r>
            <w:r>
              <w:rPr>
                <w:rFonts w:ascii="Times New Roman" w:hAnsi="Times New Roman"/>
                <w:color w:val="000000"/>
                <w:sz w:val="20"/>
              </w:rPr>
              <w:t> </w:t>
            </w:r>
            <w:r>
              <w:rPr>
                <w:rFonts w:ascii="Times New Roman" w:hAnsi="Times New Roman"/>
                <w:color w:val="000000"/>
                <w:sz w:val="19"/>
              </w:rPr>
              <w:t>shares</w:t>
              <w:br/>
              <w:t>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724,819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(465,972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259,307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6" w:name="consolidated_statements_of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90"/>
        <w:gridCol w:w="211"/>
        <w:gridCol w:w="1036"/>
        <w:gridCol w:w="566"/>
        <w:gridCol w:w="546"/>
        <w:gridCol w:w="211"/>
        <w:gridCol w:w="1036"/>
        <w:gridCol w:w="546"/>
        <w:gridCol w:w="546"/>
        <w:gridCol w:w="211"/>
        <w:gridCol w:w="1036"/>
        <w:gridCol w:w="166"/>
        <w:gridCol w:w="146"/>
        <w:gridCol w:w="211"/>
        <w:gridCol w:w="1036"/>
        <w:gridCol w:w="611"/>
      </w:tblGrid>
      <w:tr>
        <w:trPr/>
        <w:tc>
          <w:tcPr>
            <w:tcW w:w="2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w:t>
              <w:br/>
              <w:t>   common stockholders,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per </w:t>
              <w:br/>
              <w:t xml:space="preserve">   share attributable to Class A and Class B common </w:t>
              <w:br/>
              <w:t>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55,164,080</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58,087,565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55,577,709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58,744,490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7" w:name="consolidatedstatementsstockholdersequity"/>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3"/>
        <w:gridCol w:w="146"/>
        <w:gridCol w:w="146"/>
        <w:gridCol w:w="916"/>
        <w:gridCol w:w="166"/>
        <w:gridCol w:w="146"/>
        <w:gridCol w:w="206"/>
        <w:gridCol w:w="365"/>
        <w:gridCol w:w="146"/>
        <w:gridCol w:w="146"/>
        <w:gridCol w:w="215"/>
        <w:gridCol w:w="759"/>
        <w:gridCol w:w="166"/>
        <w:gridCol w:w="146"/>
        <w:gridCol w:w="196"/>
        <w:gridCol w:w="751"/>
        <w:gridCol w:w="166"/>
        <w:gridCol w:w="146"/>
        <w:gridCol w:w="412"/>
        <w:gridCol w:w="920"/>
        <w:gridCol w:w="166"/>
        <w:gridCol w:w="146"/>
        <w:gridCol w:w="196"/>
        <w:gridCol w:w="691"/>
        <w:gridCol w:w="413"/>
      </w:tblGrid>
      <w:tr>
        <w:trPr/>
        <w:tc>
          <w:tcPr>
            <w:tcW w:w="2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56,219,599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259,307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exercise of options and </w:t>
              <w:br/>
              <w:t>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55,065,984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241,479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exercise of options and </w:t>
              <w:br/>
              <w:t>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55,300,389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225,680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9"/>
        <w:gridCol w:w="146"/>
        <w:gridCol w:w="146"/>
        <w:gridCol w:w="916"/>
        <w:gridCol w:w="166"/>
        <w:gridCol w:w="146"/>
        <w:gridCol w:w="206"/>
        <w:gridCol w:w="365"/>
        <w:gridCol w:w="146"/>
        <w:gridCol w:w="146"/>
        <w:gridCol w:w="214"/>
        <w:gridCol w:w="758"/>
        <w:gridCol w:w="166"/>
        <w:gridCol w:w="146"/>
        <w:gridCol w:w="196"/>
        <w:gridCol w:w="751"/>
        <w:gridCol w:w="166"/>
        <w:gridCol w:w="146"/>
        <w:gridCol w:w="453"/>
        <w:gridCol w:w="874"/>
        <w:gridCol w:w="146"/>
        <w:gridCol w:w="146"/>
        <w:gridCol w:w="196"/>
        <w:gridCol w:w="691"/>
        <w:gridCol w:w="414"/>
      </w:tblGrid>
      <w:tr>
        <w:trPr/>
        <w:tc>
          <w:tcPr>
            <w:tcW w:w="2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release of restricted stock </w:t>
              <w:br/>
              <w:t>    units, net of shares settled for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59,430,035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311,006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exercise of options and </w:t>
              <w:br/>
              <w:t>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(3,874,486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56,328,539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719,728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288,292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094" w:type="dxa"/>
        <w:jc w:val="left"/>
        <w:tblInd w:w="0" w:type="dxa"/>
        <w:tblLayout w:type="fixed"/>
        <w:tblCellMar>
          <w:top w:w="28" w:type="dxa"/>
          <w:left w:w="28" w:type="dxa"/>
          <w:bottom w:w="28" w:type="dxa"/>
          <w:right w:w="28" w:type="dxa"/>
        </w:tblCellMar>
      </w:tblPr>
      <w:tblGrid>
        <w:gridCol w:w="7021"/>
        <w:gridCol w:w="146"/>
        <w:gridCol w:w="196"/>
        <w:gridCol w:w="661"/>
        <w:gridCol w:w="166"/>
        <w:gridCol w:w="146"/>
        <w:gridCol w:w="196"/>
        <w:gridCol w:w="751"/>
        <w:gridCol w:w="811"/>
      </w:tblGrid>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amortization of premium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(recovery) for inventory excess and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liabilities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132,964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equity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SAFE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Class A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Class A common stock under share repurchase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paid related to net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Class A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38,455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stock-based compensation related to internal-use 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Inventory transferred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transferred to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ORGANIZATION AND DESCRIPTION OF THE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has incurred significant losses and has had negative cash flows from operations since inception. As of June 30, 2026, the Company had cash and cash equivalents and investments of $209.5 million and an accumulated deficit of $499.7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June 30, 2026 provide sufficient capital resources to continue its operations for at least twelve months from the issuance date of the accompanying unaudited condensed consolidated financial statements.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(U.S. GAAP) and pursuant to the rules and regulations of the Securities and Exchange Commission (SEC) for interim financial reporting. Accordingly, they do not include all of the information and footnotes required by U.S. GAAP for complete financial statements. The unaudited condensed consolidated financial statements should be read in conjunction with the audited consolidated financial statements and notes included in our Annual Report on Form 10-K for the year ended December 31, 2025, which was filed with the SEC on March 2, 2026. The results of operations for the three and six months ended June 30, 2026 are not necessarily indicative of the results to be expected for the entire fiscal year or any future periods.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Seer, Inc. and its wholly-owned subsidiaries. All intercompany transactions and balances have been eliminated.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restricted cash, accounts receivable,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months ended June 30, 2026, one customer accounted for 13% of total revenue. No single customer accounted for 10% or more of total revenue for the six months ended June 30, 2026. For the three months ended June 30, 2025, three customers, including a related party, accounted for 13%, 11%, and 10% of total revenue. For the six months ended June 30, 2025, one customer accounted for 10% of total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and six months ended June 30, 2026, 57% and 50% of the Company's total revenue, respectively, was generated outside of the United States, primarily from countries in Asia and Europe. For the three and six months ended June 30, 2025, 33% and 35%, respectively, of the Company's total revenue, was generated outside of the United States, primarily from countries in Asia and Europe.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one customer represented 10% of the Company's total accounts receivable balance. As of December 31, 2025, three customers represented 13%, 11%, and 10% of the Company's total accounts receivable balance.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June 22, 2026, the Company invested $0.3 million in PrognomiQ, Inc. (PrognomiQ) through a Simple Agreement for Future Equity ("SAFE"). The SAFE provides the Company with the right to receive SAFE Preferred Stock upon the occurrence of a future equity financing, liquidity event, or dissolution event, subject to the terms and conditions of the SAFE agreement. The SAFE does not accrue interest, has no maturity date, and does not provide voting or protective rights prior to conversion.</w:t>
      </w:r>
    </w:p>
    <w:p>
      <w:pPr>
        <w:pStyle w:val="TextBody"/>
        <w:bidi w:val="0"/>
        <w:jc w:val="left"/>
        <w:rPr>
          <w:rFonts w:ascii="Times New Roman" w:hAnsi="Times New Roman"/>
          <w:sz w:val="20"/>
        </w:rPr>
      </w:pPr>
      <w:r>
        <w:rPr>
          <w:rFonts w:ascii="Times New Roman" w:hAnsi="Times New Roman"/>
          <w:color w:val="000000"/>
          <w:sz w:val="20"/>
        </w:rPr>
        <w:t xml:space="preserve">The investment is accounted for as a non-marketable equity security under ASC 321, </w:t>
      </w:r>
      <w:r>
        <w:rPr>
          <w:rFonts w:ascii="Times New Roman" w:hAnsi="Times New Roman"/>
          <w:i/>
          <w:color w:val="000000"/>
          <w:sz w:val="20"/>
        </w:rPr>
        <w:t>Investments - Equity Securities,</w:t>
      </w:r>
      <w:r>
        <w:rPr>
          <w:rFonts w:ascii="Times New Roman" w:hAnsi="Times New Roman"/>
          <w:color w:val="000000"/>
          <w:sz w:val="20"/>
        </w:rPr>
        <w:t xml:space="preserve"> and is measured using the measurement alternative at cost, less impairment, adjusted for observable price changes in orderly transactions for an identical or similar investment of the same issuer.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for the accounting policy adopted for the SAFE investment, there have been no material changes to the significant accounting policies as of and for the three and six months ended June 30, 2026, as compared to the significant accounting policies described in the Company's Annual Report on Form 10-K for the fiscal year ended December 31, 2025 filed with the SEC.</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Cash equivalents consist primarily of amounts invested in money market funds, U.S. Treasury securities, U.S. Non-Treasury securities, commercial paper, and corporate debt securities and are stated at fair value.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Restricted cash represents cash held by a financial institution as security for a letter of credit issued to the lessor for one of the Company’s operating leases and is classified as noncurrent.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unaudited condensed consolidated balance sheets that sum to the total of the same amounts shown in the unaudited condensed consolidated statements of cash flows (in thousands):</w:t>
      </w:r>
    </w:p>
    <w:p>
      <w:pPr>
        <w:pStyle w:val="TextBody"/>
        <w:bidi w:val="0"/>
        <w:jc w:val="left"/>
        <w:rPr/>
      </w:pPr>
      <w:r>
        <w:rPr/>
        <w:t> </w:t>
      </w:r>
    </w:p>
    <w:tbl>
      <w:tblPr>
        <w:tblW w:w="6351" w:type="dxa"/>
        <w:jc w:val="left"/>
        <w:tblInd w:w="0" w:type="dxa"/>
        <w:tblLayout w:type="fixed"/>
        <w:tblCellMar>
          <w:top w:w="28" w:type="dxa"/>
          <w:left w:w="28" w:type="dxa"/>
          <w:bottom w:w="28" w:type="dxa"/>
          <w:right w:w="28" w:type="dxa"/>
        </w:tblCellMar>
      </w:tblPr>
      <w:tblGrid>
        <w:gridCol w:w="3946"/>
        <w:gridCol w:w="146"/>
        <w:gridCol w:w="211"/>
        <w:gridCol w:w="677"/>
        <w:gridCol w:w="146"/>
        <w:gridCol w:w="146"/>
        <w:gridCol w:w="211"/>
        <w:gridCol w:w="677"/>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which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to measure credit losses on current accounts receivable and current contract assets that arise from transactions accounted for under Topic 606. The practical expedient assumes that current conditions as of the balance sheet date do not change for the remaining life of the asset when developing reasonable and supportable forecasts as part of estimating expected credit losses. The update is effective for annual reporting periods beginning after December 15, 2025, and interim reporting periods within those annual reporting periods, on a prospective basis, with early adoption permitted. The Company is currently in the process of evaluating the impact of this pronouncement on its consolidated financial statements and related disclosures.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which replaces the current stage-based capitalization model with a principles-based approach. Under the new guidance, costs are capitalized once management authorizes and commits to funding the software project, it is probable that the project will be completed and the software will be used to perform the function intended. The update is effective for annual periods beginning after December 15, 2027, with early adoption permitted as of the beginning of an annual period. The Company is currently in the process of evaluating the impact of this pronouncement on its consolidated financial statements and related disclosures.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FAIR VALUE MEASUREMENTS AND FAIR VALUE OF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tables set forth the Company’s financial assets that were measured at fair value on a recurring basis by level within the fair value hierarchy utilized to determine such values (in thousands).</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110,466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summary of the Company’s cash equivalents and investments and the gross unrealized holding gains and losses (in thousands):</w:t>
      </w:r>
    </w:p>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510"/>
        <w:gridCol w:w="840"/>
        <w:gridCol w:w="146"/>
        <w:gridCol w:w="146"/>
        <w:gridCol w:w="420"/>
        <w:gridCol w:w="960"/>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110,466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6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522"/>
        <w:gridCol w:w="858"/>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does not have investments that have been in a continuous unrealized loss position for twelve months or longer. To date, the Company has not recorded any credit loss charges on marketable securities related to other-than-temporary declines in market value. As of June 30, 2026, $56.6 million of available-for-sale investments had remaining maturities between one and two years. The remainder of the available-for-sale investments have a remaining maturity of one year or less. As of June 30, 2026 and December 31, 2025, the Company recorded $1.2 million and $1.4 million, respectively, of accrued interest related to its available-for-sale investments and is presented as other receivables on the unaudited condensed consolidated balance sheets.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OTHER FINANCIAL STATEMENT INFORMATION</w:t>
      </w:r>
    </w:p>
    <w:p>
      <w:pPr>
        <w:pStyle w:val="TextBody"/>
        <w:bidi w:val="0"/>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785" w:type="dxa"/>
        <w:jc w:val="left"/>
        <w:tblInd w:w="0" w:type="dxa"/>
        <w:tblLayout w:type="fixed"/>
        <w:tblCellMar>
          <w:top w:w="28" w:type="dxa"/>
          <w:left w:w="28" w:type="dxa"/>
          <w:bottom w:w="28" w:type="dxa"/>
          <w:right w:w="28" w:type="dxa"/>
        </w:tblCellMar>
      </w:tblPr>
      <w:tblGrid>
        <w:gridCol w:w="1531"/>
        <w:gridCol w:w="146"/>
        <w:gridCol w:w="303"/>
        <w:gridCol w:w="822"/>
        <w:gridCol w:w="146"/>
        <w:gridCol w:w="146"/>
        <w:gridCol w:w="403"/>
        <w:gridCol w:w="1097"/>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4111"/>
        <w:gridCol w:w="146"/>
        <w:gridCol w:w="250"/>
        <w:gridCol w:w="875"/>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depreciation and amortization expense of $1.5 million and $3.0 million, respectively. For the three and six months ended June 30, 2025, the Company recognized depreciation and amortization expense of $1.5 million and $3.1 million,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5775" w:type="dxa"/>
        <w:jc w:val="left"/>
        <w:tblInd w:w="0" w:type="dxa"/>
        <w:tblLayout w:type="fixed"/>
        <w:tblCellMar>
          <w:top w:w="28" w:type="dxa"/>
          <w:left w:w="28" w:type="dxa"/>
          <w:bottom w:w="28" w:type="dxa"/>
          <w:right w:w="28" w:type="dxa"/>
        </w:tblCellMar>
      </w:tblPr>
      <w:tblGrid>
        <w:gridCol w:w="2521"/>
        <w:gridCol w:w="146"/>
        <w:gridCol w:w="303"/>
        <w:gridCol w:w="822"/>
        <w:gridCol w:w="146"/>
        <w:gridCol w:w="146"/>
        <w:gridCol w:w="403"/>
        <w:gridCol w:w="1097"/>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REVENUE AND DEFERRED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party, as further discussed in Note 10. Other revenue consists of shipping revenue and lease arrangements.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Deferred revenue activities consist of the following (in thousands):</w:t>
      </w:r>
    </w:p>
    <w:p>
      <w:pPr>
        <w:pStyle w:val="TextBody"/>
        <w:bidi w:val="0"/>
        <w:jc w:val="left"/>
        <w:rPr/>
      </w:pPr>
      <w:r>
        <w:rPr/>
        <w:t> </w:t>
      </w:r>
    </w:p>
    <w:tbl>
      <w:tblPr>
        <w:tblW w:w="8291" w:type="dxa"/>
        <w:jc w:val="left"/>
        <w:tblInd w:w="0" w:type="dxa"/>
        <w:tblLayout w:type="fixed"/>
        <w:tblCellMar>
          <w:top w:w="28" w:type="dxa"/>
          <w:left w:w="28" w:type="dxa"/>
          <w:bottom w:w="28" w:type="dxa"/>
          <w:right w:w="28" w:type="dxa"/>
        </w:tblCellMar>
      </w:tblPr>
      <w:tblGrid>
        <w:gridCol w:w="5866"/>
        <w:gridCol w:w="146"/>
        <w:gridCol w:w="257"/>
        <w:gridCol w:w="587"/>
        <w:gridCol w:w="202"/>
        <w:gridCol w:w="178"/>
        <w:gridCol w:w="257"/>
        <w:gridCol w:w="587"/>
        <w:gridCol w:w="2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transaction price allocated to remaining performance obligations relates to amounts allocated to products, services and lease arrangements for which revenue has not yet been recognized. A significant portion of these performance obligations relate to service obligations that will be satisfied and recognized as revenue in future periods. As of June 30, 2026, the Company had $0.4 million of remaining performance obligations, of which 70% is expected to be recognized within twelve months.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6. CAPITAL STOCK AND STOCKHOLDERS’ EQUITY</w:t>
      </w:r>
    </w:p>
    <w:p>
      <w:pPr>
        <w:pStyle w:val="TextBody"/>
        <w:bidi w:val="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June 30, 2026, the Company is authorized to issue 99,134,268 shares of capital stock consisting of 94,000,000 shares of Class A common stock, 134,268 shares of Class B common stock, and 5,000,000 shares of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December 9, 2025, all of the Company's outstanding Class B common stock were automatically converted (the "Conversion") into the same number of shares of Class A common stock pursuant to the terms of the Company’s Amended and Restated Certificate of Incorporation, as amended. The Company does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Holders of Class A common stock are entitled to dividends as declared by the Board of Directors, subject to rights of holders of all classes of stock outstanding having priority rights as to dividends. There have been no dividends declared to date.</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May 3, 2024, the Company’s Board of Directors approved a share repurchase program under which the Company is authorized to purchase up to $25.0 million of its issued and outstanding Class A common stock.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up to $25.0 million of additional repurchases of its issued and outstanding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summarizes the Company's share repurchase activity for each period indicated (in thousands except per share data):</w:t>
      </w:r>
    </w:p>
    <w:tbl>
      <w:tblPr>
        <w:tblW w:w="8167" w:type="dxa"/>
        <w:jc w:val="left"/>
        <w:tblInd w:w="0" w:type="dxa"/>
        <w:tblLayout w:type="fixed"/>
        <w:tblCellMar>
          <w:top w:w="28" w:type="dxa"/>
          <w:left w:w="28" w:type="dxa"/>
          <w:bottom w:w="28" w:type="dxa"/>
          <w:right w:w="28" w:type="dxa"/>
        </w:tblCellMar>
      </w:tblPr>
      <w:tblGrid>
        <w:gridCol w:w="2536"/>
        <w:gridCol w:w="146"/>
        <w:gridCol w:w="211"/>
        <w:gridCol w:w="781"/>
        <w:gridCol w:w="146"/>
        <w:gridCol w:w="146"/>
        <w:gridCol w:w="211"/>
        <w:gridCol w:w="931"/>
        <w:gridCol w:w="146"/>
        <w:gridCol w:w="146"/>
        <w:gridCol w:w="211"/>
        <w:gridCol w:w="931"/>
        <w:gridCol w:w="146"/>
        <w:gridCol w:w="146"/>
        <w:gridCol w:w="211"/>
        <w:gridCol w:w="93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cost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per share cost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broker commissions and excludes excise tax.</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Average price paid per share is calculated on a settlement basis and excludes broker commissions and excise tax.</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June 30, 2026, the Company has a total of $25.1 million, excluding broker commissions and excise tax, available for future share repurchases.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Tax Benefit Preservation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February 26, 2026, the Company's Board of Directors authorized and declared a dividend distribution of one right (a "Right") for each outstanding share of Class A common stock to stockholders of record as of the close of business on March 9, 2026. Each Right entitles the registered holder to purchase from the Company one one-thousandth of a share of Series A Participating Preferred Stock, par value $0.00001 per share (the "Preferred Stock"), of the Company at an exercise price of $11.00 (the "Exercise Price"), subject to adjustment. The complete terms of the Rights are set forth in a Tax Benefit Preservation Plan (the "Plan"), dated as of February 26, 2026, between the Company and Computershare Trust Company, N.A., as rights agent.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Under the Plan, if an Acquiring Person (as defined in the Plan) obtains beneficial ownership of 4.9% or more of the Class A common stock, then each Right will entitle the holder thereof to purchase, for the Exercise Price, a number of shares of Class A common stock (or, in certain circumstances, cash, property or other securities of the Company) having a then-current market value of twice the Exercise Price.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By adopting the Plan, the Company's Board of Directors is seeking to protect the Company’s ability to use its net operating losses and other tax attributes. The Company views these tax attributes as highly valuable assets of the Company that are likely to inure to the benefit of the Company and its stockholders.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March 13, 2026, the Company entered into Amendment No. 1 to the Plan to clarify the definition of Beneficial Ownership.</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2,146,785 shares of Class A common stock are reserved for future issuance under the 2020 Equity Incentive Plan.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Stock option activity for the six months ended June 30, 2026 is as follows:</w:t>
      </w:r>
    </w:p>
    <w:p>
      <w:pPr>
        <w:pStyle w:val="TextBody"/>
        <w:bidi w:val="0"/>
        <w:jc w:val="left"/>
        <w:rPr/>
      </w:pPr>
      <w:r>
        <w:rPr/>
        <w:t> </w:t>
      </w:r>
    </w:p>
    <w:tbl>
      <w:tblPr>
        <w:tblW w:w="8015" w:type="dxa"/>
        <w:jc w:val="left"/>
        <w:tblInd w:w="0" w:type="dxa"/>
        <w:tblLayout w:type="fixed"/>
        <w:tblCellMar>
          <w:top w:w="28" w:type="dxa"/>
          <w:left w:w="28" w:type="dxa"/>
          <w:bottom w:w="28" w:type="dxa"/>
          <w:right w:w="28" w:type="dxa"/>
        </w:tblCellMar>
      </w:tblPr>
      <w:tblGrid>
        <w:gridCol w:w="3211"/>
        <w:gridCol w:w="146"/>
        <w:gridCol w:w="200"/>
        <w:gridCol w:w="1420"/>
        <w:gridCol w:w="166"/>
        <w:gridCol w:w="146"/>
        <w:gridCol w:w="789"/>
        <w:gridCol w:w="1746"/>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Restricted stock unit activity for the six months ended June 30, 2026 is as follows: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596"/>
        <w:gridCol w:w="146"/>
        <w:gridCol w:w="191"/>
        <w:gridCol w:w="1219"/>
        <w:gridCol w:w="166"/>
        <w:gridCol w:w="146"/>
        <w:gridCol w:w="472"/>
        <w:gridCol w:w="104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1,957,100 shares of Class A common stock are reserved for issuance under the employee stock purchase plan (ESPP). During the six months ended June 30, 2026, 69,431 shares of Class A common stock were issued under the ESPP.</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components of stock-based compensation recognized in the Company’s unaudited condensed consolidated statements of operations and comprehensive loss (in thousands):</w:t>
      </w:r>
    </w:p>
    <w:p>
      <w:pPr>
        <w:pStyle w:val="TextBody"/>
        <w:bidi w:val="0"/>
        <w:jc w:val="left"/>
        <w:rPr/>
      </w:pPr>
      <w:r>
        <w:rPr/>
        <w:t> </w:t>
      </w:r>
    </w:p>
    <w:tbl>
      <w:tblPr>
        <w:tblW w:w="7917" w:type="dxa"/>
        <w:jc w:val="left"/>
        <w:tblInd w:w="0" w:type="dxa"/>
        <w:tblLayout w:type="fixed"/>
        <w:tblCellMar>
          <w:top w:w="28" w:type="dxa"/>
          <w:left w:w="28" w:type="dxa"/>
          <w:bottom w:w="28" w:type="dxa"/>
          <w:right w:w="28" w:type="dxa"/>
        </w:tblCellMar>
      </w:tblPr>
      <w:tblGrid>
        <w:gridCol w:w="2956"/>
        <w:gridCol w:w="146"/>
        <w:gridCol w:w="257"/>
        <w:gridCol w:w="697"/>
        <w:gridCol w:w="178"/>
        <w:gridCol w:w="178"/>
        <w:gridCol w:w="257"/>
        <w:gridCol w:w="697"/>
        <w:gridCol w:w="146"/>
        <w:gridCol w:w="146"/>
        <w:gridCol w:w="235"/>
        <w:gridCol w:w="637"/>
        <w:gridCol w:w="162"/>
        <w:gridCol w:w="162"/>
        <w:gridCol w:w="235"/>
        <w:gridCol w:w="637"/>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June 30, 2026 and December 31, 2025, which is secured by restricted cash and is presented as noncurrent at each date based on the term of the underlying lease.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components of lease expense and supplemental information were as follows (in thousands):</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1876"/>
        <w:gridCol w:w="146"/>
        <w:gridCol w:w="257"/>
        <w:gridCol w:w="697"/>
        <w:gridCol w:w="178"/>
        <w:gridCol w:w="178"/>
        <w:gridCol w:w="257"/>
        <w:gridCol w:w="697"/>
        <w:gridCol w:w="146"/>
        <w:gridCol w:w="146"/>
        <w:gridCol w:w="235"/>
        <w:gridCol w:w="637"/>
        <w:gridCol w:w="162"/>
        <w:gridCol w:w="162"/>
        <w:gridCol w:w="235"/>
        <w:gridCol w:w="637"/>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57" w:type="dxa"/>
        <w:jc w:val="left"/>
        <w:tblInd w:w="0" w:type="dxa"/>
        <w:tblLayout w:type="fixed"/>
        <w:tblCellMar>
          <w:top w:w="28" w:type="dxa"/>
          <w:left w:w="28" w:type="dxa"/>
          <w:bottom w:w="28" w:type="dxa"/>
          <w:right w:w="28" w:type="dxa"/>
        </w:tblCellMar>
      </w:tblPr>
      <w:tblGrid>
        <w:gridCol w:w="4126"/>
        <w:gridCol w:w="146"/>
        <w:gridCol w:w="211"/>
        <w:gridCol w:w="522"/>
        <w:gridCol w:w="392"/>
        <w:gridCol w:w="211"/>
        <w:gridCol w:w="211"/>
        <w:gridCol w:w="52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Variable lease costs primarily consist of common area maintenance.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tbl>
      <w:tblPr>
        <w:tblW w:w="8211" w:type="dxa"/>
        <w:jc w:val="left"/>
        <w:tblInd w:w="0" w:type="dxa"/>
        <w:tblLayout w:type="fixed"/>
        <w:tblCellMar>
          <w:top w:w="28" w:type="dxa"/>
          <w:left w:w="28" w:type="dxa"/>
          <w:bottom w:w="28" w:type="dxa"/>
          <w:right w:w="28" w:type="dxa"/>
        </w:tblCellMar>
      </w:tblPr>
      <w:tblGrid>
        <w:gridCol w:w="5806"/>
        <w:gridCol w:w="146"/>
        <w:gridCol w:w="235"/>
        <w:gridCol w:w="637"/>
        <w:gridCol w:w="162"/>
        <w:gridCol w:w="162"/>
        <w:gridCol w:w="235"/>
        <w:gridCol w:w="637"/>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future minimum commitments under the Company’s non-cancelable facility operating leases are as follows (in thousands):</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4831"/>
        <w:gridCol w:w="146"/>
        <w:gridCol w:w="211"/>
        <w:gridCol w:w="676"/>
        <w:gridCol w:w="3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 for minimum lease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jc w:val="left"/>
        <w:rPr>
          <w:rFonts w:ascii="Times New Roman" w:hAnsi="Times New Roman"/>
          <w:b/>
          <w:i/>
          <w:color w:val="000000"/>
          <w:sz w:val="20"/>
        </w:rPr>
      </w:pPr>
      <w:r>
        <w:rPr>
          <w:rFonts w:ascii="Times New Roman" w:hAnsi="Times New Roman"/>
          <w:b/>
          <w:i/>
          <w:color w:val="000000"/>
          <w:sz w:val="20"/>
        </w:rPr>
        <w:t>Purchase Commitments and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From time to time, the Company has certain purchase commitments related to its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were nil and $0.4 million as of June 30, 2026 and December 31, 2025,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June 30, 2026 and December 31, 2025, the Company does not have any material indemnification claims that were probable or reasonably possible and consequently has not recorded related liabilities.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business. The Company is not currently a party to any material legal proceedings.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jc w:val="left"/>
        <w:rPr>
          <w:rFonts w:ascii="Times New Roman" w:hAnsi="Times New Roman"/>
          <w:color w:val="000000"/>
          <w:sz w:val="20"/>
        </w:rPr>
      </w:pPr>
      <w:r>
        <w:rPr>
          <w:rFonts w:ascii="Times New Roman" w:hAnsi="Times New Roman"/>
          <w:color w:val="000000"/>
          <w:sz w:val="20"/>
        </w:rPr>
        <w:t>PrognomiQ constitutes a related party and, as of June 30, 2026 and December 31, 2025, the Company recorded $56,000 and $0.3 million in related party receivables, respectively, on the condensed consolidated balance sheets. For the three and six months ended June 30, 2026, the Company recognized no revenue and $56,000, respectively, primarily from services. For the three and six months ended June 30, 2025, the Company recognized revenue of $0.4 million and $0.5 million, respectively, primarily from services. This is presented as related party revenue on the unaudited condensed consolidated statements of operations and comprehensive loss.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August 12, 2024, the Company entered into a preferred stock purchase agreement with PrognomiQ, pursuant to which the Company purchased $10.0 million of PrognomiQ's Series D Preferred Stock. The Company made additional investments in the same series, including $1.9 million in July 2025 and $1.5 million in January 2026. The investment is accounted for as an equity security in accordance with ASC 321.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the carrying value of the investment was $1.0 million and is included in other assets on the unaudited condensed consolidated balance sheets. The carrying value is adjusted by the Company's share in loss in the equity method investment. There were no impairment and recognized gains or losses to the carrying value for the three and six months ended June 30,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the carrying amount of the SAFE investment was $0.3 million and was included in other assets in the accompanying condensed consolidated balance sheets.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Under the SAFE agreement, the Company may be required to make additional investments of up to $1.5 million upon the occurrence of specified contractual events, including funding shortfalls and milestone achievements, prior to the termination of the SAFE. As of June 30, 2026, none of the contractual conditions giving rise to these additional funding obligations had been satisfied. Accordingly, the Company had not recognized a liability related to these commitments as of the reporting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July 2026, the Company received a Shortfall and Milestone Notice pursuant to the SAFE agreement and made an additional investment of $0.4 million.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discussed in Note 6, on December 9, 2025, all of the Company's outstanding Class B common stock were automatically converted (the "Conversion") into the same number of shares of Class A common stock pursuant to the terms of the Company’s Amended and Restated Certificate of Incorporation, as amended. The Company does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 As the liquidation and dividend rights were identical, the Company’s undistributed earnings or losses were allocated on a proportionate basis among the holders of Class A and Class B common stock. As a result, the net loss per share attributed to common stockholders was, therefore, the same for both Class A and Class B common stock on an individual or combined basis.</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computation of basic and diluted net loss per share (in thousands, except share and per share data):</w:t>
      </w:r>
    </w:p>
    <w:p>
      <w:pPr>
        <w:pStyle w:val="TextBody"/>
        <w:bidi w:val="0"/>
        <w:jc w:val="left"/>
        <w:rPr/>
      </w:pPr>
      <w:r>
        <w:rPr/>
        <w:t> </w:t>
      </w:r>
    </w:p>
    <w:tbl>
      <w:tblPr>
        <w:tblW w:w="9417" w:type="dxa"/>
        <w:jc w:val="left"/>
        <w:tblInd w:w="0" w:type="dxa"/>
        <w:tblLayout w:type="fixed"/>
        <w:tblCellMar>
          <w:top w:w="28" w:type="dxa"/>
          <w:left w:w="28" w:type="dxa"/>
          <w:bottom w:w="28" w:type="dxa"/>
          <w:right w:w="28" w:type="dxa"/>
        </w:tblCellMar>
      </w:tblPr>
      <w:tblGrid>
        <w:gridCol w:w="3136"/>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Net loss attributable to Class A and </w:t>
              <w:br/>
              <w:t>    Class B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Weighted-average shares used in </w:t>
              <w:br/>
              <w:t xml:space="preserve">    computing net loss per share </w:t>
              <w:br/>
              <w:t>    attributable to Class A and</w:t>
              <w:br/>
              <w:t xml:space="preserve">    Class B common stockholders, </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55,164,080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58,087,565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55,577,709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58,744,490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w:t>
              <w:br/>
              <w:t xml:space="preserve">    Class A and Class B </w:t>
              <w:br/>
              <w:t>    common stockholders, basic and</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539" w:type="dxa"/>
        <w:jc w:val="left"/>
        <w:tblInd w:w="0" w:type="dxa"/>
        <w:tblLayout w:type="fixed"/>
        <w:tblCellMar>
          <w:top w:w="28" w:type="dxa"/>
          <w:left w:w="28" w:type="dxa"/>
          <w:bottom w:w="28" w:type="dxa"/>
          <w:right w:w="28" w:type="dxa"/>
        </w:tblCellMar>
      </w:tblPr>
      <w:tblGrid>
        <w:gridCol w:w="4546"/>
        <w:gridCol w:w="146"/>
        <w:gridCol w:w="146"/>
        <w:gridCol w:w="1036"/>
        <w:gridCol w:w="146"/>
        <w:gridCol w:w="146"/>
        <w:gridCol w:w="146"/>
        <w:gridCol w:w="1036"/>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13,480,732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ESPP shares to be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16,882,800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17,325,682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sets forth information on segment net loss, including significant segment expenses (in thousands):</w:t>
      </w:r>
    </w:p>
    <w:tbl>
      <w:tblPr>
        <w:tblW w:w="8444" w:type="dxa"/>
        <w:jc w:val="left"/>
        <w:tblInd w:w="0" w:type="dxa"/>
        <w:tblLayout w:type="fixed"/>
        <w:tblCellMar>
          <w:top w:w="28" w:type="dxa"/>
          <w:left w:w="28" w:type="dxa"/>
          <w:bottom w:w="28" w:type="dxa"/>
          <w:right w:w="28" w:type="dxa"/>
        </w:tblCellMar>
      </w:tblPr>
      <w:tblGrid>
        <w:gridCol w:w="2926"/>
        <w:gridCol w:w="146"/>
        <w:gridCol w:w="216"/>
        <w:gridCol w:w="756"/>
        <w:gridCol w:w="170"/>
        <w:gridCol w:w="149"/>
        <w:gridCol w:w="216"/>
        <w:gridCol w:w="756"/>
        <w:gridCol w:w="166"/>
        <w:gridCol w:w="146"/>
        <w:gridCol w:w="211"/>
        <w:gridCol w:w="736"/>
        <w:gridCol w:w="166"/>
        <w:gridCol w:w="146"/>
        <w:gridCol w:w="211"/>
        <w:gridCol w:w="736"/>
        <w:gridCol w:w="5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80"/>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180"/>
        <w:jc w:val="left"/>
        <w:rPr>
          <w:rFonts w:ascii="Times New Roman" w:hAnsi="Times New Roman"/>
          <w:color w:val="000000"/>
          <w:sz w:val="16"/>
        </w:rPr>
      </w:pPr>
      <w:r>
        <w:rPr>
          <w:rFonts w:ascii="Times New Roman" w:hAnsi="Times New Roman"/>
          <w:color w:val="000000"/>
          <w:sz w:val="16"/>
        </w:rPr>
        <w:t>Other includes laboratory expenses, travel expenses, and allocated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long-lived assets were primarily located in the United States.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sz w:val="20"/>
        </w:rPr>
      </w:pPr>
      <w:bookmarkStart w:id="9" w:name="item_2_mda"/>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generate product and service revenue sufficient to achieve profitability, if ever, will depend on the successful commercialization of the Proteograph Product Suite and related products and services. In May 2025, we advanced our commercial offering with the launch of the new Proteograph Product Suite, featuring the Proteograph ONE assay and SP200 automation instrument. With the new Proteograph workflow, we believe we have achieved a transformative milestone by significantly improving the performance and scalability of deep, unbiased proteomic analysis. These advancements push the boundaries of the original capabilities of the Proteograph Product Suite launched in 2021, further addressing limitations in deep, unbiased proteomic workflows, including prohibitive costs of large-scale studies, time-consuming manual workflows, and performance variability introduced by manual handling.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market and sell the Proteograph Product Suite as an integrated solution comprised of consumables, our automation instrument and software. Our commercial strategy is focused on growing adoption of the Proteograph by researchers in academic and commercial settings, expanding the installed base, increasing utilization to generate revenue from the purchase of Proteograph consumables and growing our service offering through the Seer Technology Access Center (STAC). We expect a highly efficient sales model because our workflow integrates with most existing proteomics laboratories’ workflows and also complements large-scale genomics research. We are focused on removing barriers to access to the Proteograph, including through the STAC service offering.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sell the Proteograph Product Suite through a direct sales channel in the United States, and through both direct and distributor sales channels in regions outside the United States.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automation instrument and have outsourced its manufacturing to Hamilton Company, a leading manufacturer of automated liquid handling workstations. We have entered into a non-exclusive agreement with Hamilton that covers the manufacturing of the automation instrument and its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six months ended June 30, 2026 and 2025, we incurred a net loss of $33.7 million and $39.4 million and used $25.0 million and $26.1 million of cash in operations, respectively. As of June 30, 2026, we had an accumulated deficit of $499.7 million, and cash, cash equivalents, and investments of $209.5 million. We expect to continue to incur significant losses and do not expect positive cash flows from operations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expenses may increase in connection with our ongoing activities, as we: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broadly market and sell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build our sales, marketing, service, support and distribution infrastructure as part of our commercialization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build-out and expand our in-house NP manufacturing capabilities;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engage in research and development of other products and enhancements to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 maintain, expand, and protect our intellectual property portfolio;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 the infrastructure to operate and scale as a public company.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Other revenue consists of shipping revenue and lease arrangements. Our revenue is generated from customers in the United States and internationally. We intend to focus our commercial efforts in the United States while expanding our international presence.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utilize third-party manufacturers for production of our instruments and we manufacture our NPs and assemble our assay kits internally. Cost of revenue consists primarily of costs of the components of the Proteograph Product Suite, including the instrument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income (expense) consists primarily of interest income earned on cash, cash equivalents and investments, asset disposals, realized and unrealized gains and losses on foreign currency transactions, and loss in the equity method investment.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Income tax expense results from our wholly-owned foreign subsidiaries. We maintain a full valuation allowance on our domestic deferred tax assets as we have concluded that it is more likely than not that the deferred assets will not be realized.</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Comparisons of the Three Months Ended June 30, 2026 and 2025</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490" w:type="dxa"/>
        <w:jc w:val="left"/>
        <w:tblInd w:w="0" w:type="dxa"/>
        <w:tblLayout w:type="fixed"/>
        <w:tblCellMar>
          <w:top w:w="28" w:type="dxa"/>
          <w:left w:w="28" w:type="dxa"/>
          <w:bottom w:w="28" w:type="dxa"/>
          <w:right w:w="28" w:type="dxa"/>
        </w:tblCellMar>
      </w:tblPr>
      <w:tblGrid>
        <w:gridCol w:w="3256"/>
        <w:gridCol w:w="146"/>
        <w:gridCol w:w="212"/>
        <w:gridCol w:w="741"/>
        <w:gridCol w:w="167"/>
        <w:gridCol w:w="146"/>
        <w:gridCol w:w="212"/>
        <w:gridCol w:w="741"/>
        <w:gridCol w:w="166"/>
        <w:gridCol w:w="146"/>
        <w:gridCol w:w="211"/>
        <w:gridCol w:w="631"/>
        <w:gridCol w:w="166"/>
        <w:gridCol w:w="146"/>
        <w:gridCol w:w="146"/>
        <w:gridCol w:w="481"/>
        <w:gridCol w:w="7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399" w:type="dxa"/>
        <w:jc w:val="left"/>
        <w:tblInd w:w="0" w:type="dxa"/>
        <w:tblLayout w:type="fixed"/>
        <w:tblCellMar>
          <w:top w:w="28" w:type="dxa"/>
          <w:left w:w="28" w:type="dxa"/>
          <w:bottom w:w="28" w:type="dxa"/>
          <w:right w:w="28" w:type="dxa"/>
        </w:tblCellMar>
      </w:tblPr>
      <w:tblGrid>
        <w:gridCol w:w="841"/>
        <w:gridCol w:w="146"/>
        <w:gridCol w:w="252"/>
        <w:gridCol w:w="683"/>
        <w:gridCol w:w="174"/>
        <w:gridCol w:w="174"/>
        <w:gridCol w:w="252"/>
        <w:gridCol w:w="683"/>
        <w:gridCol w:w="146"/>
        <w:gridCol w:w="146"/>
        <w:gridCol w:w="211"/>
        <w:gridCol w:w="481"/>
        <w:gridCol w:w="166"/>
        <w:gridCol w:w="146"/>
        <w:gridCol w:w="146"/>
        <w:gridCol w:w="376"/>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for the three months ended June 30, 2026 decreased by $0.9 million, or 23%, compared to the same period in 2025. The decrease was due to lower product sales and service revenue during the period.</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5954" w:type="dxa"/>
        <w:jc w:val="left"/>
        <w:tblInd w:w="0" w:type="dxa"/>
        <w:tblLayout w:type="fixed"/>
        <w:tblCellMar>
          <w:top w:w="28" w:type="dxa"/>
          <w:left w:w="28" w:type="dxa"/>
          <w:bottom w:w="28" w:type="dxa"/>
          <w:right w:w="28" w:type="dxa"/>
        </w:tblCellMar>
      </w:tblPr>
      <w:tblGrid>
        <w:gridCol w:w="1396"/>
        <w:gridCol w:w="146"/>
        <w:gridCol w:w="252"/>
        <w:gridCol w:w="683"/>
        <w:gridCol w:w="174"/>
        <w:gridCol w:w="174"/>
        <w:gridCol w:w="252"/>
        <w:gridCol w:w="683"/>
        <w:gridCol w:w="146"/>
        <w:gridCol w:w="146"/>
        <w:gridCol w:w="211"/>
        <w:gridCol w:w="481"/>
        <w:gridCol w:w="166"/>
        <w:gridCol w:w="146"/>
        <w:gridCol w:w="146"/>
        <w:gridCol w:w="376"/>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revenue for the three months ended June 30, 2026 decreased by $0.3 million, or 18%, compared to the same period in 2025. The decrease was primarily due to lower revenue.</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7018" w:type="dxa"/>
        <w:jc w:val="left"/>
        <w:tblInd w:w="0" w:type="dxa"/>
        <w:tblLayout w:type="fixed"/>
        <w:tblCellMar>
          <w:top w:w="28" w:type="dxa"/>
          <w:left w:w="28" w:type="dxa"/>
          <w:bottom w:w="28" w:type="dxa"/>
          <w:right w:w="28" w:type="dxa"/>
        </w:tblCellMar>
      </w:tblPr>
      <w:tblGrid>
        <w:gridCol w:w="2311"/>
        <w:gridCol w:w="146"/>
        <w:gridCol w:w="238"/>
        <w:gridCol w:w="646"/>
        <w:gridCol w:w="165"/>
        <w:gridCol w:w="165"/>
        <w:gridCol w:w="238"/>
        <w:gridCol w:w="765"/>
        <w:gridCol w:w="146"/>
        <w:gridCol w:w="146"/>
        <w:gridCol w:w="211"/>
        <w:gridCol w:w="631"/>
        <w:gridCol w:w="166"/>
        <w:gridCol w:w="146"/>
        <w:gridCol w:w="146"/>
        <w:gridCol w:w="37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for the three months ended June 30, 2026 decreased by $3.8 million, or 32%, compared to the same period in 2025. The decrease was primarily driven by lower employee compensation costs of $1.2 million, stock-based compensation of $1.1 million, laboratory expenses of $0.6 million, and professional services of $0.6 million.</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407" w:type="dxa"/>
        <w:jc w:val="left"/>
        <w:tblInd w:w="0" w:type="dxa"/>
        <w:tblLayout w:type="fixed"/>
        <w:tblCellMar>
          <w:top w:w="28" w:type="dxa"/>
          <w:left w:w="28" w:type="dxa"/>
          <w:bottom w:w="28" w:type="dxa"/>
          <w:right w:w="28" w:type="dxa"/>
        </w:tblCellMar>
      </w:tblPr>
      <w:tblGrid>
        <w:gridCol w:w="2956"/>
        <w:gridCol w:w="146"/>
        <w:gridCol w:w="226"/>
        <w:gridCol w:w="726"/>
        <w:gridCol w:w="156"/>
        <w:gridCol w:w="156"/>
        <w:gridCol w:w="226"/>
        <w:gridCol w:w="726"/>
        <w:gridCol w:w="146"/>
        <w:gridCol w:w="146"/>
        <w:gridCol w:w="211"/>
        <w:gridCol w:w="481"/>
        <w:gridCol w:w="166"/>
        <w:gridCol w:w="146"/>
        <w:gridCol w:w="146"/>
        <w:gridCol w:w="271"/>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for the three months ended June 30, 2026 decreased by $0.5 million, or 5%, compared to the same period in 2025. The decrease was primarily driven by lower employee compensation costs of $1.1 million and stock-based compensation of $1.1 million, partially offset by higher professional services of $2.0 million.</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2491"/>
        <w:gridCol w:w="146"/>
        <w:gridCol w:w="278"/>
        <w:gridCol w:w="496"/>
        <w:gridCol w:w="219"/>
        <w:gridCol w:w="192"/>
        <w:gridCol w:w="278"/>
        <w:gridCol w:w="754"/>
        <w:gridCol w:w="146"/>
        <w:gridCol w:w="146"/>
        <w:gridCol w:w="211"/>
        <w:gridCol w:w="631"/>
        <w:gridCol w:w="166"/>
        <w:gridCol w:w="146"/>
        <w:gridCol w:w="146"/>
        <w:gridCol w:w="481"/>
        <w:gridCol w:w="37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Total other income for the three months ended June 30, 2026 decreased by $1.2 million or 104%, compared to the same period in 2025. The decrease was mainly due to lower rates of interest earned on cash invested in money market funds, U.S. Treasury securities, U.S. Non-Treasury securities, commercial paper, and corporate debt securities and a higher loss from equity method investment.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Comparisons of the Six Months Ended June 30, 2026 and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372" w:type="dxa"/>
        <w:jc w:val="left"/>
        <w:tblInd w:w="0" w:type="dxa"/>
        <w:tblLayout w:type="fixed"/>
        <w:tblCellMar>
          <w:top w:w="28" w:type="dxa"/>
          <w:left w:w="28" w:type="dxa"/>
          <w:bottom w:w="28" w:type="dxa"/>
          <w:right w:w="28" w:type="dxa"/>
        </w:tblCellMar>
      </w:tblPr>
      <w:tblGrid>
        <w:gridCol w:w="3256"/>
        <w:gridCol w:w="146"/>
        <w:gridCol w:w="211"/>
        <w:gridCol w:w="736"/>
        <w:gridCol w:w="166"/>
        <w:gridCol w:w="146"/>
        <w:gridCol w:w="211"/>
        <w:gridCol w:w="736"/>
        <w:gridCol w:w="166"/>
        <w:gridCol w:w="146"/>
        <w:gridCol w:w="211"/>
        <w:gridCol w:w="631"/>
        <w:gridCol w:w="166"/>
        <w:gridCol w:w="146"/>
        <w:gridCol w:w="146"/>
        <w:gridCol w:w="376"/>
        <w:gridCol w:w="7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355" w:type="dxa"/>
        <w:jc w:val="left"/>
        <w:tblInd w:w="0" w:type="dxa"/>
        <w:tblLayout w:type="fixed"/>
        <w:tblCellMar>
          <w:top w:w="28" w:type="dxa"/>
          <w:left w:w="28" w:type="dxa"/>
          <w:bottom w:w="28" w:type="dxa"/>
          <w:right w:w="28" w:type="dxa"/>
        </w:tblCellMar>
      </w:tblPr>
      <w:tblGrid>
        <w:gridCol w:w="841"/>
        <w:gridCol w:w="146"/>
        <w:gridCol w:w="230"/>
        <w:gridCol w:w="623"/>
        <w:gridCol w:w="159"/>
        <w:gridCol w:w="159"/>
        <w:gridCol w:w="230"/>
        <w:gridCol w:w="623"/>
        <w:gridCol w:w="146"/>
        <w:gridCol w:w="146"/>
        <w:gridCol w:w="211"/>
        <w:gridCol w:w="631"/>
        <w:gridCol w:w="166"/>
        <w:gridCol w:w="146"/>
        <w:gridCol w:w="146"/>
        <w:gridCol w:w="376"/>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for the six months ended June 30, 2026 decreased by $2.4 million, or 29%, compared to the same period in 2025. The decrease was due to lower product sales and service revenue during the period.</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5760" w:type="dxa"/>
        <w:jc w:val="left"/>
        <w:tblInd w:w="0" w:type="dxa"/>
        <w:tblLayout w:type="fixed"/>
        <w:tblCellMar>
          <w:top w:w="28" w:type="dxa"/>
          <w:left w:w="28" w:type="dxa"/>
          <w:bottom w:w="28" w:type="dxa"/>
          <w:right w:w="28" w:type="dxa"/>
        </w:tblCellMar>
      </w:tblPr>
      <w:tblGrid>
        <w:gridCol w:w="1396"/>
        <w:gridCol w:w="146"/>
        <w:gridCol w:w="230"/>
        <w:gridCol w:w="623"/>
        <w:gridCol w:w="159"/>
        <w:gridCol w:w="159"/>
        <w:gridCol w:w="230"/>
        <w:gridCol w:w="623"/>
        <w:gridCol w:w="146"/>
        <w:gridCol w:w="146"/>
        <w:gridCol w:w="211"/>
        <w:gridCol w:w="481"/>
        <w:gridCol w:w="166"/>
        <w:gridCol w:w="146"/>
        <w:gridCol w:w="146"/>
        <w:gridCol w:w="376"/>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revenue for the six months ended June 30, 2026 decreased by $0.7 million, or 17%, compared to the same period in 2025. The decrease was primarily due to lower service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6867"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31"/>
        <w:gridCol w:w="166"/>
        <w:gridCol w:w="146"/>
        <w:gridCol w:w="146"/>
        <w:gridCol w:w="37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for the six months ended June 30, 2026 decreased by $6.3 million, or 27%, compared to the same period in 2025. The decrease was primarily driven by lower employee compensation costs of $2.2 million, stock-based compensation of $2.2 million, professional services of $0.9 million, laboratory expenses of $0.5 million, and depreciation expense of $0.4 million.</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512"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631"/>
        <w:gridCol w:w="166"/>
        <w:gridCol w:w="146"/>
        <w:gridCol w:w="146"/>
        <w:gridCol w:w="376"/>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for the six months ended June 30, 2026 decreased by $2.5 million, or 11%, compared to the same period in 2025. The decrease was primarily driven by lower stock-based compensation of $2.5 million and employee compensation costs of $1.7 million, partially offset by higher professional services of $2.0 million.</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w:t>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1666"/>
        <w:gridCol w:w="146"/>
        <w:gridCol w:w="250"/>
        <w:gridCol w:w="499"/>
        <w:gridCol w:w="173"/>
        <w:gridCol w:w="173"/>
        <w:gridCol w:w="250"/>
        <w:gridCol w:w="678"/>
        <w:gridCol w:w="146"/>
        <w:gridCol w:w="146"/>
        <w:gridCol w:w="211"/>
        <w:gridCol w:w="631"/>
        <w:gridCol w:w="166"/>
        <w:gridCol w:w="146"/>
        <w:gridCol w:w="146"/>
        <w:gridCol w:w="376"/>
        <w:gridCol w:w="37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Total other income for the six months ended June 30, 2026, decreased by $1.7 million or 81%, compared to the same period in 2025. The decrease was mainly due to the loss in the equity method investment and lower rates of interest earned on cash invested in money market funds, U.S. Treasury securities, U.S. Non-Treasury securities, commercial paper, and corporate debt securities and a higher loss from equity method investment.</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operating lease obligations reflect our lease obligations for our office and laboratory space in Redwood City,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June 30, 2026 and December 31, 2025, which is secured by restricted cash and is presented as noncurrent at each date based on the term of the underlying lease.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From time to time, we have certain purchase commitments related to our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subject to change. These outstanding commitments were nil as of June 30,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and equipment, the expansion of sales and marketing and international activities and the extent and magnitude of our ongoing research and development programs.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3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cash used in operating activities was $25.0 million, attributable to a net loss of $33.7 million and a net change in our operating assets and liabilities of $2.2 million, partially offset by non-cash charges of $11.0 million. Non-cash charges primarily consisted of $3.8 million of loss on equity method investment, $3.7 million of stock-based compensation, and $3.0 million of depreciation and amortization. The change in our operating assets and liabilities was primarily driven by decreases in accounts payable of $2.6 million and accrued liabilities and other liabilities of $2.1 million, partially offset by a decrease of accounts receivable of $2.5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2025, cash used in operating activities was $26.1 million, attributable to a net loss of $39.4 million and a net change in our operating assets and liabilities of $3.5 million, partially offset by non-cash charges of $16.8 million. Non-cash charges primarily consisted of $8.5 million of stock-based compensation, $3.4 million of loss on equity method investment, $3.1 million of depreciation and amortization, $0.8 million of net amortization of premium on available-for-sale securities, and $0.8 million of loss on disposal of property and equipment. The change in our operating assets and liabilities was primarily due to a decrease of accrued liabilities and other liabilities of $1.9 million and a decrease of accounts payable of $1.8 million.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cash provided by investing activities was $6.6 million, which was attributable to the proceeds from maturities of available-for-sale securities of $86.6 million. This was offset by the purchases of available-for-sale securities of $78.0 million, purchase of investment in equity security of $1.5 million, purchases of property and equipment, primarily for laboratory equipment, of $0.3 million, and purchase of investment in SAFE of $0.3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2025, cash provided by investing activities was $32.0 million, which was attributable to the proceeds from maturities of available-for-sale securities of $133.0 million and proceeds from disposal of property and equipment of $0.4 million. This was offset by the purchases of available-for-sale securities of $100.2 million and purchases of property and equipment, primarily for laboratory equipment, of $1.2 million.</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cash used in financing activities was $2.8 million, which was primarily attributable to the repurchases of Class A common stock under our share repurchase program of $3.0 million, partially offset by the proceeds from the issuance of Class A common stock in connection with the employee stock purchase plan of $0.1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2025, cash used in financing activities was $8.7 million, which was primarily attributable to the repurchases of Class A common stock under our share repurchase program of $8.1 million and the tax withholding payments related to net settlement of restricted stock units of $0.8 million. This was partially offset by primarily the proceeds of $0.2 million from the issuance of Class A common stock in connection with the employee stock purchase plan.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as discussed in our Annual Report on Form 10-K for the fiscal year ended December 31, 2025.</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in our market risk during the three and six months ended June 30, 2026, compared to the disclosures in Part II, Item 7A of our Annual Report on Form 10-K for the year ended December 31, 2025.</w:t>
      </w:r>
    </w:p>
    <w:p>
      <w:pPr>
        <w:pStyle w:val="TextBody"/>
        <w:bidi w:val="0"/>
        <w:jc w:val="left"/>
        <w:rPr>
          <w:rFonts w:ascii="Times New Roman" w:hAnsi="Times New Roman"/>
          <w:sz w:val="20"/>
        </w:rPr>
      </w:pPr>
      <w:bookmarkStart w:id="11" w:name="item_4_controls_and_procedures"/>
      <w:bookmarkEnd w:id="1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June 30, 2026,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or 15d-15(f) under the Exchange Act, that occurred during the quarter ended June 30, 2026 that have materially affected, or are reasonably likely to materially affect, our internal control over financial reporting.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pStyle w:val="TextBody"/>
        <w:bidi w:val="0"/>
        <w:spacing w:before="0" w:after="180"/>
        <w:jc w:val="left"/>
        <w:rPr>
          <w:rFonts w:ascii="Times New Roman" w:hAnsi="Times New Roman"/>
          <w:sz w:val="20"/>
        </w:rPr>
      </w:pPr>
      <w:bookmarkStart w:id="14" w:name="item_1a_risk_factors"/>
      <w:bookmarkEnd w:id="14"/>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 commercial-stage life sciences technology company with a history of net losses and negative cash flows, which we expect to continue, and we may not be able to generate meaningful revenues or achieve and sustain profitability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able to commercialize the Proteograph Product Suite as planned;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commercialization success depends on broad scientific and market acceptance of the Proteograph Product Suite, which we may fail to achieve;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could adversely impact our business and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identify and recruit qualified employees, and retain or maintain our employee base, it may adversely impact our business and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a commercial-stage life sciences technology company with a history of net losses and negative cash flows, which we expect to continue, and we may not be able to generate meaningful revenues or achieve and sustain profitability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 commercial-stage life sciences technology company, and we have incurred significant losses since we were formed in 2017, and expect to continue to incur losses in the future. We incurred net losses of $33.7 million and $39.4 million during the six months ended June 30, 2026 and 2025, respectively. As of June 30, 2026, we had an accumulated deficit of $499.7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commercialization stage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commercialization stage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grow revenue generated from sales of the Proteograph Product Suite on our anticipated timeline;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offer high-quality services, including customer service;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and commercialization activities relating to the Proteograph Product Suite, including our SP100 or SP200 automation instrument, proprietary engineered nanoparticle (NP) technology and Proteograph Analysis Suite software, which may change from time to time;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demand for any products we are able to commercialize, particularly the Proteograph Product Suite, which may vary significantly from period to period;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adoption of the Proteograph in our target markets and our ability to expand into any future target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relationship with third-party distributorships, the quantity of our products they elect to hold in inventory, and their ability to promote and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at which we will be able to sell the Proteograph Product Suite and related services;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volume and mix of our sales between the Proteograph Product Suite and associated consumables, or changes in the manufacturing or sales costs related to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length of time and unpredictable nature of the sales cycle;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lead time needed to procure SP100 and SP200 automation instruments from our third-party contract manufacturer;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our sales force, which if less than anticipated, could significantly impair our ability to generate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of customers to exercise Proteograph purchase options;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and efficient use of our financial and other resources, including the timing and amount of expenditures that we may incur to develop, commercialize or acquire additional products and technologies or for other purposes, such as share repurchases, investments or the expansion of our facilities;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governmental funding of life sciences research and development or changes that impact budgets and budget cycles;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seasonal spending patterns and the ability to collect on the accounts receivable of our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of when we recognize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accounting pronouncements, changes in accounting rules and regulations, or modifications to our accounting policies;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outcome of any future litigation or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higher than anticipated service, replacement and warranty costs;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investment in life sciences and research industries, our business operations, and resources and operations of our customers, suppliers, and distributors;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global supply chain interruptions;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industry, economic and market conditions such as inflation, tariffs and trade relations, interest rates, government shutdowns, bank failures and other factors, including factors unrelated to our operating performance or the operating performance of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size of the markets for the Proteograph Product Suite may be smaller or different from estimated, and new market opportunities may not develop as quickly as we expect, or at all, limiting our ability to successfully sell our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including as a result of the impact of artificial intelligence (AI).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commercialize the Proteograph Product Suite as planned.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undertaken the broad commercialization of the Proteograph Product Suite and related products and services, and we may not be able to successfully execute on this phase as planned due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inability to establish the capabilities and value proposition of the Proteograph Product Suite with key opinion leaders and other customers in a timely fashion;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changing industry or market conditions, customer requirements or competitor offerings during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continuing the build-out of our sales, customer support and marketing organization as needed for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ramping up manufacturing, either internally or through our suppliers, to meet the expected demand for broad commercialization;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broad commercial plan is unsuccessful, our financial results will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achieve and maintain scientific and commercial market acceptance of the Proteograph Product Suite will depend on a number of factors. We believe that the Proteograph is subject to the market forces and adoption curves common to other new technologies. The market for novel proteomics technologies and products is in its early stages of development. If widespread adoption of the Proteograph takes longer than anticipated, or broad scientific and market acceptance does not occur, we will continue to experience operating losses.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factors in achieving commercial market acceptance, include: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market and increase awareness of the capabilities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ability of the Proteograph Product Suite to perform intended use applications broadly in the hands of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customers’ willingness to adopt new products and workflows;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Proteograph’s ease of use and whether it reliably provides advantages over other alternative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rate of adoption of the Proteograph Product Suite by academic institutions,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we charge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new products, services and solutions that achieve commercial market acceptance;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competitors develop and commercialize products that perform similar functions as the Proteograph;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our investments in product innovation and commercial growth.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sales force is less successful than anticipated, we may not be successful in commercializing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limited experience as a company in sales and marketing and our ability to successfully commercialize and grow our revenue depends on our being able to attract customers for the Proteograph Product Suite. Although members of our management team have considerable industry experience, we need to enhance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face a number of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attract, retain and manage the sales, marketing and customer service and support force necessary to commercialize and gain market acceptance for our technology;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time and cost of establishing a specialized sales, marketing and customer service and support force;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sales, marketing and customer service and support force may be unable to execute successful commercialization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the Proteograph Product Suite is successfully commercialized and achieves broad scientific and market acceptance, if we fail to improve it or introduce compelling new products and services, our revenues and our prospects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Health epidemics could adversely impact our business and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reductions in capacity or shutdowns of laboratories and other institutions as well as reduced or delayed spending on instruments and consumables as a result of shutdowns and delays;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and SP200 automation instruments, Hamilton Company, and could worsen over time. Any of these occurrences, and any new epidemics, could significantly harm our business, results of operations and financial condition.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Unfavorable U.S. or global economic conditions could adversely affect our ability to raise capital and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government shutdowns or bank failures could strain our customers’ budgets or cause delays in their payments to us. Additionally, there is ongoing uncertainty regarding the current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sustain or successfully manage our growth or financial resources, our business and prospects will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depend on our key personnel and other highly qualified personnel, and if we are unable to recruit, train and retain our personnel, we may not achieve our goals.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including with respect to H-1B visas, could restrain the flow of technical and professional talent into the United States and may inhibit our ability to hire qualified personnel.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expect to be dependent upon revenue generated from the sale of the Proteograph Product Suite and related services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including as a result of AI,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new versions of or enhancements to the Proteograph Product Suite or new products or product enhancements would have a substantial adverse effect on our business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sales have been concentrated in a small number of customers.</w:t>
      </w:r>
    </w:p>
    <w:p>
      <w:pPr>
        <w:pStyle w:val="TextBody"/>
        <w:bidi w:val="0"/>
        <w:jc w:val="left"/>
        <w:rPr>
          <w:rFonts w:ascii="Times New Roman" w:hAnsi="Times New Roman"/>
          <w:color w:val="000000"/>
          <w:sz w:val="20"/>
        </w:rPr>
      </w:pPr>
      <w:r>
        <w:rPr>
          <w:rFonts w:ascii="Times New Roman" w:hAnsi="Times New Roman"/>
          <w:color w:val="000000"/>
          <w:sz w:val="20"/>
        </w:rPr>
        <w:t>We are executing on our commercialization plan and our revenues have been concentrated in a relatively small number of customers. If one or more customers, terminate all or any portion of their agreements, delay installations or fail to order the anticipated amount of consumables or services, there could be a material adverse effect on our business, financial condition and results of operations.</w:t>
      </w:r>
    </w:p>
    <w:p>
      <w:pPr>
        <w:pStyle w:val="TextBody"/>
        <w:bidi w:val="0"/>
        <w:spacing w:before="180" w:after="180"/>
        <w:jc w:val="left"/>
        <w:rPr>
          <w:rFonts w:ascii="Times New Roman" w:hAnsi="Times New Roman"/>
          <w:sz w:val="20"/>
        </w:rPr>
      </w:pPr>
      <w:r>
        <w:rPr>
          <w:rFonts w:ascii="Times New Roman" w:hAnsi="Times New Roman"/>
          <w:b/>
          <w:i/>
          <w:color w:val="000000"/>
          <w:sz w:val="20"/>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strategy and funding by commercial companies in their efforts around therapeutic and diagnostic product development and their adoption and use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opinions in the scientific community, including researchers’ opinions of the utility of the Proteograph solution;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citation of the Proteograph Product Suite in published research;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 changes in the regulatory environment;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differences in budgetary cycles, especially government- or grant-funded customers, whose cycles often coincide with government fiscal year ends;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 product or service offerings or pricing;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market-driven pressures to consolidate operations and reduce costs;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 acceptance of relatively new technologies, such as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led to budget cuts at various research organizations and institutes that rely on NIH funding. In addition, recent shutdowns of the federal government have halted the flow of government research funding, including from the NIH, for a significant period. There is no guarantee that NIH appropriations will not be halted or decreased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due to tariffs, trade restrictions, or other reasons, our business and commercialization efforts would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limited experience producing and supplying our products, and we may be unable to consistently manufacture or source our SP100 and SP200 automation instruments and consumables to the necessary specifications or in quantities necessary to meet demand on a timely basis and at acceptable performance and cost levels.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and SP200 automation instruments so that they consistently achieve the product specifications and produce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and SP200 automation instruments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Proteograph Product Suite contains defects, we may experience: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failure to achieve market acceptance for the Proteograph or expansion of the Proteograph Product Suite sales;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loss of customer orders and delay in order fulfillment;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damage to our brand reputation;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increased warranty and customer service and support costs due to product repair or replacement;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recalls or replacements;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inability to attract new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diversion of resources from our manufacturing and research and development departments to our service department;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and will continue to spend significant amounts of effort continuing to develop our software to meet our customers’ and potential customers’ evolving needs, including as a result of AI.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Engaging in international business inherently involves a number of difficulties and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U.S. laws such as the U.S. Foreign Corrupt Practices Act (FCPA), and other U.S. federal laws and regulations, including with respect to not doing business with sanctioned parties, as prohibited by the office of Foreign Asset Control;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export requirements and import or trade restrictions, including, without limitation, with respect to biological samples, and trade retaliation laws;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laws and business practices favoring local companies;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potentially adverse consequences associated with tariffs, changes in trade restrictions or relationships, potential retaliatory tariffs and actions from other countries, customs charges, bureaucratic requirements, and other trade barriers;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and costs of staffing and managing foreign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protecting, maintaining, enforcing or procuring intellectual property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life sciences technology market is highly competitive. If we fail to compete effectively, our business and results of operations will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Illumina and Thermo Fisher Scientific. We also compete with a number of companies that have developed, or are developing, proteomic products and solutions, such as Alamar Biosciences, Nautilus Biotechnology, Quanterix, and Quantum-Si.</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our current competitors are large publicly-traded companies, or are divisions of large publicly-traded companies, and may enjoy a number of competitive advantages over us,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name and brand recognition;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financial and human resources;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broader product lines;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sales forces and more established distributor networks;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 intellectual property portfolios;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and more established customer bases and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better established, larger scale and lower cost manufacturing capabilities.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including through the use of AI,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increasing our sales and marketing and other commercialization efforts to drive market adoption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funding development and marketing efforts of the Proteograph Product Suite or any other future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expanding our technologies into additional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licensing or investing in technologies and other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or investing in complementary businesses or assets;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financing capital expenditures and general and administrative expenses.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present and future funding requirements will depend on many factors,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and cost of research and development activities associated with, products in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realize the benefits of PrognomiQ as a separate healthcare company in the area of disease testing.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it purchased $10.0 million of PrognomiQ's Series D Preferred Stock. The Company subsequently made additional investments in the same series, including $1.9 million in July 2025 and $1.5 million in January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we held approximately 30% of the outstanding capital stock of PrognomiQ. We may not realize the potential benefits of forming PrognomiQ for a variety of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be unable to successfully develop viable testing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PrognomiQ’s business may not help demonstrate the value of the Proteograph;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inability to reach agreement with PrognomiQ on future commercial arrangements;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need to raise additional funding in the future and be unable to do so;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formation of PrognomiQ and our continuing equity position in PrognomiQ may add complexities to our business from a finance, tax and accounting perspective.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Financial Reporting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2025,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Regulatory Compliance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applicable requirements under FDA’s QMSR,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hAnsi="Times New Roman"/>
          <w:i/>
          <w:color w:val="000000"/>
          <w:sz w:val="20"/>
        </w:rPr>
        <w:t>de novo</w:t>
      </w:r>
      <w:r>
        <w:rPr>
          <w:rFonts w:ascii="Times New Roman" w:hAnsi="Times New Roman"/>
          <w:color w:val="000000"/>
          <w:sz w:val="20"/>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sought and received regulatory clearance or approval for certain of our products, we would be subject to ongoing FDA obligations and continued regulatory oversight and review, including the general controls listed above and the FDA’s QMSR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(MDR) and In Vitro Diagnostic Regulation 2017/746 (IVDR), which came into force in 2021 and 2022, respectively. In 2025, the European Commission published its proposals on amendments to the MDR and IVDR as well as new transparency requirements.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hAnsi="Times New Roman"/>
          <w:color w:val="000000"/>
          <w:sz w:val="2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was vacated by the Texas district court in March 2025, clarifying that, while the FDA has jurisdiction to regulate diagnostic products, or tangible goods, the FDA does not have authority to regulate professional services performed by CLIA certified laboratories and regulated professionals. In June 2024, the U.S. Supreme Court overruled the case that established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rules and policies of the FDA. We cannot predict the outcome of these judicial challenges or how Congress or the FDA will regulate products in our industry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There is significant uncertainty in the life sciences industry due to potential government shutdowns, layoffs and staff departures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to research and federal agencies, layoffs at federal agencies, hiring freezes, return-to-office policies, the current government shutdown, lapse in government appropriations and other measures taken by the current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May 12, 2026, we filed a patent infringement lawsuit in the Northern District of Illinois against Nanomics Biotechnology Co., Ltd. (“Nanomics”) (the “ND Ill. Action”), alleging infringement of five U.S. Patents, including U.S. Patent Nos. 11,435,360, 11,630,112, 12,050,222, 12,228,566, and 12,590,948 (the “Asserted Patents”). Through the ND Ill. Action, we are seeking relief, including monetary damages, enhanced damages, and a permanent injunction prohibiting Nanomics from further infringement, or inducing of infringement, of any asserted claim of the Asserted Patents. U.S. Patent Nos. 11,435,360 and 12,228,566 are owned by Brigham and Women’s Hospital, Inc. and exclusively licensed by Seer; the remaining three Asserted Patents are owned by Seer. In addition, on May 28, 2026, we filed a complaint with the U.S. International Trade Commission (“ITC”) seeking institution of an investigation pursuant to Section 337 of the Tariff Act of 1930, as amended, 19 U.S.C. § 1337, on the basis that certain Proteonano Workstations and Assay Kits (the “Accused Products”) infringe the same five Asserted Patents in the Northern District of Illinois lawsuit and, therefore, are being unlawfully imported, sold for importation, and/or sold after importation (the “ITC Action”). Through the ITC Action, we are seeking relief, including a limited exclusion order forbidding importation into the United States of any of the Accused Products found to infringed one or more of the Asserted Patents, and a cease and desist order prohibiting Nanomics from engaging in the importation, sale for importation, and sale after importation of any of the Accused products found to infringe one or more of the Asserted Patents. Brigham and Women’s Hospital, Inc. has joined Seer as co-plaintiff in both the ND Ill. and the ITC Actions.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June 29, 2026, the ITC formally ordered institution of an investigation into the importation of Nanomics’ Accused Products into the United States and their infringement of the Asserted Patents. On July 21, 2026, the ND Ill. Action was ordered stayed pending the outcome of the ITC Action. An evidentiary hearing in the ITC Action is scheduled for May 3 through May 7, 2027, and a target date for completion of the ITC investigation has been set for January 4, 2028.</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result of the ND Ill. and ITC Actions with Nanomics, and other as yet unforeseen litigation that may arise, we may incur substantial litigation costs in our attempts to recover or restrict use of our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shut down several times and certain regulatory agencies have had to furlough staff and stop critical activities. A prolonged government shutdown could prevent the timely review of our patent applications by the USPTO, which could delay the issuance of any U.S. patents to which we might otherwise be entitled.</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Issued patents covering our products or services could be found invalid or unenforceable if challenged.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For example, as discussed above, we have sued Nanomics for infringement of the Asserted Patents in the ND Ill Action, and filed a complaint with the ITC based on importation, sale for importation, and sale after importation of Accused Products that infringe the Asserted Patents in the ITC Action. In patent litigation in the United States, defendant counterclaims alleging invalidity or unenforceability are commonplace. In the ITC Action, Nanomics filed a response on July 20, 2026 generally claiming that the Asserted Patents are invalid for failing to comply with the requirements of patentability set forth in the U.S. patent statutes; in the ND Ill Action, Nanomics has not yet filed a response.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even outside the context of litigation. Such mechanisms include </w:t>
      </w:r>
      <w:r>
        <w:rPr>
          <w:rFonts w:ascii="Times New Roman" w:hAnsi="Times New Roman"/>
          <w:i/>
          <w:color w:val="000000"/>
          <w:sz w:val="20"/>
        </w:rPr>
        <w:t>ex parte</w:t>
      </w:r>
      <w:r>
        <w:rPr>
          <w:rFonts w:ascii="Times New Roman" w:hAnsi="Times New Roman"/>
          <w:color w:val="000000"/>
          <w:sz w:val="20"/>
        </w:rPr>
        <w:t xml:space="preserve">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and equivalent proceedings in non-U.S. jurisdictions, such as opposition proceedings. For example, on October 7, 2024, PreOmics GmbH and Biognosys AG filed a petition for </w:t>
      </w:r>
      <w:r>
        <w:rPr>
          <w:rFonts w:ascii="Times New Roman" w:hAnsi="Times New Roman"/>
          <w:i/>
          <w:color w:val="000000"/>
          <w:sz w:val="20"/>
        </w:rPr>
        <w:t>Inter Partes</w:t>
      </w:r>
      <w:r>
        <w:rPr>
          <w:rFonts w:ascii="Times New Roman" w:hAnsi="Times New Roman"/>
          <w:color w:val="000000"/>
          <w:sz w:val="20"/>
        </w:rPr>
        <w:t xml:space="preserve"> Review before the USPTO (Case No. IPR2024-01473) challenging the validity of select claims of U.S. Patent No. 11,435,360, (the 360 patent), which is exclusively licensed from The Brigham and Women’s Hospital, Inc. (BWH); and on April 17, 2025, the Patent Trial and Appeal Board (PTAB) of the USPTO instituted </w:t>
      </w:r>
      <w:r>
        <w:rPr>
          <w:rFonts w:ascii="Times New Roman" w:hAnsi="Times New Roman"/>
          <w:i/>
          <w:color w:val="000000"/>
          <w:sz w:val="20"/>
        </w:rPr>
        <w:t xml:space="preserve">Inter Partes </w:t>
      </w:r>
      <w:r>
        <w:rPr>
          <w:rFonts w:ascii="Times New Roman" w:hAnsi="Times New Roman"/>
          <w:color w:val="000000"/>
          <w:sz w:val="20"/>
        </w:rPr>
        <w:t>Review of certain claims. The petition alleged, among other things, the challenged claims are invalid for anticipation or obviousness over the prior art. On March 23, 2026, the PTAB issued a Final Written Decision, finding that six (6) of the eleven (11) challenged claims were unpatentable, while five (5) of the eleven (11) challenged claims were upheld as patentable. PreOmics GmbH and/or Biognosys AG did not appeal the PTAB’s Decision with respect to the five (5) upheld claims in the prescribed time period, thus concluding the proceedings. In Germany, an anonymous third party initiated a nullity action against European Patent EP3554681 (the 681 patent) and a cancellation request against Utility Model No. 202017007363 (the 363 patent) on November 18, 2024 and January 13, 2025, respectively, which patents are exclusively licensed from BWH. The nullity action alleges, among other things, that the 681 patent is invalid for lack of novelty and inventive step over the prior art. On January 14, 2026, BWH withdrew its opposition to the cancellation request against the 363 patent, thereby concluding the proceeding and resulting in the cancellation of the 363 patent. The nullity action against the 681 patent is ongoing. Furthermore, on May 27, 2025, an anonymous third party filed an Opposition to European Patent 4,056,263 (the 263 patent), which is exclusively licensed from BWH, alleging, among other things, that the patent is invalid for lack of novelty and inventive step. Following oral proceedings at the European Patent Office on June 25, 2026, the 263 patent was maintained with amended claims. This decision remains open to appeal by the anonymous third party. In China, Nanomics Hangzhou has filed an invalidation petition with the China National Intellectual Property Administration against Chinese Patent No. CN114651058B on July 14, 2026. These proceedings could result in revocation of or amendment to our patents in such a way that they no longer cover and protect our products, or exclude our competitor’s products. For example, for strategic reasons, including the fact that the 363 patent was approaching the end of its term, we opted to withdraw our opposition to the cancellation request and the 363 patent has since been cancelled. More generally, with respect to the validity of our other patents, we cannot be certain, for example,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technology could be materially adversely affected and our business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in and between academia and industry.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and enforce our trademarks and trade names, or build name recognition in our markets of interest thereby harming our competitive position.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services and technologies, including the Proteograph Product Suite for an adequate amount of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the United States owned by a third party directed to methods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or other foreign patent offices review the patent claims, such as in an </w:t>
      </w:r>
      <w:r>
        <w:rPr>
          <w:rFonts w:ascii="Times New Roman" w:hAnsi="Times New Roman"/>
          <w:i/>
          <w:color w:val="000000"/>
          <w:sz w:val="20"/>
        </w:rPr>
        <w:t xml:space="preserve">ex-parte </w:t>
      </w:r>
      <w:r>
        <w:rPr>
          <w:rFonts w:ascii="Times New Roman" w:hAnsi="Times New Roman"/>
          <w:color w:val="000000"/>
          <w:sz w:val="20"/>
        </w:rPr>
        <w:t xml:space="preserve">reexamination, </w:t>
      </w:r>
      <w:r>
        <w:rPr>
          <w:rFonts w:ascii="Times New Roman" w:hAnsi="Times New Roman"/>
          <w:i/>
          <w:color w:val="000000"/>
          <w:sz w:val="20"/>
        </w:rPr>
        <w:t>inter partes</w:t>
      </w:r>
      <w:r>
        <w:rPr>
          <w:rFonts w:ascii="Times New Roman" w:hAnsi="Times New Roman"/>
          <w:color w:val="000000"/>
          <w:sz w:val="20"/>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or take in the future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 of theirs.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disputes may also arise between us and our licensor regarding intellectual property subject to a license agreement,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and the extent to which, our products, technology and processes infringe on intellectual property of the licensor that is not subject to the licensing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cannot license rights to use technologies on reasonable terms, we may not be able to commercialize new products or services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be able to make products or services that are similar to products and technologies we may develop or utilize similar technology that are not covered by the claims of the patents that we own or license now or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 or pending patent application that we license or may own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or their inventions;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possible that our pending patent applications, and our licensed pending patent applications, or those that we may own or license in the future, will not lead to issued patents;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and our licensor(s), may not develop additional proprietary technologies that are patentable;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Should any of these events occur, they could materially adversely affect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 active trading market for our Class A common stock may not be sustained.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compliance with the listing requirements of the Nasdaq Global Select Market, we may be delisted and the price of our Class A common stock and our ability to access the capital markets could be negatively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fail to satisfy one or more of the Nasdaq Global Select Market requirements for continued listing of our Class A common stock in the future.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market price of our Class A common stock has been and may continue to be volatile.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the factors that may cause the market price of our Class A common stock to fluctuate include, but are not limited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to which our launch and commercialization of our products meets the expectations of securities analysts and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fluctuations in our operating results, including fluctuations in our quarterly and annual results;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being less than anticipated or operating expenses being more than anticipated;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or discontinuation of any of our product development and research programs;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existing or new competitive businesses or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announcements about new research programs or products of our competitors;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and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perceptions of us or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expenses related to any of our research and development programs or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our financial results meet the expectations of securities analysts or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short-selling strategies that may drive down the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announcement or expectation of additional financing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our Class A common stock by us or sales of our Class A common stock by our insiders or other stockholders, or future stock issuances;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perceived solvency of financial institutions with which we have financial deposits or investments in excess of insurance limits;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economic, industry and market conditions, including government shutdowns or changes in tariffs or trade restrictions or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natural disasters or major catastrophic events.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have been and may in the future become the target of securities litigation or shareholder activism, which could result in substantial costs and divert management’s attention and resources from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industry analysts, including securities analysts do not publish research or reports about our business or if they publish negative evaluations of our Class A common stock, the price of our Class A common stock could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Sales of a substantial number of shares of our Class A common stock by our existing stockholders could cause the price of our Class A common stock to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There can be no assurance that we will repurchase shares of our Class A common stock or that we will repurchase shares at favorable prices.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May 2024, our Board of Directors approved a share repurchase program pursuant to which we are authorized to repurchase up to $25.0 million of our Class A common stock from time to time, including through open market transactions. In February 2026, our Board of Directors authorized an additional share repurchase program of up to $25.0 million of our Class A common stock. The amount and timing of our share repurchases, if any, are subject to the availability of capital and our determination that the share repurchases are in the best interest of the Company and our stockholders. Our share repurchase programs do not obligate us to repurchase any specific number of shares and may be suspended at any time at our discretion.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programs could have a negative effect on our reputation, investor confidence in us and our stock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existence of our share repurchase programs could cause our stock price to be higher than it otherwise would be and could potentially reduce the market liquidity for our stock. Although our share repurchase programs are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Repurchasing our Class A common stock reduces the amount of cash we have available, and we may fail to realize the anticipated long-term stockholder value of any share repurchase program.</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amended and restated bylaws, as well as the terms of our tax benefit preservation plan, might discourage, delay or prevent a change in control of our company or changes in our management and, therefore,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stockholder-proposed amendment to our amended and restated bylaws requires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may only be able to take action at a meeting of stockholders and may not be able to take action by written consent for any matter;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able to act by written consent only if the action is first recommended or approved by the board of directors;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vacancies on our board of directors may be filled only by our board of directors and not by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only the chair of the board of directors, chief executive officer or a majority of the board of directors are authorized to call a special meeting of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litigation against us can only be brought in Delaware;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advance notice procedures apply for stockholders to nominate candidates for election as directors or to bring matters before an annual meeting of stockholders.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 </w:t>
      </w:r>
    </w:p>
    <w:p>
      <w:pPr>
        <w:pStyle w:val="TextBody"/>
        <w:bidi w:val="0"/>
        <w:jc w:val="left"/>
        <w:rPr>
          <w:rFonts w:ascii="Times New Roman" w:hAnsi="Times New Roman"/>
          <w:color w:val="000000"/>
          <w:sz w:val="20"/>
        </w:rPr>
      </w:pPr>
      <w:r>
        <w:rPr>
          <w:rFonts w:ascii="Times New Roman" w:hAnsi="Times New Roman"/>
          <w:color w:val="000000"/>
          <w:sz w:val="20"/>
        </w:rPr>
        <w:t>In February 2026, our Board of Directors adopted a tax benefit preservation plan to protect the Company’s ability to use its net operating losses and other tax attributes (NOLs). Although this is not its purpose, the tax benefit preservation plan could have the effect of making more difficult certain types of transactions that might be attractive to our stockholders and could also affect the price that some investors are willing to pay for our Class A common stock.</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ability to use NOLs to offset future taxable income may be subject to certain limitations, and changes to U.S. tax laws may cause us to make adjustments to our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we had U.S. federal and state NOLs of $262.4 million and $226.6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continue to incur significant increased costs and management resources as a result of operating as a public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as a public company we have been, and are being, targeted by activist stockholders. Responding to actions by activist stockholders can be costly and time-consuming, and could disrupt our operations and divert the attention of management and our employees. Additionally, perceived uncertainties as to our future direction as a result of stockholder activism, or changes to the composition of our Board of Directors,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evolving expectations from customers, regulators, investors and other stakeholders and may expose us to reputational, cost and other risks.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Companies across all industries are subject to evolving expectations regarding ESG matters. Failure to implement the appropriate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facilities in Redwood City and those of our third-party manufacturers are vulnerable to natural disasters, public health crises, including the impact of health epidemics,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or our vendors, partners or customers, experience a significant disruption in our information technology systems or breaches of data security, our business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the California Privacy Rights Act (CPRA), which went into effect on January 1, 2023,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represents a month-to-month summary of information with respect to purchases of common stock made during the three months ended June 30, 2026:</w:t>
      </w:r>
    </w:p>
    <w:tbl>
      <w:tblPr>
        <w:tblW w:w="10205" w:type="dxa"/>
        <w:jc w:val="left"/>
        <w:tblInd w:w="0" w:type="dxa"/>
        <w:tblLayout w:type="fixed"/>
        <w:tblCellMar>
          <w:top w:w="28" w:type="dxa"/>
          <w:left w:w="28" w:type="dxa"/>
          <w:bottom w:w="28" w:type="dxa"/>
          <w:right w:w="28" w:type="dxa"/>
        </w:tblCellMar>
      </w:tblPr>
      <w:tblGrid>
        <w:gridCol w:w="887"/>
        <w:gridCol w:w="146"/>
        <w:gridCol w:w="227"/>
        <w:gridCol w:w="1219"/>
        <w:gridCol w:w="146"/>
        <w:gridCol w:w="146"/>
        <w:gridCol w:w="371"/>
        <w:gridCol w:w="823"/>
        <w:gridCol w:w="146"/>
        <w:gridCol w:w="146"/>
        <w:gridCol w:w="380"/>
        <w:gridCol w:w="2036"/>
        <w:gridCol w:w="146"/>
        <w:gridCol w:w="146"/>
        <w:gridCol w:w="722"/>
        <w:gridCol w:w="2322"/>
        <w:gridCol w:w="196"/>
      </w:tblGrid>
      <w:tr>
        <w:trPr/>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(in thousands) of Shares that May Yet Be Purchased Under the Plans or Programs </w:t>
            </w:r>
            <w:r>
              <w:rPr>
                <w:rFonts w:ascii="Times New Roman" w:hAnsi="Times New Roman"/>
                <w:b/>
                <w:color w:val="000000"/>
                <w:sz w:val="11"/>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April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All shares of common stock were retired upon repurchase.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Average price paid per share is calculated on a settlement basis and excludes broker commissions and excise tax.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On February 25, 2026, the Company's Board of Directors authorized up to $25.0 million of additional repurchases of its issued and outstanding Class A common stock.</w:t>
      </w:r>
    </w:p>
    <w:p>
      <w:pPr>
        <w:pStyle w:val="TextBody"/>
        <w:bidi w:val="0"/>
        <w:spacing w:before="24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6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our last fiscal quarter, no directors or officers, as defined in Rule 16a-1(f) under the Exchange Act, adopted, modified and/or terminated a “Rule 10b5-1 trading arrangement” or “non-Rule 10b5-1 trading arrangement,” each as defined in Item 408 of Regulation S-K.</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873"/>
        <w:gridCol w:w="146"/>
        <w:gridCol w:w="6455"/>
        <w:gridCol w:w="511"/>
        <w:gridCol w:w="146"/>
        <w:gridCol w:w="464"/>
        <w:gridCol w:w="146"/>
        <w:gridCol w:w="631"/>
        <w:gridCol w:w="146"/>
        <w:gridCol w:w="687"/>
      </w:tblGrid>
      <w:tr>
        <w:trPr/>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87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5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hyperlink w:anchor="ck0001726445-ex4_1.htm">
              <w:r>
                <w:rPr>
                  <w:rStyle w:val="InternetLink"/>
                  <w:rFonts w:ascii="Times New Roman" w:hAnsi="Times New Roman"/>
                  <w:color w:val="0000FF"/>
                  <w:sz w:val="19"/>
                  <w:u w:val="single"/>
                </w:rPr>
                <w:t>Tax Benefit Preservation Plan, dated as of February 26, 2026 and Amendment No. 1 to Tax Benefit Preservation Plan, dated as of March 13, 2026, by and between Seer, Inc. and Computershare Trust Company, N.A., as rights agent.</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w:t>
            </w:r>
          </w:p>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hyperlink w:anchor="ck0001726445-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hyperlink w:anchor="ck0001726445-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hyperlink w:anchor="ck0001726445-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hyperlink w:anchor="ck0001726445-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Document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 the Cover Page Interactive Data File does not appear in the Interactive Data File because its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p>
      <w:pPr>
        <w:pStyle w:val="TextBody"/>
        <w:bidi w:val="0"/>
        <w:jc w:val="left"/>
        <w:rPr/>
      </w:pPr>
      <w:r>
        <w:rPr/>
        <w:t> </w:t>
      </w:r>
    </w:p>
    <w:tbl>
      <w:tblPr>
        <w:tblW w:w="5107" w:type="dxa"/>
        <w:jc w:val="left"/>
        <w:tblInd w:w="0" w:type="dxa"/>
        <w:tblLayout w:type="fixed"/>
        <w:tblCellMar>
          <w:top w:w="28" w:type="dxa"/>
          <w:left w:w="28" w:type="dxa"/>
          <w:bottom w:w="28" w:type="dxa"/>
          <w:right w:w="28" w:type="dxa"/>
        </w:tblCellMar>
      </w:tblPr>
      <w:tblGrid>
        <w:gridCol w:w="1951"/>
        <w:gridCol w:w="109"/>
        <w:gridCol w:w="406"/>
        <w:gridCol w:w="26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Omid Farokhzad,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6952" w:type="dxa"/>
        <w:jc w:val="left"/>
        <w:tblInd w:w="0" w:type="dxa"/>
        <w:tblLayout w:type="fixed"/>
        <w:tblCellMar>
          <w:top w:w="28" w:type="dxa"/>
          <w:left w:w="28" w:type="dxa"/>
          <w:bottom w:w="28" w:type="dxa"/>
          <w:right w:w="28" w:type="dxa"/>
        </w:tblCellMar>
      </w:tblPr>
      <w:tblGrid>
        <w:gridCol w:w="1951"/>
        <w:gridCol w:w="109"/>
        <w:gridCol w:w="406"/>
        <w:gridCol w:w="44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R. Horn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 Horn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Accounting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right"/>
        <w:rPr/>
      </w:pPr>
      <w:bookmarkStart w:id="21" w:name="ck0001726445-ex4_1.htm"/>
      <w:bookmarkStart w:id="22" w:name="ksck0001726445ex4_1"/>
      <w:bookmarkEnd w:id="21"/>
      <w:bookmarkEnd w:id="22"/>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4.1</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311" w:type="dxa"/>
        <w:jc w:val="left"/>
        <w:tblInd w:w="0" w:type="dxa"/>
        <w:tblLayout w:type="fixed"/>
        <w:tblCellMar>
          <w:top w:w="28" w:type="dxa"/>
          <w:left w:w="28" w:type="dxa"/>
          <w:bottom w:w="28" w:type="dxa"/>
          <w:right w:w="28" w:type="dxa"/>
        </w:tblCellMar>
      </w:tblPr>
      <w:tblGrid>
        <w:gridCol w:w="5311"/>
      </w:tblGrid>
      <w:tr>
        <w:trPr/>
        <w:tc>
          <w:tcPr>
            <w:tcW w:w="5311" w:type="dxa"/>
            <w:tcBorders/>
            <w:vAlign w:val="center"/>
          </w:tcPr>
          <w:p>
            <w:pPr>
              <w:pStyle w:val="TableContents"/>
              <w:bidi w:val="0"/>
              <w:spacing w:before="0" w:after="283"/>
              <w:jc w:val="left"/>
              <w:rPr>
                <w:sz w:val="4"/>
                <w:szCs w:val="4"/>
              </w:rPr>
            </w:pPr>
            <w:r>
              <w:rPr>
                <w:sz w:val="4"/>
                <w:szCs w:val="4"/>
              </w:rPr>
            </w:r>
          </w:p>
        </w:tc>
      </w:tr>
      <w:tr>
        <w:trPr/>
        <w:tc>
          <w:tcPr>
            <w:tcW w:w="5311" w:type="dxa"/>
            <w:tcBorders>
              <w:top w:val="double" w:sz="4" w:space="0" w:color="000000"/>
              <w:bottom w:val="double" w:sz="4" w:space="0" w:color="000000"/>
            </w:tcBorders>
            <w:tcMar>
              <w:left w:w="0" w:type="dxa"/>
              <w:right w:w="0" w:type="dxa"/>
            </w:tcMar>
            <w:vAlign w:val="center"/>
          </w:tcPr>
          <w:p>
            <w:pPr>
              <w:pStyle w:val="TableContents"/>
              <w:bidi w:val="0"/>
              <w:spacing w:before="240" w:after="283"/>
              <w:jc w:val="center"/>
              <w:rPr>
                <w:rFonts w:ascii="Times New Roman" w:hAnsi="Times New Roman"/>
                <w:b/>
                <w:color w:val="000000"/>
                <w:sz w:val="24"/>
              </w:rPr>
            </w:pPr>
            <w:r>
              <w:rPr>
                <w:rFonts w:ascii="Times New Roman" w:hAnsi="Times New Roman"/>
                <w:b/>
                <w:color w:val="000000"/>
                <w:sz w:val="24"/>
              </w:rPr>
              <w:t>TAX BENEFIT PRESERVATION PLAN</w:t>
            </w:r>
          </w:p>
          <w:p>
            <w:pPr>
              <w:pStyle w:val="TableContents"/>
              <w:bidi w:val="0"/>
              <w:jc w:val="center"/>
              <w:rPr>
                <w:rFonts w:ascii="Times New Roman" w:hAnsi="Times New Roman"/>
                <w:b/>
                <w:color w:val="000000"/>
                <w:sz w:val="24"/>
              </w:rPr>
            </w:pPr>
            <w:r>
              <w:rPr>
                <w:rFonts w:ascii="Times New Roman" w:hAnsi="Times New Roman"/>
                <w:b/>
                <w:color w:val="000000"/>
                <w:sz w:val="24"/>
              </w:rPr>
              <w:t>Dated as of February 26, 2026</w:t>
            </w:r>
          </w:p>
          <w:p>
            <w:pPr>
              <w:pStyle w:val="TableContents"/>
              <w:bidi w:val="0"/>
              <w:spacing w:before="240" w:after="283"/>
              <w:jc w:val="center"/>
              <w:rPr/>
            </w:pPr>
            <w:r>
              <w:rPr/>
              <w:t> </w:t>
            </w:r>
          </w:p>
          <w:p>
            <w:pPr>
              <w:pStyle w:val="TableContents"/>
              <w:bidi w:val="0"/>
              <w:spacing w:before="240" w:after="283"/>
              <w:jc w:val="center"/>
              <w:rPr>
                <w:rFonts w:ascii="Times New Roman" w:hAnsi="Times New Roman"/>
                <w:b/>
                <w:color w:val="000000"/>
                <w:sz w:val="24"/>
              </w:rPr>
            </w:pPr>
            <w:r>
              <w:rPr>
                <w:rFonts w:ascii="Times New Roman" w:hAnsi="Times New Roman"/>
                <w:b/>
                <w:color w:val="000000"/>
                <w:sz w:val="24"/>
              </w:rPr>
              <w:t>between</w:t>
            </w:r>
          </w:p>
          <w:p>
            <w:pPr>
              <w:pStyle w:val="TableContents"/>
              <w:bidi w:val="0"/>
              <w:spacing w:before="240" w:after="283"/>
              <w:jc w:val="center"/>
              <w:rPr/>
            </w:pPr>
            <w:r>
              <w:rPr/>
              <w:t> </w:t>
            </w:r>
          </w:p>
          <w:p>
            <w:pPr>
              <w:pStyle w:val="TableContents"/>
              <w:bidi w:val="0"/>
              <w:spacing w:before="240" w:after="283"/>
              <w:jc w:val="center"/>
              <w:rPr>
                <w:rFonts w:ascii="Times New Roman" w:hAnsi="Times New Roman"/>
                <w:b/>
                <w:color w:val="000000"/>
                <w:sz w:val="24"/>
              </w:rPr>
            </w:pPr>
            <w:r>
              <w:rPr>
                <w:rFonts w:ascii="Times New Roman" w:hAnsi="Times New Roman"/>
                <w:b/>
                <w:color w:val="000000"/>
                <w:sz w:val="24"/>
              </w:rPr>
              <w:t>SEER, INC.</w:t>
            </w:r>
          </w:p>
          <w:p>
            <w:pPr>
              <w:pStyle w:val="TableContents"/>
              <w:bidi w:val="0"/>
              <w:spacing w:before="240" w:after="283"/>
              <w:jc w:val="center"/>
              <w:rPr>
                <w:rFonts w:ascii="Times New Roman" w:hAnsi="Times New Roman"/>
                <w:b/>
                <w:color w:val="000000"/>
                <w:sz w:val="24"/>
              </w:rPr>
            </w:pPr>
            <w:r>
              <w:rPr>
                <w:rFonts w:ascii="Times New Roman" w:hAnsi="Times New Roman"/>
                <w:b/>
                <w:color w:val="000000"/>
                <w:sz w:val="24"/>
              </w:rPr>
              <w:t>and</w:t>
            </w:r>
          </w:p>
          <w:p>
            <w:pPr>
              <w:pStyle w:val="TableContents"/>
              <w:bidi w:val="0"/>
              <w:spacing w:before="240" w:after="240"/>
              <w:jc w:val="center"/>
              <w:rPr>
                <w:rFonts w:ascii="Times New Roman" w:hAnsi="Times New Roman"/>
                <w:b/>
                <w:color w:val="000000"/>
                <w:sz w:val="24"/>
              </w:rPr>
            </w:pPr>
            <w:r>
              <w:rPr>
                <w:rFonts w:ascii="Times New Roman" w:hAnsi="Times New Roman"/>
                <w:b/>
                <w:color w:val="000000"/>
                <w:sz w:val="24"/>
              </w:rPr>
              <w:t>COMPUTERSHARE TRUST COMPANY, N.A.,</w:t>
              <w:br/>
              <w:t>as Rights Agent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8878"/>
        <w:gridCol w:w="1327"/>
      </w:tblGrid>
      <w:tr>
        <w:trPr/>
        <w:tc>
          <w:tcPr>
            <w:tcW w:w="887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ind w:left="0" w:right="0" w:firstLine="936"/>
              <w:jc w:val="left"/>
              <w:rPr>
                <w:sz w:val="4"/>
                <w:szCs w:val="4"/>
              </w:rPr>
            </w:pPr>
            <w:r>
              <w:rPr>
                <w:sz w:val="4"/>
                <w:szCs w:val="4"/>
              </w:rPr>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 Certain Definitions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2</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 Appointment of Rights Agent</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13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 Issuance of Rights Certificates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13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4. Form of Rights Certificates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15</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5. Countersignature and Registration</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16</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6. Transfer, Split Up, Combination and Exchange of Rights Certificates; Mutilated, Destroyed, Lost or Stolen Rights Certificates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17</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7. Exercise of Rights; Exercise Price; Prohibited Issuances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18</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8. Cancellation and Destruction of Rights Certificates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21</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9. Reservation and Availability of Shares of Capital Stock</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21</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10. Record Date for Securities Issued</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23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11. Adjustment of Exercise Price, Number and Kind of Shares or Number of Rights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23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12. Certificate of Adjusted Exercise Price or Number of Shares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30</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13. Consolidation, Merger or Sale or Transfer of Assets, Cash Flow or Earning Power</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31</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14. Fractional Rights and Fractional Shares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34</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15. Rights of Action</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35</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16. Agreement of Rights Holders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35</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17. Holder of Rights Certificate Not Deemed to be a Stockholder</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36</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18. Concerning the Rights Agent</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37</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19. Merger, Consolidation or Change of Name of Rights Agent</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38</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20. Duties of Rights Agent</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38</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21. Change of Rights Agent</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42</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22. Issuance of New Rights Certificates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43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23. Redemption</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43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24. Exchange</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44</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25. Process to Seek Exemption Prior to Triggering Event</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47</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26. Notice of Certain Events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49</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27. Notices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49</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28. Supplements and Amendments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51</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29. Successors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51</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30. Determinations and Actions by the Board</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51</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31. Benefits of this Plan</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52</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32. Severability</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52</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33. Governing Law; Exclusive Jurisdiction; Waiver of Jury Trial</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52</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34. Counterparts</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35. Interpretation</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53</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36. Costs of Enforcement</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55</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37. Force Majeure</w:t>
            </w:r>
          </w:p>
        </w:tc>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4"/>
              </w:rPr>
            </w:pPr>
            <w:r>
              <w:rPr>
                <w:rFonts w:ascii="Times New Roman" w:hAnsi="Times New Roman"/>
                <w:color w:val="000000"/>
                <w:sz w:val="24"/>
              </w:rPr>
              <w:t>55</w:t>
            </w:r>
          </w:p>
        </w:tc>
      </w:tr>
      <w:tr>
        <w:trPr/>
        <w:tc>
          <w:tcPr>
            <w:tcW w:w="8878" w:type="dxa"/>
            <w:tcBorders/>
            <w:shd w:fill="FFFFFF" w:val="clear"/>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4"/>
              </w:rPr>
            </w:pPr>
            <w:r>
              <w:rPr>
                <w:rFonts w:ascii="Times New Roman" w:hAnsi="Times New Roman"/>
                <w:color w:val="000000"/>
                <w:sz w:val="24"/>
              </w:rPr>
              <w:t>Section 38. USA PATRIOT Act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EXHIBITS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Exhibit A Form of Certificate of Designation of Rights, Powers and Preferences of Series A Participating Preferred Stock</w:t>
      </w:r>
    </w:p>
    <w:p>
      <w:pPr>
        <w:pStyle w:val="TextBody"/>
        <w:bidi w:val="0"/>
        <w:jc w:val="left"/>
        <w:rPr>
          <w:rFonts w:ascii="Times New Roman" w:hAnsi="Times New Roman"/>
          <w:color w:val="000000"/>
          <w:sz w:val="24"/>
        </w:rPr>
      </w:pPr>
      <w:r>
        <w:rPr>
          <w:rFonts w:ascii="Times New Roman" w:hAnsi="Times New Roman"/>
          <w:color w:val="000000"/>
          <w:sz w:val="24"/>
        </w:rPr>
        <w:t>Exhibit B Form of Rights Certificate</w:t>
      </w:r>
    </w:p>
    <w:p>
      <w:pPr>
        <w:pStyle w:val="TextBody"/>
        <w:bidi w:val="0"/>
        <w:jc w:val="left"/>
        <w:rPr>
          <w:rFonts w:ascii="Times New Roman" w:hAnsi="Times New Roman"/>
          <w:color w:val="000000"/>
          <w:sz w:val="24"/>
        </w:rPr>
      </w:pPr>
      <w:r>
        <w:rPr>
          <w:rFonts w:ascii="Times New Roman" w:hAnsi="Times New Roman"/>
          <w:color w:val="000000"/>
          <w:sz w:val="24"/>
        </w:rPr>
        <w:t>Exhibit C Form of Summary of Rights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TAX BENEFIT PRESERVATION PLAN</w:t>
      </w:r>
    </w:p>
    <w:p>
      <w:pPr>
        <w:pStyle w:val="TextBody"/>
        <w:bidi w:val="0"/>
        <w:spacing w:before="240" w:after="283"/>
        <w:jc w:val="left"/>
        <w:rPr>
          <w:rFonts w:ascii="Times New Roman" w:hAnsi="Times New Roman"/>
          <w:sz w:val="20"/>
        </w:rPr>
      </w:pPr>
      <w:r>
        <w:rPr>
          <w:rFonts w:ascii="Times New Roman" w:hAnsi="Times New Roman"/>
          <w:color w:val="000000"/>
          <w:sz w:val="24"/>
        </w:rPr>
        <w:t>This Tax Benefit Preservation Plan (this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dated as of February 26, 2026, is between Seer,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Computershare Trust Company, N.A., a federally chartered trust company, as rights agent (the “</w:t>
      </w:r>
      <w:r>
        <w:rPr>
          <w:rFonts w:ascii="Times New Roman" w:hAnsi="Times New Roman"/>
          <w:b/>
          <w:color w:val="000000"/>
          <w:sz w:val="24"/>
        </w:rPr>
        <w:t>Rights Agent</w:t>
      </w:r>
      <w:r>
        <w:rPr>
          <w:rFonts w:ascii="Times New Roman" w:hAnsi="Times New Roman"/>
          <w:color w:val="000000"/>
          <w:sz w:val="20"/>
        </w:rPr>
        <w:t>”</w:t>
      </w:r>
      <w:r>
        <w:rPr>
          <w:rFonts w:ascii="Times New Roman" w:hAnsi="Times New Roman"/>
          <w:color w:val="000000"/>
          <w:sz w:val="24"/>
        </w:rPr>
        <w:t>). Each of the Company and the Rights Agent are sometimes referred to as a “</w:t>
      </w:r>
      <w:r>
        <w:rPr>
          <w:rFonts w:ascii="Times New Roman" w:hAnsi="Times New Roman"/>
          <w:b/>
          <w:color w:val="000000"/>
          <w:sz w:val="24"/>
        </w:rPr>
        <w:t>Party</w:t>
      </w:r>
      <w:r>
        <w:rPr>
          <w:rFonts w:ascii="Times New Roman" w:hAnsi="Times New Roman"/>
          <w:color w:val="000000"/>
          <w:sz w:val="24"/>
        </w:rPr>
        <w:t>.” All capitalized terms used in this Plan have the meanings given to them in Section 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240" w:after="283"/>
        <w:jc w:val="left"/>
        <w:rPr>
          <w:rFonts w:ascii="Times New Roman" w:hAnsi="Times New Roman"/>
          <w:sz w:val="20"/>
        </w:rPr>
      </w:pPr>
      <w:r>
        <w:rPr>
          <w:rFonts w:ascii="Times New Roman" w:hAnsi="Times New Roman"/>
          <w:color w:val="000000"/>
          <w:sz w:val="24"/>
        </w:rPr>
        <w:t>A. As of February 26, 2026 (the “</w:t>
      </w:r>
      <w:r>
        <w:rPr>
          <w:rFonts w:ascii="Times New Roman" w:hAnsi="Times New Roman"/>
          <w:b/>
          <w:color w:val="000000"/>
          <w:sz w:val="24"/>
        </w:rPr>
        <w:t>Rights Dividend Declaration Date</w:t>
      </w:r>
      <w:r>
        <w:rPr>
          <w:rFonts w:ascii="Times New Roman" w:hAnsi="Times New Roman"/>
          <w:color w:val="000000"/>
          <w:sz w:val="20"/>
        </w:rPr>
        <w:t>”</w:t>
      </w:r>
      <w:r>
        <w:rPr>
          <w:rFonts w:ascii="Times New Roman" w:hAnsi="Times New Roman"/>
          <w:color w:val="000000"/>
          <w:sz w:val="24"/>
        </w:rPr>
        <w:t>), the Board of Directors of the Company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(i) adopted resolutions creating a series of preferred stock designated as “Series A Participating Preferred Stock,” (ii) adopted this Plan and (iii) authorized and declared a dividend of one preferred stock purchase right (a “</w:t>
      </w:r>
      <w:r>
        <w:rPr>
          <w:rFonts w:ascii="Times New Roman" w:hAnsi="Times New Roman"/>
          <w:b/>
          <w:color w:val="000000"/>
          <w:sz w:val="24"/>
        </w:rPr>
        <w:t>Right</w:t>
      </w:r>
      <w:r>
        <w:rPr>
          <w:rFonts w:ascii="Times New Roman" w:hAnsi="Times New Roman"/>
          <w:color w:val="000000"/>
          <w:sz w:val="20"/>
        </w:rPr>
        <w:t>”</w:t>
      </w:r>
      <w:r>
        <w:rPr>
          <w:rFonts w:ascii="Times New Roman" w:hAnsi="Times New Roman"/>
          <w:color w:val="000000"/>
          <w:sz w:val="24"/>
        </w:rPr>
        <w:t>) for each share of Common Stock outstanding as of the Close of Business on March 9, 2026 (the “</w:t>
      </w:r>
      <w:r>
        <w:rPr>
          <w:rFonts w:ascii="Times New Roman" w:hAnsi="Times New Roman"/>
          <w:b/>
          <w:color w:val="000000"/>
          <w:sz w:val="24"/>
        </w:rPr>
        <w:t>Record Date</w:t>
      </w:r>
      <w:r>
        <w:rPr>
          <w:rFonts w:ascii="Times New Roman" w:hAnsi="Times New Roman"/>
          <w:color w:val="000000"/>
          <w:sz w:val="20"/>
        </w:rPr>
        <w:t>”</w:t>
      </w:r>
      <w:r>
        <w:rPr>
          <w:rFonts w:ascii="Times New Roman" w:hAnsi="Times New Roman"/>
          <w:color w:val="000000"/>
          <w:sz w:val="24"/>
        </w:rPr>
        <w:t>). Upon the terms and subject to the conditions of this Plan, each Right initially represents the right to purchase one one-thousandth of a share of Preferred Stock (as such number may be adjusted pursuant to the provisions of this Plan) and has the rights, powers and preferences set forth in the form of Certificate of Designation of Rights, Powers and Preferences of Series A Participating Preferred Stock attached as Exhibit 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The Board further authorized and directed the issuance of one Right (as such number may be adjusted pursuant to the provisions of this Plan) with respect to each share of Common Stock that becomes outstanding (whether as an original issuance or from the Company’s treasury) between the Record Date and, subject to Section 22, the earlier of the Distribution Date and the Expiration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If the Company experiences an “ownership change,” as defined in Section 382 of the Code, its ability to use Tax Benefits for income tax purposes could be substantially limited or lost altogether.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 The Company views the Tax Benefits as highly valuable assets of the Company that are likely to inure to the benefit of the Company and its stockholders, and the Board believes that it is in the best interests of the Company and its stockholders that the Company provide for the protection of the Tax Benefits on the terms and conditions set forth in this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therefore agree as follows: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i/>
          <w:color w:val="000000"/>
          <w:sz w:val="24"/>
        </w:rPr>
        <w:t>Certain Definitions</w:t>
      </w:r>
      <w:r>
        <w:rPr>
          <w:rFonts w:ascii="Times New Roman" w:hAnsi="Times New Roman"/>
          <w:color w:val="000000"/>
          <w:sz w:val="24"/>
        </w:rPr>
        <w:t>. For purposes of this Plan, the following terms have the meanings indicated: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(a) “</w:t>
      </w:r>
      <w:r>
        <w:rPr>
          <w:rFonts w:ascii="Times New Roman" w:hAnsi="Times New Roman"/>
          <w:color w:val="000000"/>
          <w:sz w:val="24"/>
        </w:rPr>
        <w:t>Acquiring Person</w:t>
      </w:r>
      <w:r>
        <w:rPr>
          <w:rFonts w:ascii="Times New Roman" w:hAnsi="Times New Roman"/>
          <w:color w:val="000000"/>
          <w:sz w:val="20"/>
        </w:rPr>
        <w:t xml:space="preserve">” </w:t>
      </w:r>
      <w:r>
        <w:rPr>
          <w:rFonts w:ascii="Times New Roman" w:hAnsi="Times New Roman"/>
          <w:b w:val="false"/>
          <w:color w:val="000000"/>
          <w:sz w:val="24"/>
        </w:rPr>
        <w:t>means any Person who or that, together with all Affiliates and Associates of such Person, is the Beneficial Owner of the Triggering Percentage or more of the shares of Common Stock then outstanding but will not include any Exempt Person. Notwithstanding anything in this definition of “Acquiring Person” to the contrary: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no Person who Beneficially Owns, as of the time of the public announcement of this Plan, the Triggering Percentage or more of the shares of Common Stock then outstanding will become an Acquiring Person unless such Person, after the time of the public announcement of this Plan, becomes the Beneficial Owner of any additional shares of Common Stock (other than pursuant to a dividend or distribution paid or made by the Company on the Common Stock in the form of shares of Common Stock or a split or subdivision of the Common Stock), unless, upon becoming the Beneficial Owner of such additional shares of Common Stock, such Person is not then the Beneficial Owner of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no Person will be deemed to be an Acquiring Person as the result of an acquisition of shares of Common Stock by an Exempt Person that, by reducing the number of shares of Common Stock then outstanding, increases the proportionate number of shares of Common Stock that are Beneficially Owned by such Person to the Triggering Percentage or more of the shares of Common Stock then outstanding, it being understood that if a Person becomes the Beneficial Owner of the Triggering Percentage or more of the shares of Common Stock then outstanding solely as the result of a reduction in the number of shares of Common Stock then outstanding due to an acquisition of shares of Common Stock by an Exempt Person and, after such acquisition by such Exempt Person, such Person becomes the Beneficial Owner of any additional shares of Common Stock (other than pursuant to a dividend or distribution paid or made by the Company on the Common Stock in the form of shares of Common Stock or pursuant to a split or subdivision of the Common Stock),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pStyle w:val="TextBody"/>
        <w:bidi w:val="0"/>
        <w:spacing w:before="240" w:after="283"/>
        <w:jc w:val="left"/>
        <w:rPr>
          <w:rFonts w:ascii="Times New Roman" w:hAnsi="Times New Roman"/>
          <w:sz w:val="20"/>
        </w:rPr>
      </w:pPr>
      <w:r>
        <w:rPr>
          <w:rFonts w:ascii="Times New Roman" w:hAnsi="Times New Roman"/>
          <w:color w:val="000000"/>
          <w:sz w:val="24"/>
        </w:rPr>
        <w:t>(iii) no Person will be deemed to be an Acquiring Person solely as a result of any unilateral grant of any security by the Company, or through the exercise of any options, warrants, rights or similar interests (including restricted stock) granted by the Company to its directors, officers and employees, it being understood that if a Person becomes the Beneficial Owner of the Triggering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and such Person becomes the Beneficial Owner of any additional shares of Common Stock (other than (A) pursuant to a dividend or distribution paid or made by the Company on the Common Stock in shares of Common Stock or pursuant to a split or subdivision of the Common Stock; or (B) the unilateral grant of a security by the Company, or through the exercise of any options, warrants, rights or similar interest (including restricted stock) granted by the Company to its directors, officers and employees),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 no Person will be deemed to be an Acquiring Person as the result of the acquisition of Beneficial Ownership of shares of Common Stock from an individual who, as of the time of the public announcement of this Plan, is the Beneficial Owner of the Triggering Percentage or more of the shares of Common Stock then outstanding if such shares of Common Stock are received by such Person upon an individual’s death pursuant to such individual’s will or pursuant to a charitable trust created by such individual for estate planning purposes; and</w:t>
      </w:r>
    </w:p>
    <w:p>
      <w:pPr>
        <w:pStyle w:val="TextBody"/>
        <w:bidi w:val="0"/>
        <w:spacing w:before="240" w:after="283"/>
        <w:jc w:val="left"/>
        <w:rPr>
          <w:rFonts w:ascii="Times New Roman" w:hAnsi="Times New Roman"/>
          <w:sz w:val="20"/>
        </w:rPr>
      </w:pPr>
      <w:r>
        <w:rPr>
          <w:rFonts w:ascii="Times New Roman" w:hAnsi="Times New Roman"/>
          <w:color w:val="000000"/>
          <w:sz w:val="24"/>
        </w:rPr>
        <w:t>(v) if the Board determines in good faith that a Person who would otherwise be an Acquiring Person has become such inadvertently (including because (A) such Person was unaware that it Beneficially Owned a percentage of the shares of Common Stock then outstanding that would otherwise cause such Person to be an Acquiring Person or (B) such Person was aware of the extent of the shares of Common Stock then outstanding that it Beneficially Owned but had no actual knowledge of the consequences of such Beneficial Ownership pursuant to this Plan) and without any intention of changing or influencing control of the Company or negatively affecting the Tax Benefits, and if such Person divested or divests (including by entering into an agreement with the Company, which agreement is satisfactory to the Board (or a committee thereof) in its sole discretion, to divest and subsequently divests in accordance with the terms of such agreement, without exercising or retaining any power, including voting power, with respect to such shares of Common Stock) as promptly as practicable a sufficient number of shares of Common Stock so that such Person would no longer be an Acquiring Person, then such Person will not be deemed to be or to have become an Acquiring Person at any time for any purposes of this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Notwithstanding anything in this Plan to the contrary, the Board (or a committee thereof), in its sole discretion, may determine that any Person (whether or not including any Affiliates and Associates of such Person) is an Acquiring Person under this Plan if such Person becomes the Beneficial Owner of the Triggering Percentage or more of, in the aggregate, any of (i) the Company’s stock then outstanding (as the term “stock” is defined in Treasury Regulations § 1.382-2(a)(3) and § 1.382-2T(f)(18)); (ii) the Company’s preferred stock (other than preferred stock described in Section 1504(a)(4) of the Code); (iii) the Company’s warrants, rights, convertible debt or options (including options within the meaning of Treasury Regulations § 1.382-4(d)(9)) to purchase stock (other than preferred stock described in Section 1504(a)(4) of the Code); or (iv) any other interest that would be treated as “stock” of the Company pursuant to Treasury Regulation § 1.382-2T(f)(18) (any of the foregoing, “</w:t>
      </w:r>
      <w:r>
        <w:rPr>
          <w:rFonts w:ascii="Times New Roman" w:hAnsi="Times New Roman"/>
          <w:b/>
          <w:color w:val="000000"/>
          <w:sz w:val="24"/>
        </w:rPr>
        <w:t>Stock</w:t>
      </w:r>
      <w:r>
        <w:rPr>
          <w:rFonts w:ascii="Times New Roman" w:hAnsi="Times New Roman"/>
          <w:color w:val="000000"/>
          <w:sz w:val="20"/>
        </w:rPr>
        <w:t>”</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(b) “</w:t>
      </w:r>
      <w:r>
        <w:rPr>
          <w:rFonts w:ascii="Times New Roman" w:hAnsi="Times New Roman"/>
          <w:color w:val="000000"/>
          <w:sz w:val="24"/>
        </w:rPr>
        <w:t>Adjustment Shares</w:t>
      </w:r>
      <w:r>
        <w:rPr>
          <w:rFonts w:ascii="Times New Roman" w:hAnsi="Times New Roman"/>
          <w:color w:val="000000"/>
          <w:sz w:val="20"/>
        </w:rPr>
        <w:t xml:space="preserve">” </w:t>
      </w:r>
      <w:r>
        <w:rPr>
          <w:rFonts w:ascii="Times New Roman" w:hAnsi="Times New Roman"/>
          <w:b w:val="false"/>
          <w:color w:val="000000"/>
          <w:sz w:val="24"/>
        </w:rPr>
        <w:t>has the meaning set forth in Section 11(a)(ii).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(c)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b w:val="false"/>
          <w:color w:val="000000"/>
          <w:sz w:val="24"/>
        </w:rPr>
        <w:t>and “</w:t>
      </w:r>
      <w:r>
        <w:rPr>
          <w:rFonts w:ascii="Times New Roman" w:hAnsi="Times New Roman"/>
          <w:color w:val="000000"/>
          <w:sz w:val="24"/>
        </w:rPr>
        <w:t>Associate</w:t>
      </w:r>
      <w:r>
        <w:rPr>
          <w:rFonts w:ascii="Times New Roman" w:hAnsi="Times New Roman"/>
          <w:color w:val="000000"/>
          <w:sz w:val="20"/>
        </w:rPr>
        <w:t xml:space="preserve">” </w:t>
      </w:r>
      <w:r>
        <w:rPr>
          <w:rFonts w:ascii="Times New Roman" w:hAnsi="Times New Roman"/>
          <w:b w:val="false"/>
          <w:color w:val="000000"/>
          <w:sz w:val="24"/>
        </w:rPr>
        <w:t>have the respective meanings ascribed to such terms in Rule 12b-2 of the General Rules and Regulations promulgated under the Exchange Act, as in effect on the date of this Plan, and, to the extent not included within the foregoing, will also include, with respect to any Person, any other Person (other than an Exempt Person) whose Stock: (i) would be deemed owned constructively or indirectly by such first Person for purposes of Section 382; (ii) would be deemed owned by a single “entity” as defined in Treasury Regulation § 1.382-3(a)(1) in which both such first Person and such other Person are included; or (iii) otherwise would be deemed aggregated with Stock owned by such first Person pursuant to the provisions of Section 382. Notwithstanding the foregoing, a Person will not be deemed to be an Affiliate or Associate of another Person solely because either or both such Persons are or were directors of the Company.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(d) “</w:t>
      </w:r>
      <w:r>
        <w:rPr>
          <w:rFonts w:ascii="Times New Roman" w:hAnsi="Times New Roman"/>
          <w:color w:val="000000"/>
          <w:sz w:val="24"/>
        </w:rPr>
        <w:t>Appropriate Officers</w:t>
      </w:r>
      <w:r>
        <w:rPr>
          <w:rFonts w:ascii="Times New Roman" w:hAnsi="Times New Roman"/>
          <w:color w:val="000000"/>
          <w:sz w:val="20"/>
        </w:rPr>
        <w:t xml:space="preserve">” </w:t>
      </w:r>
      <w:r>
        <w:rPr>
          <w:rFonts w:ascii="Times New Roman" w:hAnsi="Times New Roman"/>
          <w:b w:val="false"/>
          <w:color w:val="000000"/>
          <w:sz w:val="24"/>
        </w:rPr>
        <w:t>means the Company’s Chairman of the Board, Chief Executive Officer, President, Chief Financial Officer, Treasurer or Secretary, or any Vice President or Assistant Secretary.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(e) A Person will be deemed to be the “</w:t>
      </w:r>
      <w:r>
        <w:rPr>
          <w:rFonts w:ascii="Times New Roman" w:hAnsi="Times New Roman"/>
          <w:color w:val="000000"/>
          <w:sz w:val="24"/>
        </w:rPr>
        <w:t>Beneficial Owner</w:t>
      </w:r>
      <w:r>
        <w:rPr>
          <w:rFonts w:ascii="Times New Roman" w:hAnsi="Times New Roman"/>
          <w:color w:val="000000"/>
          <w:sz w:val="20"/>
        </w:rPr>
        <w:t xml:space="preserve">” </w:t>
      </w:r>
      <w:r>
        <w:rPr>
          <w:rFonts w:ascii="Times New Roman" w:hAnsi="Times New Roman"/>
          <w:b w:val="false"/>
          <w:color w:val="000000"/>
          <w:sz w:val="24"/>
        </w:rPr>
        <w:t>of, and will be deemed to “</w:t>
      </w:r>
      <w:r>
        <w:rPr>
          <w:rFonts w:ascii="Times New Roman" w:hAnsi="Times New Roman"/>
          <w:color w:val="000000"/>
          <w:sz w:val="24"/>
        </w:rPr>
        <w:t>Beneficially Own</w:t>
      </w:r>
      <w:r>
        <w:rPr>
          <w:rFonts w:ascii="Times New Roman" w:hAnsi="Times New Roman"/>
          <w:color w:val="000000"/>
          <w:sz w:val="20"/>
        </w:rPr>
        <w:t xml:space="preserve">” </w:t>
      </w:r>
      <w:r>
        <w:rPr>
          <w:rFonts w:ascii="Times New Roman" w:hAnsi="Times New Roman"/>
          <w:b w:val="false"/>
          <w:color w:val="000000"/>
          <w:sz w:val="24"/>
        </w:rPr>
        <w:t>and have “</w:t>
      </w:r>
      <w:r>
        <w:rPr>
          <w:rFonts w:ascii="Times New Roman" w:hAnsi="Times New Roman"/>
          <w:color w:val="000000"/>
          <w:sz w:val="24"/>
        </w:rPr>
        <w:t>Beneficial Ownership</w:t>
      </w:r>
      <w:r>
        <w:rPr>
          <w:rFonts w:ascii="Times New Roman" w:hAnsi="Times New Roman"/>
          <w:color w:val="000000"/>
          <w:sz w:val="20"/>
        </w:rPr>
        <w:t xml:space="preserve">” </w:t>
      </w:r>
      <w:r>
        <w:rPr>
          <w:rFonts w:ascii="Times New Roman" w:hAnsi="Times New Roman"/>
          <w:b w:val="false"/>
          <w:color w:val="000000"/>
          <w:sz w:val="24"/>
        </w:rPr>
        <w:t>of, any securities: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pStyle w:val="TextBody"/>
        <w:bidi w:val="0"/>
        <w:spacing w:before="240" w:after="283"/>
        <w:jc w:val="left"/>
        <w:rPr>
          <w:rFonts w:ascii="Times New Roman" w:hAnsi="Times New Roman"/>
          <w:sz w:val="20"/>
        </w:rPr>
      </w:pPr>
      <w:r>
        <w:rPr>
          <w:rFonts w:ascii="Times New Roman" w:hAnsi="Times New Roman"/>
          <w:color w:val="000000"/>
          <w:sz w:val="24"/>
        </w:rPr>
        <w:t>(ii) 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Stock but only at such time as such securities are converted, exchanged or exercised or are otherwise “beneficially owned” (as determined pursuant to Rule 13d-3 of the General Rules and Regulations promulgated under the Exchange Act, as in effect on the date of this Plan), except to the extent that the acquisition or transfer of any such security (including any rights, options or warrants) would be treated as exercised on the date of its acquisition or transfer pursuant to Treasury Regulations § 1.382-4(d), except, in each case, that that a Person will not be deemed pursuant to this Section 1(e)(ii)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w:t>
      </w:r>
      <w:r>
        <w:rPr>
          <w:rFonts w:ascii="Times New Roman" w:hAnsi="Times New Roman"/>
          <w:b/>
          <w:color w:val="000000"/>
          <w:sz w:val="24"/>
        </w:rPr>
        <w:t>Original Rights</w:t>
      </w:r>
      <w:r>
        <w:rPr>
          <w:rFonts w:ascii="Times New Roman" w:hAnsi="Times New Roman"/>
          <w:color w:val="000000"/>
          <w:sz w:val="20"/>
        </w:rPr>
        <w:t>”</w:t>
      </w:r>
      <w:r>
        <w:rPr>
          <w:rFonts w:ascii="Times New Roman" w:hAnsi="Times New Roman"/>
          <w:color w:val="000000"/>
          <w:sz w:val="24"/>
        </w:rPr>
        <w:t>)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(iii) 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 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1(e)(iii)) or disposing of any securities of the Company,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each such stockholder to be the Beneficial Owner of the securities held by the other stockholder(s); or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 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 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(f) “</w:t>
      </w:r>
      <w:r>
        <w:rPr>
          <w:rFonts w:ascii="Times New Roman" w:hAnsi="Times New Roman"/>
          <w:color w:val="000000"/>
          <w:sz w:val="24"/>
        </w:rPr>
        <w:t>Board</w:t>
      </w:r>
      <w:r>
        <w:rPr>
          <w:rFonts w:ascii="Times New Roman" w:hAnsi="Times New Roman"/>
          <w:color w:val="000000"/>
          <w:sz w:val="20"/>
        </w:rPr>
        <w:t xml:space="preserve">” </w:t>
      </w:r>
      <w:r>
        <w:rPr>
          <w:rFonts w:ascii="Times New Roman" w:hAnsi="Times New Roman"/>
          <w:b w:val="false"/>
          <w:color w:val="000000"/>
          <w:sz w:val="24"/>
        </w:rPr>
        <w:t>has the meaning set forth in the recitals at the beginning of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(g) “</w:t>
      </w:r>
      <w:r>
        <w:rPr>
          <w:rFonts w:ascii="Times New Roman" w:hAnsi="Times New Roman"/>
          <w:color w:val="000000"/>
          <w:sz w:val="24"/>
        </w:rPr>
        <w:t>Book Entry Shares</w:t>
      </w:r>
      <w:r>
        <w:rPr>
          <w:rFonts w:ascii="Times New Roman" w:hAnsi="Times New Roman"/>
          <w:color w:val="000000"/>
          <w:sz w:val="20"/>
        </w:rPr>
        <w:t xml:space="preserve">” </w:t>
      </w:r>
      <w:r>
        <w:rPr>
          <w:rFonts w:ascii="Times New Roman" w:hAnsi="Times New Roman"/>
          <w:b w:val="false"/>
          <w:color w:val="000000"/>
          <w:sz w:val="24"/>
        </w:rPr>
        <w:t>has the meaning set forth in Section 3(a).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(h) “</w:t>
      </w:r>
      <w:r>
        <w:rPr>
          <w:rFonts w:ascii="Times New Roman" w:hAnsi="Times New Roman"/>
          <w:color w:val="000000"/>
          <w:sz w:val="24"/>
        </w:rPr>
        <w:t>Business Day</w:t>
      </w:r>
      <w:r>
        <w:rPr>
          <w:rFonts w:ascii="Times New Roman" w:hAnsi="Times New Roman"/>
          <w:color w:val="000000"/>
          <w:sz w:val="20"/>
        </w:rPr>
        <w:t xml:space="preserve">” </w:t>
      </w:r>
      <w:r>
        <w:rPr>
          <w:rFonts w:ascii="Times New Roman" w:hAnsi="Times New Roman"/>
          <w:b w:val="false"/>
          <w:color w:val="000000"/>
          <w:sz w:val="24"/>
        </w:rPr>
        <w:t>means any day other than a Saturday, Sunday or a day on which the Federal Reserve Bank of New York is closed.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(i) “</w:t>
      </w:r>
      <w:r>
        <w:rPr>
          <w:rFonts w:ascii="Times New Roman" w:hAnsi="Times New Roman"/>
          <w:color w:val="000000"/>
          <w:sz w:val="24"/>
        </w:rPr>
        <w:t>Close of Business</w:t>
      </w:r>
      <w:r>
        <w:rPr>
          <w:rFonts w:ascii="Times New Roman" w:hAnsi="Times New Roman"/>
          <w:color w:val="000000"/>
          <w:sz w:val="20"/>
        </w:rPr>
        <w:t xml:space="preserve">” </w:t>
      </w:r>
      <w:r>
        <w:rPr>
          <w:rFonts w:ascii="Times New Roman" w:hAnsi="Times New Roman"/>
          <w:b w:val="false"/>
          <w:color w:val="000000"/>
          <w:sz w:val="24"/>
        </w:rPr>
        <w:t>on any given date means 5:00 p.m., New York City time, on such date. If such date is not a Business Day, then it means 5:00 p.m., New York City time, on the next succeeding Business Day.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(j) “</w:t>
      </w:r>
      <w:r>
        <w:rPr>
          <w:rFonts w:ascii="Times New Roman" w:hAnsi="Times New Roman"/>
          <w:color w:val="000000"/>
          <w:sz w:val="24"/>
        </w:rPr>
        <w:t>Code</w:t>
      </w:r>
      <w:r>
        <w:rPr>
          <w:rFonts w:ascii="Times New Roman" w:hAnsi="Times New Roman"/>
          <w:color w:val="000000"/>
          <w:sz w:val="20"/>
        </w:rPr>
        <w:t xml:space="preserve">” </w:t>
      </w:r>
      <w:r>
        <w:rPr>
          <w:rFonts w:ascii="Times New Roman" w:hAnsi="Times New Roman"/>
          <w:b w:val="false"/>
          <w:color w:val="000000"/>
          <w:sz w:val="24"/>
        </w:rPr>
        <w:t>means the Internal Revenue Code of 1986, as amended, or any successor statute.</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(k) “</w:t>
      </w:r>
      <w:r>
        <w:rPr>
          <w:rFonts w:ascii="Times New Roman" w:hAnsi="Times New Roman"/>
          <w:color w:val="000000"/>
          <w:sz w:val="24"/>
        </w:rPr>
        <w:t>Common Stock</w:t>
      </w:r>
      <w:r>
        <w:rPr>
          <w:rFonts w:ascii="Times New Roman" w:hAnsi="Times New Roman"/>
          <w:color w:val="000000"/>
          <w:sz w:val="20"/>
        </w:rPr>
        <w:t xml:space="preserve">” </w:t>
      </w:r>
      <w:r>
        <w:rPr>
          <w:rFonts w:ascii="Times New Roman" w:hAnsi="Times New Roman"/>
          <w:b w:val="false"/>
          <w:color w:val="000000"/>
          <w:sz w:val="24"/>
        </w:rPr>
        <w:t>means, unless otherwise specified, the shares of Class A Common Stock, par value $0.00001 per share, of the Company. When used with reference to any Person other than the Company, Common Stock means the capital stock with the greatest voting power, or the equity securities or other equity interest having power to control or direct the management, of such Person or, if such Person is a Subsidiary of another Person, of the Person that ultimately controls such first Person.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(l) “</w:t>
      </w:r>
      <w:r>
        <w:rPr>
          <w:rFonts w:ascii="Times New Roman" w:hAnsi="Times New Roman"/>
          <w:color w:val="000000"/>
          <w:sz w:val="24"/>
        </w:rPr>
        <w:t>Common Stock Equivalents</w:t>
      </w:r>
      <w:r>
        <w:rPr>
          <w:rFonts w:ascii="Times New Roman" w:hAnsi="Times New Roman"/>
          <w:color w:val="000000"/>
          <w:sz w:val="20"/>
        </w:rPr>
        <w:t xml:space="preserve">” </w:t>
      </w:r>
      <w:r>
        <w:rPr>
          <w:rFonts w:ascii="Times New Roman" w:hAnsi="Times New Roman"/>
          <w:b w:val="false"/>
          <w:color w:val="000000"/>
          <w:sz w:val="24"/>
        </w:rPr>
        <w:t>has the meaning set forth in Section 11(a)(iii).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(m)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b w:val="false"/>
          <w:color w:val="000000"/>
          <w:sz w:val="24"/>
        </w:rPr>
        <w:t>has the meaning set forth in the preamble, subject to the terms of Section 13(a).</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(n) “</w:t>
      </w:r>
      <w:r>
        <w:rPr>
          <w:rFonts w:ascii="Times New Roman" w:hAnsi="Times New Roman"/>
          <w:color w:val="000000"/>
          <w:sz w:val="24"/>
        </w:rPr>
        <w:t>Current Per Share Market Price</w:t>
      </w:r>
      <w:r>
        <w:rPr>
          <w:rFonts w:ascii="Times New Roman" w:hAnsi="Times New Roman"/>
          <w:color w:val="000000"/>
          <w:sz w:val="20"/>
        </w:rPr>
        <w:t xml:space="preserve">” </w:t>
      </w:r>
      <w:r>
        <w:rPr>
          <w:rFonts w:ascii="Times New Roman" w:hAnsi="Times New Roman"/>
          <w:b w:val="false"/>
          <w:color w:val="000000"/>
          <w:sz w:val="24"/>
        </w:rPr>
        <w:t>of any security (a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b w:val="false"/>
          <w:color w:val="000000"/>
          <w:sz w:val="24"/>
        </w:rPr>
        <w:t>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If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such dividend or distribution, or the record date for such subdivision, combination, consolidation, reverse stock split or reclassification, has not occurred prior to the commencement of the requisite 30 consecutive Trading Day or 10 consecutive Trading Day period as set forth above, then, and in each such case, the Current Per Share Market Price will be appropriately adjusted to take into account ex-dividend trading. The closing price for each day will be the last sale price, 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Stock cannot be determined in the manner provided above or if the shares of Preferred Stock are not publicly held or not listed or traded in a manner described above, then the Current Per Share Market Price of the Preferred Stock will be conclusively deemed to be (x) the Current Per Share Market Price of the Common Stock as determined pursuant to this Section 1(n) multiplied by (y) 1,000 (as such number may be appropriately adjusted to reflect any subdivision, combination, consolidation, reverse stock split or reclassification of Common Stock occurring after the Rights Dividend Declaration Date). If the Security (other than the Preferred Stock)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whose determination will be described in a statement filed with the Rights Agent and will be conclusive and binding on the Rights Agent and the holders of the Rights.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(o) “</w:t>
      </w:r>
      <w:r>
        <w:rPr>
          <w:rFonts w:ascii="Times New Roman" w:hAnsi="Times New Roman"/>
          <w:color w:val="000000"/>
          <w:sz w:val="24"/>
        </w:rPr>
        <w:t>Current Exchange Value</w:t>
      </w:r>
      <w:r>
        <w:rPr>
          <w:rFonts w:ascii="Times New Roman" w:hAnsi="Times New Roman"/>
          <w:color w:val="000000"/>
          <w:sz w:val="20"/>
        </w:rPr>
        <w:t xml:space="preserve">” </w:t>
      </w:r>
      <w:r>
        <w:rPr>
          <w:rFonts w:ascii="Times New Roman" w:hAnsi="Times New Roman"/>
          <w:b w:val="false"/>
          <w:color w:val="000000"/>
          <w:sz w:val="24"/>
        </w:rPr>
        <w:t>means the product of the Current Per Share Market Price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(p) “</w:t>
      </w:r>
      <w:r>
        <w:rPr>
          <w:rFonts w:ascii="Times New Roman" w:hAnsi="Times New Roman"/>
          <w:color w:val="000000"/>
          <w:sz w:val="24"/>
        </w:rPr>
        <w:t>Current Value</w:t>
      </w:r>
      <w:r>
        <w:rPr>
          <w:rFonts w:ascii="Times New Roman" w:hAnsi="Times New Roman"/>
          <w:color w:val="000000"/>
          <w:sz w:val="20"/>
        </w:rPr>
        <w:t xml:space="preserve">” </w:t>
      </w:r>
      <w:r>
        <w:rPr>
          <w:rFonts w:ascii="Times New Roman" w:hAnsi="Times New Roman"/>
          <w:b w:val="false"/>
          <w:color w:val="000000"/>
          <w:sz w:val="24"/>
        </w:rPr>
        <w:t>has the meaning set forth in Section 11(a)(iii).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(q) “</w:t>
      </w:r>
      <w:r>
        <w:rPr>
          <w:rFonts w:ascii="Times New Roman" w:hAnsi="Times New Roman"/>
          <w:color w:val="000000"/>
          <w:sz w:val="24"/>
        </w:rPr>
        <w:t>Distribution Date</w:t>
      </w:r>
      <w:r>
        <w:rPr>
          <w:rFonts w:ascii="Times New Roman" w:hAnsi="Times New Roman"/>
          <w:color w:val="000000"/>
          <w:sz w:val="20"/>
        </w:rPr>
        <w:t xml:space="preserve">” </w:t>
      </w:r>
      <w:r>
        <w:rPr>
          <w:rFonts w:ascii="Times New Roman" w:hAnsi="Times New Roman"/>
          <w:b w:val="false"/>
          <w:color w:val="000000"/>
          <w:sz w:val="24"/>
        </w:rPr>
        <w:t>means the earlier of (i) the Close of Business on the 10th Business Day (or such later date as may be determined by action of the Board, which action must be taken prior to the Distribution Date that otherwise would have occurred) after the Stock Acquisition Date (or, if the 10th Business Day after the Stock Acquisition Date occurs before the Record Date, then the Close of Business on the Record Date); or (ii) the Close of Business on the 10th Business Day (or, if such 10th Business Day occurs before the Record Date, then the Close of Business on the Record Date) (or such later date as may be determined by the Board) after the date that a tender or exchange offer by any Person (other than an Exempt Person) is first published, sent or given within the meaning of Rule 14d-2(a) of the General Rules and Regulations promulgated under the Exchange Act if, assuming the successful consummation thereof, such Person would be an Acquiring Person. If any tender or exchange offer referred to in the prior sentence is canceled, terminated or otherwise withdrawn prior to the Distribution Date without the purchase or exchange of any shares of Common Stock pursuant thereto, then such offer will be deemed, for purposes of this Section 1(q), never to have been made.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(r) “</w:t>
      </w:r>
      <w:r>
        <w:rPr>
          <w:rFonts w:ascii="Times New Roman" w:hAnsi="Times New Roman"/>
          <w:color w:val="000000"/>
          <w:sz w:val="24"/>
        </w:rPr>
        <w:t>Equivalent Preferred Stock</w:t>
      </w:r>
      <w:r>
        <w:rPr>
          <w:rFonts w:ascii="Times New Roman" w:hAnsi="Times New Roman"/>
          <w:color w:val="000000"/>
          <w:sz w:val="20"/>
        </w:rPr>
        <w:t xml:space="preserve">” </w:t>
      </w:r>
      <w:r>
        <w:rPr>
          <w:rFonts w:ascii="Times New Roman" w:hAnsi="Times New Roman"/>
          <w:b w:val="false"/>
          <w:color w:val="000000"/>
          <w:sz w:val="24"/>
        </w:rPr>
        <w:t>means any class or series of capital stock of the Company having the same rights, powers and preferences as the Preferred Stock.</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(s) “</w:t>
      </w:r>
      <w:r>
        <w:rPr>
          <w:rFonts w:ascii="Times New Roman" w:hAnsi="Times New Roman"/>
          <w:color w:val="000000"/>
          <w:sz w:val="24"/>
        </w:rPr>
        <w:t>Exchange Act</w:t>
      </w:r>
      <w:r>
        <w:rPr>
          <w:rFonts w:ascii="Times New Roman" w:hAnsi="Times New Roman"/>
          <w:color w:val="000000"/>
          <w:sz w:val="20"/>
        </w:rPr>
        <w:t xml:space="preserve">” </w:t>
      </w:r>
      <w:r>
        <w:rPr>
          <w:rFonts w:ascii="Times New Roman" w:hAnsi="Times New Roman"/>
          <w:b w:val="false"/>
          <w:color w:val="000000"/>
          <w:sz w:val="24"/>
        </w:rPr>
        <w:t>means the Securities Exchange Act of 1934, as amended.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(t) “</w:t>
      </w:r>
      <w:r>
        <w:rPr>
          <w:rFonts w:ascii="Times New Roman" w:hAnsi="Times New Roman"/>
          <w:color w:val="000000"/>
          <w:sz w:val="24"/>
        </w:rPr>
        <w:t>Exchange Determination</w:t>
      </w:r>
      <w:r>
        <w:rPr>
          <w:rFonts w:ascii="Times New Roman" w:hAnsi="Times New Roman"/>
          <w:color w:val="000000"/>
          <w:sz w:val="20"/>
        </w:rPr>
        <w:t xml:space="preserve">” </w:t>
      </w:r>
      <w:r>
        <w:rPr>
          <w:rFonts w:ascii="Times New Roman" w:hAnsi="Times New Roman"/>
          <w:b w:val="false"/>
          <w:color w:val="000000"/>
          <w:sz w:val="24"/>
        </w:rPr>
        <w:t>has the meaning set forth in Section 24(a).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(u) “</w:t>
      </w:r>
      <w:r>
        <w:rPr>
          <w:rFonts w:ascii="Times New Roman" w:hAnsi="Times New Roman"/>
          <w:color w:val="000000"/>
          <w:sz w:val="24"/>
        </w:rPr>
        <w:t>Exchange Ratio</w:t>
      </w:r>
      <w:r>
        <w:rPr>
          <w:rFonts w:ascii="Times New Roman" w:hAnsi="Times New Roman"/>
          <w:color w:val="000000"/>
          <w:sz w:val="20"/>
        </w:rPr>
        <w:t xml:space="preserve">” </w:t>
      </w:r>
      <w:r>
        <w:rPr>
          <w:rFonts w:ascii="Times New Roman" w:hAnsi="Times New Roman"/>
          <w:b w:val="false"/>
          <w:color w:val="000000"/>
          <w:sz w:val="24"/>
        </w:rPr>
        <w:t>has the meaning set forth in Section 24(a).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(v) “</w:t>
      </w:r>
      <w:r>
        <w:rPr>
          <w:rFonts w:ascii="Times New Roman" w:hAnsi="Times New Roman"/>
          <w:color w:val="000000"/>
          <w:sz w:val="24"/>
        </w:rPr>
        <w:t>Exempt Person</w:t>
      </w:r>
      <w:r>
        <w:rPr>
          <w:rFonts w:ascii="Times New Roman" w:hAnsi="Times New Roman"/>
          <w:color w:val="000000"/>
          <w:sz w:val="20"/>
        </w:rPr>
        <w:t xml:space="preserve">” </w:t>
      </w:r>
      <w:r>
        <w:rPr>
          <w:rFonts w:ascii="Times New Roman" w:hAnsi="Times New Roman"/>
          <w:b w:val="false"/>
          <w:color w:val="000000"/>
          <w:sz w:val="24"/>
        </w:rPr>
        <w:t>means (i) the Company or any Subsidiary of the Company, in each case including in any fiduciary capacity; (ii) any employee benefit plan of the Company or of any Subsidiary of the Company, or any entity or trustee holding (or acting in a fiduciary capacity in respect of) shares of capital stock of the Company for or pursuant to the terms of any such plan or for the purpose of funding any such plan or any other employee benefits for employees of the Company or any Subsidiary of the Company; or (iii) any Person determined to be an Exempt Person in accordance with Section 25 (but only to the extent so determined). No Person who is an officer, director or employee of an Exempt Person will be deemed, solely by reason of such Person’s status or authority as such, to be the Beneficial Owner of, to have Beneficial Ownership of or to Beneficially Own any securities that are Beneficially Owned (including in a fiduciary capacity) by an Exempt Person or by any other officer, director or employee of an Exempt Person.</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(w) “</w:t>
      </w:r>
      <w:r>
        <w:rPr>
          <w:rFonts w:ascii="Times New Roman" w:hAnsi="Times New Roman"/>
          <w:color w:val="000000"/>
          <w:sz w:val="24"/>
        </w:rPr>
        <w:t>Exemption Request</w:t>
      </w:r>
      <w:r>
        <w:rPr>
          <w:rFonts w:ascii="Times New Roman" w:hAnsi="Times New Roman"/>
          <w:color w:val="000000"/>
          <w:sz w:val="20"/>
        </w:rPr>
        <w:t xml:space="preserve">” </w:t>
      </w:r>
      <w:r>
        <w:rPr>
          <w:rFonts w:ascii="Times New Roman" w:hAnsi="Times New Roman"/>
          <w:b w:val="false"/>
          <w:color w:val="000000"/>
          <w:sz w:val="24"/>
        </w:rPr>
        <w:t>has the meaning set forth in Section 25(a).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(x) “</w:t>
      </w:r>
      <w:r>
        <w:rPr>
          <w:rFonts w:ascii="Times New Roman" w:hAnsi="Times New Roman"/>
          <w:color w:val="000000"/>
          <w:sz w:val="24"/>
        </w:rPr>
        <w:t>Exercise Price</w:t>
      </w:r>
      <w:r>
        <w:rPr>
          <w:rFonts w:ascii="Times New Roman" w:hAnsi="Times New Roman"/>
          <w:color w:val="000000"/>
          <w:sz w:val="20"/>
        </w:rPr>
        <w:t xml:space="preserve">” </w:t>
      </w:r>
      <w:r>
        <w:rPr>
          <w:rFonts w:ascii="Times New Roman" w:hAnsi="Times New Roman"/>
          <w:b w:val="false"/>
          <w:color w:val="000000"/>
          <w:sz w:val="24"/>
        </w:rPr>
        <w:t>is initially $11.00 for each one one-thousandth of a share of Preferred Stock issuable pursuant to the exercise of a Right and is subject to adjustment from time to time as provided in Section 11 or Section 13.</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(y) “</w:t>
      </w:r>
      <w:r>
        <w:rPr>
          <w:rFonts w:ascii="Times New Roman" w:hAnsi="Times New Roman"/>
          <w:color w:val="000000"/>
          <w:sz w:val="24"/>
        </w:rPr>
        <w:t>Expiration Date</w:t>
      </w:r>
      <w:r>
        <w:rPr>
          <w:rFonts w:ascii="Times New Roman" w:hAnsi="Times New Roman"/>
          <w:color w:val="000000"/>
          <w:sz w:val="20"/>
        </w:rPr>
        <w:t xml:space="preserve">” </w:t>
      </w:r>
      <w:r>
        <w:rPr>
          <w:rFonts w:ascii="Times New Roman" w:hAnsi="Times New Roman"/>
          <w:b w:val="false"/>
          <w:color w:val="000000"/>
          <w:sz w:val="24"/>
        </w:rPr>
        <w:t>means the earliest to occur of (i) the Close of Business on the Final Expiration Date; (ii) the Redemption Date; (iii) the time at which the Board orders the exchange of the Rights as provided in Section 24; (iv) the Close of Business on February 25, 2027, if Stockholder Approval has not otherwise been obtained by that date; (v) the Close of Business on the effective date of the repeal of Section 382 or Section 383 if the Board, in its sole discretion, determines that this Plan is no longer necessary or desirable for the preservation of the Tax Benefits; (vi) the Close of Business on the date on which the Board, in its sole discretion, determines that the Tax Benefits are fully utilized or no longer available pursuant to Section 382 or Section 383; (vii) the Close of Business on the first day of a taxable year of the Company to which the Board determines, in its sole discretion, that no Tax Benefits may be carried forward; or (viii) the Close of Business on the date on which the Board, in its sole discretion and prior to the Distribution Date, determines that this Plan and the Rights are no longer in the best interests of the Company and its stockholders.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(z) “</w:t>
      </w:r>
      <w:r>
        <w:rPr>
          <w:rFonts w:ascii="Times New Roman" w:hAnsi="Times New Roman"/>
          <w:color w:val="000000"/>
          <w:sz w:val="24"/>
        </w:rPr>
        <w:t>Final Expiration Date</w:t>
      </w:r>
      <w:r>
        <w:rPr>
          <w:rFonts w:ascii="Times New Roman" w:hAnsi="Times New Roman"/>
          <w:color w:val="000000"/>
          <w:sz w:val="20"/>
        </w:rPr>
        <w:t xml:space="preserve">” </w:t>
      </w:r>
      <w:r>
        <w:rPr>
          <w:rFonts w:ascii="Times New Roman" w:hAnsi="Times New Roman"/>
          <w:b w:val="false"/>
          <w:color w:val="000000"/>
          <w:sz w:val="24"/>
        </w:rPr>
        <w:t>means February 25, 2029.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(aa) “</w:t>
      </w:r>
      <w:r>
        <w:rPr>
          <w:rFonts w:ascii="Times New Roman" w:hAnsi="Times New Roman"/>
          <w:color w:val="000000"/>
          <w:sz w:val="24"/>
        </w:rPr>
        <w:t>Nasdaq</w:t>
      </w:r>
      <w:r>
        <w:rPr>
          <w:rFonts w:ascii="Times New Roman" w:hAnsi="Times New Roman"/>
          <w:color w:val="000000"/>
          <w:sz w:val="20"/>
        </w:rPr>
        <w:t xml:space="preserve">” </w:t>
      </w:r>
      <w:r>
        <w:rPr>
          <w:rFonts w:ascii="Times New Roman" w:hAnsi="Times New Roman"/>
          <w:b w:val="false"/>
          <w:color w:val="000000"/>
          <w:sz w:val="24"/>
        </w:rPr>
        <w:t>means The Nasdaq Stock Market LLC.</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(bb) “</w:t>
      </w:r>
      <w:r>
        <w:rPr>
          <w:rFonts w:ascii="Times New Roman" w:hAnsi="Times New Roman"/>
          <w:color w:val="000000"/>
          <w:sz w:val="24"/>
        </w:rPr>
        <w:t>Original Rights</w:t>
      </w:r>
      <w:r>
        <w:rPr>
          <w:rFonts w:ascii="Times New Roman" w:hAnsi="Times New Roman"/>
          <w:color w:val="000000"/>
          <w:sz w:val="20"/>
        </w:rPr>
        <w:t xml:space="preserve">” </w:t>
      </w:r>
      <w:r>
        <w:rPr>
          <w:rFonts w:ascii="Times New Roman" w:hAnsi="Times New Roman"/>
          <w:b w:val="false"/>
          <w:color w:val="000000"/>
          <w:sz w:val="24"/>
        </w:rPr>
        <w:t>has the meaning set forth in Section 1(e)(ii).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(cc)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b w:val="false"/>
          <w:color w:val="000000"/>
          <w:sz w:val="24"/>
        </w:rPr>
        <w:t>means any individual, firm, corporation, partnership (general or limited), limited liability company, joint venture, business trust, trust, association, syndicate, group (as such term is used in Rule 13d-5 of the General Rules and Regulations promulgated under the Exchange Act, as in effect on the date of this Plan) or other entity, or any group of Persons having a formal or informal understanding among themselves to make a “coordinated acquisition” of Common Stock within the meaning of Treasury Regulation § 1.382-3(a)(1) or who are otherwise treated as an “entity” within the meaning of Treasury Regulation § 1.382-3(a)(1), and, in each case, will include any successor (by merger or otherwise) of any such Person, but will not include a Public Group (as defined in Section 1.382-2T(f)(13) of the Treasury Regulations).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(dd) “</w:t>
      </w:r>
      <w:r>
        <w:rPr>
          <w:rFonts w:ascii="Times New Roman" w:hAnsi="Times New Roman"/>
          <w:color w:val="000000"/>
          <w:sz w:val="24"/>
        </w:rPr>
        <w:t>Plan</w:t>
      </w:r>
      <w:r>
        <w:rPr>
          <w:rFonts w:ascii="Times New Roman" w:hAnsi="Times New Roman"/>
          <w:color w:val="000000"/>
          <w:sz w:val="20"/>
        </w:rPr>
        <w:t xml:space="preserve">” </w:t>
      </w:r>
      <w:r>
        <w:rPr>
          <w:rFonts w:ascii="Times New Roman" w:hAnsi="Times New Roman"/>
          <w:b w:val="false"/>
          <w:color w:val="000000"/>
          <w:sz w:val="24"/>
        </w:rPr>
        <w:t>has the meaning set forth in the preamble.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(ee) “</w:t>
      </w:r>
      <w:r>
        <w:rPr>
          <w:rFonts w:ascii="Times New Roman" w:hAnsi="Times New Roman"/>
          <w:color w:val="000000"/>
          <w:sz w:val="24"/>
        </w:rPr>
        <w:t>Post-Event Transferee</w:t>
      </w:r>
      <w:r>
        <w:rPr>
          <w:rFonts w:ascii="Times New Roman" w:hAnsi="Times New Roman"/>
          <w:color w:val="000000"/>
          <w:sz w:val="20"/>
        </w:rPr>
        <w:t xml:space="preserve">” </w:t>
      </w:r>
      <w:r>
        <w:rPr>
          <w:rFonts w:ascii="Times New Roman" w:hAnsi="Times New Roman"/>
          <w:b w:val="false"/>
          <w:color w:val="000000"/>
          <w:sz w:val="24"/>
        </w:rPr>
        <w:t>has the meaning set forth in Section 7(e).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(ff) “</w:t>
      </w:r>
      <w:r>
        <w:rPr>
          <w:rFonts w:ascii="Times New Roman" w:hAnsi="Times New Roman"/>
          <w:color w:val="000000"/>
          <w:sz w:val="24"/>
        </w:rPr>
        <w:t>Pre-Event Transferee</w:t>
      </w:r>
      <w:r>
        <w:rPr>
          <w:rFonts w:ascii="Times New Roman" w:hAnsi="Times New Roman"/>
          <w:color w:val="000000"/>
          <w:sz w:val="20"/>
        </w:rPr>
        <w:t xml:space="preserve">” </w:t>
      </w:r>
      <w:r>
        <w:rPr>
          <w:rFonts w:ascii="Times New Roman" w:hAnsi="Times New Roman"/>
          <w:b w:val="false"/>
          <w:color w:val="000000"/>
          <w:sz w:val="24"/>
        </w:rPr>
        <w:t>has the meaning set forth in Section 7(e).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(gg) “</w:t>
      </w:r>
      <w:r>
        <w:rPr>
          <w:rFonts w:ascii="Times New Roman" w:hAnsi="Times New Roman"/>
          <w:color w:val="000000"/>
          <w:sz w:val="24"/>
        </w:rPr>
        <w:t>Preferred Stock</w:t>
      </w:r>
      <w:r>
        <w:rPr>
          <w:rFonts w:ascii="Times New Roman" w:hAnsi="Times New Roman"/>
          <w:color w:val="000000"/>
          <w:sz w:val="20"/>
        </w:rPr>
        <w:t xml:space="preserve">” </w:t>
      </w:r>
      <w:r>
        <w:rPr>
          <w:rFonts w:ascii="Times New Roman" w:hAnsi="Times New Roman"/>
          <w:b w:val="false"/>
          <w:color w:val="000000"/>
          <w:sz w:val="24"/>
        </w:rPr>
        <w:t>means shares of Series A Participating Preferred Stock, par value $0.00001 per share, of the Company and, to the extent that there are not a sufficient number of shares of Preferred Stock authorized to permit the full exercise of the Rights, any other series of preferred stock of the Company designated for such purpose containing terms substantially similar to the terms of the Preferred Stock.</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(hh) “</w:t>
      </w:r>
      <w:r>
        <w:rPr>
          <w:rFonts w:ascii="Times New Roman" w:hAnsi="Times New Roman"/>
          <w:color w:val="000000"/>
          <w:sz w:val="24"/>
        </w:rPr>
        <w:t>Principal Party</w:t>
      </w:r>
      <w:r>
        <w:rPr>
          <w:rFonts w:ascii="Times New Roman" w:hAnsi="Times New Roman"/>
          <w:color w:val="000000"/>
          <w:sz w:val="20"/>
        </w:rPr>
        <w:t xml:space="preserve">” </w:t>
      </w:r>
      <w:r>
        <w:rPr>
          <w:rFonts w:ascii="Times New Roman" w:hAnsi="Times New Roman"/>
          <w:b w:val="false"/>
          <w:color w:val="000000"/>
          <w:sz w:val="24"/>
        </w:rPr>
        <w:t>means (i) in the case of any transaction described in clause (i) or (ii) of Section 13(a), (A) the Person that is the issuer of the securities into which the Common Stock are converted in the consolidation or merger, or, if there is more than one such issuer, the issuer whose Common Stock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Stock has the greatest aggregate market value of shares outstanding; (2) if the Person that is the other party to the consolidation or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Stock having the greatest aggregate market value of shares outstanding. For purposes of this definition, if the shares of Common Stock of such Person are not at such time, or have not been continuously over the preceding 12-month period, registered pursuant to Section 12 of the Exchange Act, then if such Person is (x) a direct or indirect Subsidiary of another Person whose Common Stock is and has been so registered, the term “Principal Party” will refer to such other Person, (y) a direct or indirect Subsidiary of more than one Person whose shares of Common Stock is and has been so registered, the term “Principal Party” will refer to whichever of such Persons is the issuer of Common Stock having the greatest aggregate market value of shares outstanding, or (z)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(ii) “</w:t>
      </w:r>
      <w:r>
        <w:rPr>
          <w:rFonts w:ascii="Times New Roman" w:hAnsi="Times New Roman"/>
          <w:color w:val="000000"/>
          <w:sz w:val="24"/>
        </w:rPr>
        <w:t>Record Date</w:t>
      </w:r>
      <w:r>
        <w:rPr>
          <w:rFonts w:ascii="Times New Roman" w:hAnsi="Times New Roman"/>
          <w:color w:val="000000"/>
          <w:sz w:val="20"/>
        </w:rPr>
        <w:t xml:space="preserve">” </w:t>
      </w:r>
      <w:r>
        <w:rPr>
          <w:rFonts w:ascii="Times New Roman" w:hAnsi="Times New Roman"/>
          <w:b w:val="false"/>
          <w:color w:val="000000"/>
          <w:sz w:val="24"/>
        </w:rPr>
        <w:t>has the meaning set forth in the recitals at the beginning of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(jj) “</w:t>
      </w:r>
      <w:r>
        <w:rPr>
          <w:rFonts w:ascii="Times New Roman" w:hAnsi="Times New Roman"/>
          <w:color w:val="000000"/>
          <w:sz w:val="24"/>
        </w:rPr>
        <w:t>Redemption Date</w:t>
      </w:r>
      <w:r>
        <w:rPr>
          <w:rFonts w:ascii="Times New Roman" w:hAnsi="Times New Roman"/>
          <w:color w:val="000000"/>
          <w:sz w:val="20"/>
        </w:rPr>
        <w:t xml:space="preserve">” </w:t>
      </w:r>
      <w:r>
        <w:rPr>
          <w:rFonts w:ascii="Times New Roman" w:hAnsi="Times New Roman"/>
          <w:b w:val="false"/>
          <w:color w:val="000000"/>
          <w:sz w:val="24"/>
        </w:rPr>
        <w:t>has the meaning set forth in Section 23(a).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(kk) “</w:t>
      </w:r>
      <w:r>
        <w:rPr>
          <w:rFonts w:ascii="Times New Roman" w:hAnsi="Times New Roman"/>
          <w:color w:val="000000"/>
          <w:sz w:val="24"/>
        </w:rPr>
        <w:t>Redemption Price</w:t>
      </w:r>
      <w:r>
        <w:rPr>
          <w:rFonts w:ascii="Times New Roman" w:hAnsi="Times New Roman"/>
          <w:color w:val="000000"/>
          <w:sz w:val="20"/>
        </w:rPr>
        <w:t xml:space="preserve">” </w:t>
      </w:r>
      <w:r>
        <w:rPr>
          <w:rFonts w:ascii="Times New Roman" w:hAnsi="Times New Roman"/>
          <w:b w:val="false"/>
          <w:color w:val="000000"/>
          <w:sz w:val="24"/>
        </w:rPr>
        <w:t>has the meaning set forth in Section 23(a).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(ll) “</w:t>
      </w:r>
      <w:r>
        <w:rPr>
          <w:rFonts w:ascii="Times New Roman" w:hAnsi="Times New Roman"/>
          <w:color w:val="000000"/>
          <w:sz w:val="24"/>
        </w:rPr>
        <w:t>Requesting Person</w:t>
      </w:r>
      <w:r>
        <w:rPr>
          <w:rFonts w:ascii="Times New Roman" w:hAnsi="Times New Roman"/>
          <w:color w:val="000000"/>
          <w:sz w:val="20"/>
        </w:rPr>
        <w:t xml:space="preserve">” </w:t>
      </w:r>
      <w:r>
        <w:rPr>
          <w:rFonts w:ascii="Times New Roman" w:hAnsi="Times New Roman"/>
          <w:b w:val="false"/>
          <w:color w:val="000000"/>
          <w:sz w:val="24"/>
        </w:rPr>
        <w:t>has the meaning set forth in Section 25(a).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(mm)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b w:val="false"/>
          <w:color w:val="000000"/>
          <w:sz w:val="24"/>
        </w:rPr>
        <w:t>has the meaning set forth in the recitals at the beginning of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(nn) “</w:t>
      </w:r>
      <w:r>
        <w:rPr>
          <w:rFonts w:ascii="Times New Roman" w:hAnsi="Times New Roman"/>
          <w:color w:val="000000"/>
          <w:sz w:val="24"/>
        </w:rPr>
        <w:t>Rights Agent</w:t>
      </w:r>
      <w:r>
        <w:rPr>
          <w:rFonts w:ascii="Times New Roman" w:hAnsi="Times New Roman"/>
          <w:color w:val="000000"/>
          <w:sz w:val="20"/>
        </w:rPr>
        <w:t xml:space="preserve">” </w:t>
      </w:r>
      <w:r>
        <w:rPr>
          <w:rFonts w:ascii="Times New Roman" w:hAnsi="Times New Roman"/>
          <w:b w:val="false"/>
          <w:color w:val="000000"/>
          <w:sz w:val="24"/>
        </w:rPr>
        <w:t>has the meaning set forth in the preamble.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(oo) “</w:t>
      </w:r>
      <w:r>
        <w:rPr>
          <w:rFonts w:ascii="Times New Roman" w:hAnsi="Times New Roman"/>
          <w:color w:val="000000"/>
          <w:sz w:val="24"/>
        </w:rPr>
        <w:t>Rights Certificate</w:t>
      </w:r>
      <w:r>
        <w:rPr>
          <w:rFonts w:ascii="Times New Roman" w:hAnsi="Times New Roman"/>
          <w:color w:val="000000"/>
          <w:sz w:val="20"/>
        </w:rPr>
        <w:t xml:space="preserve">” </w:t>
      </w:r>
      <w:r>
        <w:rPr>
          <w:rFonts w:ascii="Times New Roman" w:hAnsi="Times New Roman"/>
          <w:b w:val="false"/>
          <w:color w:val="000000"/>
          <w:sz w:val="24"/>
        </w:rPr>
        <w:t>means a certificate substantially in the form attached as Exhibit B.</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(pp) “</w:t>
      </w:r>
      <w:r>
        <w:rPr>
          <w:rFonts w:ascii="Times New Roman" w:hAnsi="Times New Roman"/>
          <w:color w:val="000000"/>
          <w:sz w:val="24"/>
        </w:rPr>
        <w:t>Rights Dividend Declaration Date</w:t>
      </w:r>
      <w:r>
        <w:rPr>
          <w:rFonts w:ascii="Times New Roman" w:hAnsi="Times New Roman"/>
          <w:color w:val="000000"/>
          <w:sz w:val="20"/>
        </w:rPr>
        <w:t xml:space="preserve">” </w:t>
      </w:r>
      <w:r>
        <w:rPr>
          <w:rFonts w:ascii="Times New Roman" w:hAnsi="Times New Roman"/>
          <w:b w:val="false"/>
          <w:color w:val="000000"/>
          <w:sz w:val="24"/>
        </w:rPr>
        <w:t>has the meaning set forth in the recitals at the beginning of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(qq) “</w:t>
      </w:r>
      <w:r>
        <w:rPr>
          <w:rFonts w:ascii="Times New Roman" w:hAnsi="Times New Roman"/>
          <w:color w:val="000000"/>
          <w:sz w:val="24"/>
        </w:rPr>
        <w:t>Schedule 13D</w:t>
      </w:r>
      <w:r>
        <w:rPr>
          <w:rFonts w:ascii="Times New Roman" w:hAnsi="Times New Roman"/>
          <w:color w:val="000000"/>
          <w:sz w:val="20"/>
        </w:rPr>
        <w:t xml:space="preserve">” </w:t>
      </w:r>
      <w:r>
        <w:rPr>
          <w:rFonts w:ascii="Times New Roman" w:hAnsi="Times New Roman"/>
          <w:b w:val="false"/>
          <w:color w:val="000000"/>
          <w:sz w:val="24"/>
        </w:rPr>
        <w:t>means a statement on Schedule 13D filing pursuant to Rule 13d-1(a), 13d-1(e), Rule 13d-1(f) or 13d-1(g) of the General Rules and Regulations under the Exchange Act, and any comparable or successor report.</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(rr) “</w:t>
      </w:r>
      <w:r>
        <w:rPr>
          <w:rFonts w:ascii="Times New Roman" w:hAnsi="Times New Roman"/>
          <w:color w:val="000000"/>
          <w:sz w:val="24"/>
        </w:rPr>
        <w:t>SEC</w:t>
      </w:r>
      <w:r>
        <w:rPr>
          <w:rFonts w:ascii="Times New Roman" w:hAnsi="Times New Roman"/>
          <w:color w:val="000000"/>
          <w:sz w:val="20"/>
        </w:rPr>
        <w:t xml:space="preserve">” </w:t>
      </w:r>
      <w:r>
        <w:rPr>
          <w:rFonts w:ascii="Times New Roman" w:hAnsi="Times New Roman"/>
          <w:b w:val="false"/>
          <w:color w:val="000000"/>
          <w:sz w:val="24"/>
        </w:rPr>
        <w:t>means the United States Securities and Exchange Commission.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(ss) “</w:t>
      </w:r>
      <w:r>
        <w:rPr>
          <w:rFonts w:ascii="Times New Roman" w:hAnsi="Times New Roman"/>
          <w:color w:val="000000"/>
          <w:sz w:val="24"/>
        </w:rPr>
        <w:t>Section 11(a)(ii) Event</w:t>
      </w:r>
      <w:r>
        <w:rPr>
          <w:rFonts w:ascii="Times New Roman" w:hAnsi="Times New Roman"/>
          <w:color w:val="000000"/>
          <w:sz w:val="20"/>
        </w:rPr>
        <w:t xml:space="preserve">” </w:t>
      </w:r>
      <w:r>
        <w:rPr>
          <w:rFonts w:ascii="Times New Roman" w:hAnsi="Times New Roman"/>
          <w:b w:val="false"/>
          <w:color w:val="000000"/>
          <w:sz w:val="24"/>
        </w:rPr>
        <w:t>has the meaning set forth in Section 11(a)(ii).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(tt) “</w:t>
      </w:r>
      <w:r>
        <w:rPr>
          <w:rFonts w:ascii="Times New Roman" w:hAnsi="Times New Roman"/>
          <w:color w:val="000000"/>
          <w:sz w:val="24"/>
        </w:rPr>
        <w:t>Section 11(a)(ii) Trigger Date</w:t>
      </w:r>
      <w:r>
        <w:rPr>
          <w:rFonts w:ascii="Times New Roman" w:hAnsi="Times New Roman"/>
          <w:color w:val="000000"/>
          <w:sz w:val="20"/>
        </w:rPr>
        <w:t xml:space="preserve">” </w:t>
      </w:r>
      <w:r>
        <w:rPr>
          <w:rFonts w:ascii="Times New Roman" w:hAnsi="Times New Roman"/>
          <w:b w:val="false"/>
          <w:color w:val="000000"/>
          <w:sz w:val="24"/>
        </w:rPr>
        <w:t>has the meaning set forth in Section 11(a)(iii).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(uu) “</w:t>
      </w:r>
      <w:r>
        <w:rPr>
          <w:rFonts w:ascii="Times New Roman" w:hAnsi="Times New Roman"/>
          <w:color w:val="000000"/>
          <w:sz w:val="24"/>
        </w:rPr>
        <w:t>Section 13 Event</w:t>
      </w:r>
      <w:r>
        <w:rPr>
          <w:rFonts w:ascii="Times New Roman" w:hAnsi="Times New Roman"/>
          <w:color w:val="000000"/>
          <w:sz w:val="20"/>
        </w:rPr>
        <w:t xml:space="preserve">” </w:t>
      </w:r>
      <w:r>
        <w:rPr>
          <w:rFonts w:ascii="Times New Roman" w:hAnsi="Times New Roman"/>
          <w:b w:val="false"/>
          <w:color w:val="000000"/>
          <w:sz w:val="24"/>
        </w:rPr>
        <w:t>means any event described in clause (i), (ii) or (iii) of Section 13(a).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(vv) “</w:t>
      </w:r>
      <w:r>
        <w:rPr>
          <w:rFonts w:ascii="Times New Roman" w:hAnsi="Times New Roman"/>
          <w:color w:val="000000"/>
          <w:sz w:val="24"/>
        </w:rPr>
        <w:t>Section 382</w:t>
      </w:r>
      <w:r>
        <w:rPr>
          <w:rFonts w:ascii="Times New Roman" w:hAnsi="Times New Roman"/>
          <w:color w:val="000000"/>
          <w:sz w:val="20"/>
        </w:rPr>
        <w:t xml:space="preserve">” </w:t>
      </w:r>
      <w:r>
        <w:rPr>
          <w:rFonts w:ascii="Times New Roman" w:hAnsi="Times New Roman"/>
          <w:b w:val="false"/>
          <w:color w:val="000000"/>
          <w:sz w:val="24"/>
        </w:rPr>
        <w:t>means Section 382 of the Code.</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(ww) “</w:t>
      </w:r>
      <w:r>
        <w:rPr>
          <w:rFonts w:ascii="Times New Roman" w:hAnsi="Times New Roman"/>
          <w:color w:val="000000"/>
          <w:sz w:val="24"/>
        </w:rPr>
        <w:t>Section 383</w:t>
      </w:r>
      <w:r>
        <w:rPr>
          <w:rFonts w:ascii="Times New Roman" w:hAnsi="Times New Roman"/>
          <w:color w:val="000000"/>
          <w:sz w:val="20"/>
        </w:rPr>
        <w:t xml:space="preserve">” </w:t>
      </w:r>
      <w:r>
        <w:rPr>
          <w:rFonts w:ascii="Times New Roman" w:hAnsi="Times New Roman"/>
          <w:b w:val="false"/>
          <w:color w:val="000000"/>
          <w:sz w:val="24"/>
        </w:rPr>
        <w:t>means Section 383 of the Code.</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(xx) “</w:t>
      </w:r>
      <w:r>
        <w:rPr>
          <w:rFonts w:ascii="Times New Roman" w:hAnsi="Times New Roman"/>
          <w:color w:val="000000"/>
          <w:sz w:val="24"/>
        </w:rPr>
        <w:t>Securities Act</w:t>
      </w:r>
      <w:r>
        <w:rPr>
          <w:rFonts w:ascii="Times New Roman" w:hAnsi="Times New Roman"/>
          <w:color w:val="000000"/>
          <w:sz w:val="20"/>
        </w:rPr>
        <w:t xml:space="preserve">” </w:t>
      </w:r>
      <w:r>
        <w:rPr>
          <w:rFonts w:ascii="Times New Roman" w:hAnsi="Times New Roman"/>
          <w:b w:val="false"/>
          <w:color w:val="000000"/>
          <w:sz w:val="24"/>
        </w:rPr>
        <w:t>means the Securities Act of 1933, as amended.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(yy)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b w:val="false"/>
          <w:color w:val="000000"/>
          <w:sz w:val="24"/>
        </w:rPr>
        <w:t>has the meaning set forth in Section 1(n).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(zz) “</w:t>
      </w:r>
      <w:r>
        <w:rPr>
          <w:rFonts w:ascii="Times New Roman" w:hAnsi="Times New Roman"/>
          <w:color w:val="000000"/>
          <w:sz w:val="24"/>
        </w:rPr>
        <w:t>Signature Guarantee</w:t>
      </w:r>
      <w:r>
        <w:rPr>
          <w:rFonts w:ascii="Times New Roman" w:hAnsi="Times New Roman"/>
          <w:color w:val="000000"/>
          <w:sz w:val="20"/>
        </w:rPr>
        <w:t xml:space="preserve">” </w:t>
      </w:r>
      <w:r>
        <w:rPr>
          <w:rFonts w:ascii="Times New Roman" w:hAnsi="Times New Roman"/>
          <w:b w:val="false"/>
          <w:color w:val="000000"/>
          <w:sz w:val="24"/>
        </w:rPr>
        <w:t>means a Signature Guarantee from an eligible guarantor institution participating in a signature guarantee program approved by the Securities Transfer Association.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(aaa) “</w:t>
      </w:r>
      <w:r>
        <w:rPr>
          <w:rFonts w:ascii="Times New Roman" w:hAnsi="Times New Roman"/>
          <w:color w:val="000000"/>
          <w:sz w:val="24"/>
        </w:rPr>
        <w:t>Spread</w:t>
      </w:r>
      <w:r>
        <w:rPr>
          <w:rFonts w:ascii="Times New Roman" w:hAnsi="Times New Roman"/>
          <w:color w:val="000000"/>
          <w:sz w:val="20"/>
        </w:rPr>
        <w:t xml:space="preserve">” </w:t>
      </w:r>
      <w:r>
        <w:rPr>
          <w:rFonts w:ascii="Times New Roman" w:hAnsi="Times New Roman"/>
          <w:b w:val="false"/>
          <w:color w:val="000000"/>
          <w:sz w:val="24"/>
        </w:rPr>
        <w:t>means the excess of (i) the Current Value over (ii) the Exercise Price.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(bbb) “</w:t>
      </w:r>
      <w:r>
        <w:rPr>
          <w:rFonts w:ascii="Times New Roman" w:hAnsi="Times New Roman"/>
          <w:color w:val="000000"/>
          <w:sz w:val="24"/>
        </w:rPr>
        <w:t>Stock Acquisition Date</w:t>
      </w:r>
      <w:r>
        <w:rPr>
          <w:rFonts w:ascii="Times New Roman" w:hAnsi="Times New Roman"/>
          <w:color w:val="000000"/>
          <w:sz w:val="20"/>
        </w:rPr>
        <w:t xml:space="preserve">” </w:t>
      </w:r>
      <w:r>
        <w:rPr>
          <w:rFonts w:ascii="Times New Roman" w:hAnsi="Times New Roman"/>
          <w:b w:val="false"/>
          <w:color w:val="000000"/>
          <w:sz w:val="24"/>
        </w:rPr>
        <w:t>means (i) the first date of public announcement (which, for purposes of this definition, includes the filing or amending of a Schedule 13D) by the Company or an Acquiring Person that an Acquiring Person has become such or that discloses information that reveals the existence of an Acquiring Person or (ii) such earlier date as a majority of the Board shall become aware of the existence of an Acquiring Person.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(ccc) “</w:t>
      </w:r>
      <w:r>
        <w:rPr>
          <w:rFonts w:ascii="Times New Roman" w:hAnsi="Times New Roman"/>
          <w:color w:val="000000"/>
          <w:sz w:val="24"/>
        </w:rPr>
        <w:t>Stockholder Approval</w:t>
      </w:r>
      <w:r>
        <w:rPr>
          <w:rFonts w:ascii="Times New Roman" w:hAnsi="Times New Roman"/>
          <w:color w:val="000000"/>
          <w:sz w:val="20"/>
        </w:rPr>
        <w:t xml:space="preserve">” </w:t>
      </w:r>
      <w:r>
        <w:rPr>
          <w:rFonts w:ascii="Times New Roman" w:hAnsi="Times New Roman"/>
          <w:b w:val="false"/>
          <w:color w:val="000000"/>
          <w:sz w:val="24"/>
        </w:rPr>
        <w:t>means</w:t>
      </w:r>
      <w:r>
        <w:rPr>
          <w:rFonts w:ascii="Times New Roman" w:hAnsi="Times New Roman"/>
          <w:color w:val="000000"/>
          <w:sz w:val="20"/>
        </w:rPr>
        <w:t xml:space="preserve"> </w:t>
      </w:r>
      <w:r>
        <w:rPr>
          <w:rFonts w:ascii="Times New Roman" w:hAnsi="Times New Roman"/>
          <w:b w:val="false"/>
          <w:color w:val="000000"/>
          <w:sz w:val="24"/>
        </w:rPr>
        <w:t>the ratification or approval of this Plan by the affirmative vote of a majority of the voting power of the shares of Common Stock present in person or represented by proxy and entitled to vote (excluding any votes cast by any Acquiring Person or its Affiliates or Associates) at a duly called meeting of stockholders of the Company (or any adjournment, postponement or other delay thereof) at which a quorum is present.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(ddd) “</w:t>
      </w:r>
      <w:r>
        <w:rPr>
          <w:rFonts w:ascii="Times New Roman" w:hAnsi="Times New Roman"/>
          <w:color w:val="000000"/>
          <w:sz w:val="24"/>
        </w:rPr>
        <w:t>Subsequent Transferee</w:t>
      </w:r>
      <w:r>
        <w:rPr>
          <w:rFonts w:ascii="Times New Roman" w:hAnsi="Times New Roman"/>
          <w:color w:val="000000"/>
          <w:sz w:val="20"/>
        </w:rPr>
        <w:t xml:space="preserve">” </w:t>
      </w:r>
      <w:r>
        <w:rPr>
          <w:rFonts w:ascii="Times New Roman" w:hAnsi="Times New Roman"/>
          <w:b w:val="false"/>
          <w:color w:val="000000"/>
          <w:sz w:val="24"/>
        </w:rPr>
        <w:t>has the meaning set forth in Section 7(e).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(eee) “</w:t>
      </w:r>
      <w:r>
        <w:rPr>
          <w:rFonts w:ascii="Times New Roman" w:hAnsi="Times New Roman"/>
          <w:color w:val="000000"/>
          <w:sz w:val="24"/>
        </w:rPr>
        <w:t>Subsidiary</w:t>
      </w:r>
      <w:r>
        <w:rPr>
          <w:rFonts w:ascii="Times New Roman" w:hAnsi="Times New Roman"/>
          <w:color w:val="000000"/>
          <w:sz w:val="20"/>
        </w:rPr>
        <w:t xml:space="preserve">” </w:t>
      </w:r>
      <w:r>
        <w:rPr>
          <w:rFonts w:ascii="Times New Roman" w:hAnsi="Times New Roman"/>
          <w:b w:val="false"/>
          <w:color w:val="000000"/>
          <w:sz w:val="24"/>
        </w:rPr>
        <w:t>of any Person means any firm, corporation, partnership (general or limited), limited liability company, joint venture, business trust, trust, association, syndicate or other entity (whether or not incorporated) of which an amount of voting securities sufficient to elect a majority of the directors or Persons 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(fff) “</w:t>
      </w:r>
      <w:r>
        <w:rPr>
          <w:rFonts w:ascii="Times New Roman" w:hAnsi="Times New Roman"/>
          <w:color w:val="000000"/>
          <w:sz w:val="24"/>
        </w:rPr>
        <w:t>Substitution Period</w:t>
      </w:r>
      <w:r>
        <w:rPr>
          <w:rFonts w:ascii="Times New Roman" w:hAnsi="Times New Roman"/>
          <w:color w:val="000000"/>
          <w:sz w:val="20"/>
        </w:rPr>
        <w:t xml:space="preserve">” </w:t>
      </w:r>
      <w:r>
        <w:rPr>
          <w:rFonts w:ascii="Times New Roman" w:hAnsi="Times New Roman"/>
          <w:b w:val="false"/>
          <w:color w:val="000000"/>
          <w:sz w:val="24"/>
        </w:rPr>
        <w:t>has the meaning set forth in Section 11(a)(iii).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(ggg) “</w:t>
      </w:r>
      <w:r>
        <w:rPr>
          <w:rFonts w:ascii="Times New Roman" w:hAnsi="Times New Roman"/>
          <w:color w:val="000000"/>
          <w:sz w:val="24"/>
        </w:rPr>
        <w:t>Summary of Rights</w:t>
      </w:r>
      <w:r>
        <w:rPr>
          <w:rFonts w:ascii="Times New Roman" w:hAnsi="Times New Roman"/>
          <w:color w:val="000000"/>
          <w:sz w:val="20"/>
        </w:rPr>
        <w:t xml:space="preserve">” </w:t>
      </w:r>
      <w:r>
        <w:rPr>
          <w:rFonts w:ascii="Times New Roman" w:hAnsi="Times New Roman"/>
          <w:b w:val="false"/>
          <w:color w:val="000000"/>
          <w:sz w:val="24"/>
        </w:rPr>
        <w:t>means a summary of this Plan substantially in the form attached as Exhibit C.</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(hhh) “</w:t>
      </w:r>
      <w:r>
        <w:rPr>
          <w:rFonts w:ascii="Times New Roman" w:hAnsi="Times New Roman"/>
          <w:color w:val="000000"/>
          <w:sz w:val="24"/>
        </w:rPr>
        <w:t>Tax Benefits</w:t>
      </w:r>
      <w:r>
        <w:rPr>
          <w:rFonts w:ascii="Times New Roman" w:hAnsi="Times New Roman"/>
          <w:color w:val="000000"/>
          <w:sz w:val="20"/>
        </w:rPr>
        <w:t xml:space="preserve">” </w:t>
      </w:r>
      <w:r>
        <w:rPr>
          <w:rFonts w:ascii="Times New Roman" w:hAnsi="Times New Roman"/>
          <w:b w:val="false"/>
          <w:color w:val="000000"/>
          <w:sz w:val="24"/>
        </w:rPr>
        <w:t>means net operating carryovers, capital loss carryovers, general business credit carryovers, Section 163(j) deferred interest carryovers, alternative minimum tax credit carryovers and foreign tax credit carryovers, as well as any loss or deduction (whether actual or prospective) attributable to a “net unrealized built-in loss” within the meaning of Section 382, in each case of the Company or any of its Subsidiaries.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(iii) “</w:t>
      </w:r>
      <w:r>
        <w:rPr>
          <w:rFonts w:ascii="Times New Roman" w:hAnsi="Times New Roman"/>
          <w:color w:val="000000"/>
          <w:sz w:val="24"/>
        </w:rPr>
        <w:t>Trading Day</w:t>
      </w:r>
      <w:r>
        <w:rPr>
          <w:rFonts w:ascii="Times New Roman" w:hAnsi="Times New Roman"/>
          <w:color w:val="000000"/>
          <w:sz w:val="20"/>
        </w:rPr>
        <w:t xml:space="preserve">” </w:t>
      </w:r>
      <w:r>
        <w:rPr>
          <w:rFonts w:ascii="Times New Roman" w:hAnsi="Times New Roman"/>
          <w:b w:val="false"/>
          <w:color w:val="000000"/>
          <w:sz w:val="24"/>
        </w:rPr>
        <w:t>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(jjj) “</w:t>
      </w:r>
      <w:r>
        <w:rPr>
          <w:rFonts w:ascii="Times New Roman" w:hAnsi="Times New Roman"/>
          <w:color w:val="000000"/>
          <w:sz w:val="24"/>
        </w:rPr>
        <w:t>Treasury Regulations</w:t>
      </w:r>
      <w:r>
        <w:rPr>
          <w:rFonts w:ascii="Times New Roman" w:hAnsi="Times New Roman"/>
          <w:color w:val="000000"/>
          <w:sz w:val="20"/>
        </w:rPr>
        <w:t xml:space="preserve">” </w:t>
      </w:r>
      <w:r>
        <w:rPr>
          <w:rFonts w:ascii="Times New Roman" w:hAnsi="Times New Roman"/>
          <w:b w:val="false"/>
          <w:color w:val="000000"/>
          <w:sz w:val="24"/>
        </w:rPr>
        <w:t>means the final, temporary and proposed income tax regulations promulgated by the United States Department of the Treasury pursuant to the Code, as amended or superseded from time to time.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(kkk) “</w:t>
      </w:r>
      <w:r>
        <w:rPr>
          <w:rFonts w:ascii="Times New Roman" w:hAnsi="Times New Roman"/>
          <w:color w:val="000000"/>
          <w:sz w:val="24"/>
        </w:rPr>
        <w:t>Triggering Event</w:t>
      </w:r>
      <w:r>
        <w:rPr>
          <w:rFonts w:ascii="Times New Roman" w:hAnsi="Times New Roman"/>
          <w:color w:val="000000"/>
          <w:sz w:val="20"/>
        </w:rPr>
        <w:t xml:space="preserve">” </w:t>
      </w:r>
      <w:r>
        <w:rPr>
          <w:rFonts w:ascii="Times New Roman" w:hAnsi="Times New Roman"/>
          <w:b w:val="false"/>
          <w:color w:val="000000"/>
          <w:sz w:val="24"/>
        </w:rPr>
        <w:t>means any Section 11(a)(ii) Event or Section 13 Event.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(lll) “</w:t>
      </w:r>
      <w:r>
        <w:rPr>
          <w:rFonts w:ascii="Times New Roman" w:hAnsi="Times New Roman"/>
          <w:color w:val="000000"/>
          <w:sz w:val="24"/>
        </w:rPr>
        <w:t>Triggering Percentage</w:t>
      </w:r>
      <w:r>
        <w:rPr>
          <w:rFonts w:ascii="Times New Roman" w:hAnsi="Times New Roman"/>
          <w:color w:val="000000"/>
          <w:sz w:val="20"/>
        </w:rPr>
        <w:t xml:space="preserve">” </w:t>
      </w:r>
      <w:r>
        <w:rPr>
          <w:rFonts w:ascii="Times New Roman" w:hAnsi="Times New Roman"/>
          <w:b w:val="false"/>
          <w:color w:val="000000"/>
          <w:sz w:val="24"/>
        </w:rPr>
        <w:t>means 4.9 percent.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(mmm)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b w:val="false"/>
          <w:color w:val="000000"/>
          <w:sz w:val="24"/>
        </w:rPr>
        <w:t>has the meaning set forth in Section 24(b)(ii).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(nnn) “</w:t>
      </w:r>
      <w:r>
        <w:rPr>
          <w:rFonts w:ascii="Times New Roman" w:hAnsi="Times New Roman"/>
          <w:color w:val="000000"/>
          <w:sz w:val="24"/>
        </w:rPr>
        <w:t>Trust Agreement</w:t>
      </w:r>
      <w:r>
        <w:rPr>
          <w:rFonts w:ascii="Times New Roman" w:hAnsi="Times New Roman"/>
          <w:color w:val="000000"/>
          <w:sz w:val="20"/>
        </w:rPr>
        <w:t xml:space="preserve">” </w:t>
      </w:r>
      <w:r>
        <w:rPr>
          <w:rFonts w:ascii="Times New Roman" w:hAnsi="Times New Roman"/>
          <w:b w:val="false"/>
          <w:color w:val="000000"/>
          <w:sz w:val="24"/>
        </w:rPr>
        <w:t>has the meaning set forth in Section 24(b)(ii).</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(ooo) “</w:t>
      </w:r>
      <w:r>
        <w:rPr>
          <w:rFonts w:ascii="Times New Roman" w:hAnsi="Times New Roman"/>
          <w:color w:val="000000"/>
          <w:sz w:val="24"/>
        </w:rPr>
        <w:t>Waiver Request</w:t>
      </w:r>
      <w:r>
        <w:rPr>
          <w:rFonts w:ascii="Times New Roman" w:hAnsi="Times New Roman"/>
          <w:color w:val="000000"/>
          <w:sz w:val="20"/>
        </w:rPr>
        <w:t xml:space="preserve">” </w:t>
      </w:r>
      <w:r>
        <w:rPr>
          <w:rFonts w:ascii="Times New Roman" w:hAnsi="Times New Roman"/>
          <w:b w:val="false"/>
          <w:color w:val="000000"/>
          <w:sz w:val="24"/>
        </w:rPr>
        <w:t>has the meaning set forth in Section 25(b).</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i/>
          <w:color w:val="000000"/>
          <w:sz w:val="24"/>
        </w:rPr>
        <w:t>Appointment of Rights Agent</w:t>
      </w:r>
      <w:r>
        <w:rPr>
          <w:rFonts w:ascii="Times New Roman" w:hAnsi="Times New Roman"/>
          <w:color w:val="000000"/>
          <w:sz w:val="24"/>
        </w:rPr>
        <w:t>. The Company appoints the Rights Agent to act as rights agent for the Company in accordance with the express terms and conditions hereof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10 days prior written notice thereof to the Rights Agent. If the Company appoints one or more co-Rights Agents, then the respective duties of the Rights Agent and any co-Rights Agents will be as the Company reasonably determines provided that (a) such duties are consistent with the terms and conditions of this Plan; and (b) contemporaneously with such appointment the Company notifies, in writing, the Rights Agent and any co-Rights Agents of any such duties. The Rights Agent will have no duty to supervise and will in no event be liable for the acts or omissions of any co-Rights Agent.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i/>
          <w:color w:val="000000"/>
          <w:sz w:val="24"/>
        </w:rPr>
        <w:t>Issuance of Rights Certificates</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Rights Evidenced by Certificates for Shares of Common Stock and Book Entry Shares</w:t>
      </w:r>
      <w:r>
        <w:rPr>
          <w:rFonts w:ascii="Times New Roman" w:hAnsi="Times New Roman"/>
          <w:b w:val="false"/>
          <w:color w:val="000000"/>
          <w:sz w:val="24"/>
        </w:rPr>
        <w:t>. Until the Distribution Date, (i) the Rights (unless earlier expired, redeemed or terminated) will be evidenced (subject to the provisions of Section 3(b) and Section 3(c)) by the certificates for shares of Common Stock registered in the names of the holders thereof or, in the case of uncertificated shares of Common Stock registered in book entry form (“</w:t>
      </w:r>
      <w:r>
        <w:rPr>
          <w:rFonts w:ascii="Times New Roman" w:hAnsi="Times New Roman"/>
          <w:color w:val="000000"/>
          <w:sz w:val="24"/>
        </w:rPr>
        <w:t>Book Entry Shares</w:t>
      </w:r>
      <w:r>
        <w:rPr>
          <w:rFonts w:ascii="Times New Roman" w:hAnsi="Times New Roman"/>
          <w:color w:val="000000"/>
          <w:sz w:val="20"/>
        </w:rPr>
        <w:t>”</w:t>
      </w:r>
      <w:r>
        <w:rPr>
          <w:rFonts w:ascii="Times New Roman" w:hAnsi="Times New Roman"/>
          <w:b w:val="false"/>
          <w:color w:val="000000"/>
          <w:sz w:val="24"/>
        </w:rPr>
        <w:t>), by notation in book entry accounts reflecting the ownership of such shares of Common Stock</w:t>
      </w:r>
      <w:r>
        <w:rPr>
          <w:rFonts w:ascii="Times New Roman" w:hAnsi="Times New Roman"/>
          <w:color w:val="000000"/>
          <w:sz w:val="20"/>
        </w:rPr>
        <w:t xml:space="preserve"> </w:t>
      </w:r>
      <w:r>
        <w:rPr>
          <w:rFonts w:ascii="Times New Roman" w:hAnsi="Times New Roman"/>
          <w:b w:val="false"/>
          <w:color w:val="000000"/>
          <w:sz w:val="24"/>
        </w:rPr>
        <w:t>(which certificates and Book Entry Shares, as applicable, will also be deemed to be Rights Certificates) and not by separate Rights Certificates; and (ii) the Rights (and the right to receive Rights Certificates) will be transferable only in connection with the transfer of the underlying shares of Common Stock (including a transfer to the Company). As soon as practicable after the Distribution Date, the Company will prepare and execute, the Rights Agent will countersign and the Company will send or cause to be sent (and the Rights Agent will, if so requested and provided with all necessary information and documents, send) (by mailing, in accordance with Section 27 or by such means as may be selected by the Company) to each record holder of shares of Common Stock as of the Close of Business on the Distribution Date (other than any Acquiring Person or any of its Affiliates or Associates), at the address of such holder shown on the transfer books of the Company or the transfer agent for the Common Stock, one or more Rights Certificates evidencing one Right for each share of Common Stock so held, subject to adjustment as provided in this Plan. Receipt of a Rights Certificate by any Person will not preclude a later determination that all or part of the Rights represented by such Rights Certificate are void pursuant to Section 7(e). To the extent that a Section 11(a)(ii) Event has also occurred, the Company may implement such procedures as it deems appropriate in its sole discretion to minimize the possibility that Rights are received by any Person whose Rights are null and void pursuant to Section 7(e). If an adjustment in the number of Rights per share of Common Stock has been made pursuant to Section 11, then at the time of distribution of the Rights Certificates, the Company will make the necessary and appropriate rounding adjustments (in accordance with Section 14(a)) so that Rights 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by this Plan, separately and apart from any transfer of shares of Common Stock,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and, if such notification is given orally, the Company shall confirm the same in writing within two Business Days. Until such notice is provided to the Rights Agent, it may presume conclusively for all purposes that the Distribution Date has not occurred.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Summary of Rights; Outstanding Shares of Common Stock</w:t>
      </w:r>
      <w:r>
        <w:rPr>
          <w:rFonts w:ascii="Times New Roman" w:hAnsi="Times New Roman"/>
          <w:b w:val="false"/>
          <w:color w:val="000000"/>
          <w:sz w:val="24"/>
        </w:rPr>
        <w:t>. The Company will make available, or cause to be made available, promptly after the Record Date, a copy of the Summary of Rights to any holder of Rights who may so request from time to time prior to the Expiration Date. With respect to certificates representing shares of Common Stock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Stock will also be the registered holders of the associated Rights. Until the earlier of the Distribution Date or the Expiration Date, the surrender for transfer of any shares of Common Stock in respect of which Rights have been issued (with or without a copy of the Summary of Rights) will also constitute the transfer of the Rights associated with such shares of Common Stock. Notwithstanding anything to the contrary in this Plan, upon the effectiveness of a redemption pursuant to Section 23 or an exchange pursuant to Section 24, the Company will not thereafter issue any additional Rights and, for the avoidance of doubt, no Rights will be attached to or will be issued with any Common Stock (including any shares of Common Stock issued pursuant to an exchange) at any time thereafter.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Legend</w:t>
      </w:r>
      <w:r>
        <w:rPr>
          <w:rFonts w:ascii="Times New Roman" w:hAnsi="Times New Roman"/>
          <w:b w:val="false"/>
          <w:color w:val="000000"/>
          <w:sz w:val="24"/>
        </w:rPr>
        <w:t>. Rights will be issued in respect of all shares of Common Stock that are issued (whether as an original issuance or from the Company’s treasury) after the Record Date but prior to the earlier of the Distribution Date or the Expiration Date. Certificates representing such shares of Common Stock will also be deemed to be certificates for Rights, and will bear substantially the following legend if such certificates are issued after the Record Date but prior to the earlier of the Distribution Date or the Expiration Date:</w:t>
      </w:r>
    </w:p>
    <w:p>
      <w:pPr>
        <w:pStyle w:val="TextBody"/>
        <w:bidi w:val="0"/>
        <w:spacing w:before="240" w:after="283"/>
        <w:jc w:val="left"/>
        <w:rPr>
          <w:rFonts w:ascii="Times New Roman" w:hAnsi="Times New Roman"/>
          <w:sz w:val="20"/>
        </w:rPr>
      </w:pPr>
      <w:r>
        <w:rPr>
          <w:rFonts w:ascii="Times New Roman" w:hAnsi="Times New Roman"/>
          <w:color w:val="000000"/>
          <w:sz w:val="24"/>
        </w:rPr>
        <w:t>This certificate also evidences and entitles the holder to certain rights as set forth in a Tax Benefit Preservation Plan, dated as of February 26, 2026, between Seer,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Computershare Trust Company, N.A., as rights agent, as it may be amended from time to time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xml:space="preserve">), the terms of which are incorporated by reference and a copy of which is on file at the principal executive offices of the Company. Under certain circumstances as set forth in the Plan, the Rights (as defined in the Plan)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Plan as in effect on the date of mailing without charge after receipt of a written request therefor. </w:t>
      </w:r>
      <w:r>
        <w:rPr>
          <w:rFonts w:ascii="Times New Roman" w:hAnsi="Times New Roman"/>
          <w:b/>
          <w:color w:val="000000"/>
          <w:sz w:val="24"/>
        </w:rPr>
        <w:t>Under certain circumstances as set forth in the Plan, Rights that are beneficially owned by, transferred to or have been owned by an Acquiring Person (as defined in the Plan) or any of its Affiliates (as defined in the Plan) or Associates (as defined in the Plan) will be null and void and will no longer be transferable.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 respect to any Book Entry Shares, a legend in substantially similar form will be included in any appropriate ownership notice provided to the holder of such Book Entry Share or in a notice to the record holder of such Book Entry Share in accordance with applicable law. With respect to such certificates representing shares of Common Stock or Book Entry Shares, as applicable, containing the foregoing legend, until the earlier of the Distribution Date or the Expiration Date, (i) the Rights associated with the shares of Common Stock represented by such certificates or Book Entry Shares will be evidenced solely by such certificates or Book Entry Shares; (ii) the registered holders of the shares of Common Stock will also be the registered holders of the associated Rights; and (iii) the surrender for transfer of any such certificates or Book Entry Shares (with or without a copy of the Summary of Rights) will also constitute the transfer of the Rights associated with the shares of Common Stock represented thereby. Notwithstanding this Section 3(c), the omission of a required legend, the inclusion of a legend that makes reference to a stockholder rights plan other than this Plan or the failure to provide notice thereof will not affect the enforceability of any part of this Plan or the rights of any holder of Rights.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Acquisitions of Rights by the Company</w:t>
      </w:r>
      <w:r>
        <w:rPr>
          <w:rFonts w:ascii="Times New Roman" w:hAnsi="Times New Roman"/>
          <w:b w:val="false"/>
          <w:color w:val="000000"/>
          <w:sz w:val="24"/>
        </w:rPr>
        <w:t>. If the Company purchases or acquires any shares of Common Stock after the Record Date but prior to the earlier of the Distribution Date or the Expiration Date, then any Rights associated with such shares of Common Stock will be deemed to be canceled and retired so that the Company will not be entitled to exercise any Rights associated with the shares of Common Stock that are no longer outstanding.</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i/>
          <w:color w:val="000000"/>
          <w:sz w:val="24"/>
        </w:rPr>
        <w:t>Form of Rights Certificates</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Rights Certificates</w:t>
      </w:r>
      <w:r>
        <w:rPr>
          <w:rFonts w:ascii="Times New Roman" w:hAnsi="Times New Roman"/>
          <w:b w:val="false"/>
          <w:color w:val="000000"/>
          <w:sz w:val="24"/>
        </w:rPr>
        <w:t>. The Rights Certificates (and the form of election to purchase and form of assignment, including the certifications 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Plan, or as may be required to comply with any applicable law or with any rule or regulation made pursuant thereto, with any applicable rule or regulation of any applicable stock exchange or trading system on which the Rights may from time to time be listed or quoted or of the Financial Industry Regulatory Authority, or to conform to customary usage. Subject to the provisions of Section 11 and Section 22, the Rights Certificates, whenever distributed, will be dated as of the Record Date (or in the case of Rights issued with respect to shares of Common Stock issued by the Company after the Record Date, as of the date of issuance of such Common Stock) and on their face will entitle the holders thereof to purchase such number of one one-thousandths of a share of Preferred Stock as will be set forth therein at the Exercise Price, but the number and type of securities purchasable upon the exercise of each Right and the Exercise Price will be subject to adjustment as provided in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Certain Legends</w:t>
      </w:r>
      <w:r>
        <w:rPr>
          <w:rFonts w:ascii="Times New Roman" w:hAnsi="Times New Roman"/>
          <w:b w:val="false"/>
          <w:color w:val="000000"/>
          <w:sz w:val="24"/>
        </w:rPr>
        <w:t>. Any Rights Certificate issued pursuant to Section 3(a), Section 11(h) or Section 22 that represents Rights that are Beneficially Owned by an Acquiring Person, an Affiliate or Associate of an Acquiring Person, a Post-Event Transferee, a Pre-Event Transferee, a Subsequent Transferee or any nominee of any of the foregoing, and any Rights Certificate issued pursuant to Section 6 or Section 11 upon transfer, exchange, replacement or adjustment of any other Rights Certificate referred to in this sentence, will contain (to the extent that the Rights Agent has notice thereof and to the extent feasible) substantially the following legend: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Rights represented by this Rights Certificate are or were beneficially owned by a person who was or became an Acquiring Person or an Affiliate or Associate of an Acquiring Person (as such terms are defined in the Plan). Accordingly, this Rights Certificate and the Rights may become null and void in the circumstances specified in Section 7(e) of the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Uncertificated Rights</w:t>
      </w:r>
      <w:r>
        <w:rPr>
          <w:rFonts w:ascii="Times New Roman" w:hAnsi="Times New Roman"/>
          <w:b w:val="false"/>
          <w:color w:val="000000"/>
          <w:sz w:val="24"/>
        </w:rPr>
        <w:t>. Notwithstanding anything to the contrary in this Plan, the Company and the Rights Agent may amend this Plan to provide for uncertificated Rights in addition to or in place of Rights evidenced by Rights Certificates.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i/>
          <w:color w:val="000000"/>
          <w:sz w:val="24"/>
        </w:rPr>
        <w:t>Countersignature and Registration</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Countersignature</w:t>
      </w:r>
      <w:r>
        <w:rPr>
          <w:rFonts w:ascii="Times New Roman" w:hAnsi="Times New Roman"/>
          <w:b w:val="false"/>
          <w:color w:val="000000"/>
          <w:sz w:val="24"/>
        </w:rPr>
        <w:t>. The Rights Certificates will be executed on behalf of the Company by one of its Appropriate Officers, which execution will be attested to by such officers as the Board may designate, in each case by manual, facsimile or other electronic signature, and will have affixed thereto the Company’s seal (if any) or a facsimile or other electronic copy thereof. The Rights Certificates will be countersigned, by manual, facsimile or other electronic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Plan any such person was not such a director or officer. In case any authorized signatory of the Rights Agent who has countersigned any Rights Certificate ceases to be an authorized signatory of the Rights Agent before issuance and delivery by the Company, such Rights Certificate, nevertheless, may be issued and delivered by the Company with the same force and effect as though the person who countersigned such Rights Certificate had not ceased to be an authorized signatory of the Rights Agent. Any Rights Certificate may be countersigned on behalf of the Rights Agent by any person who, at the actual date of the countersignature of such Rights Certificate, is properly authorized to countersign such Rights Certificate, although at the date of the execution of this Plan any such person was not so authorized.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Transfer Books</w:t>
      </w:r>
      <w:r>
        <w:rPr>
          <w:rFonts w:ascii="Times New Roman" w:hAnsi="Times New Roman"/>
          <w:b w:val="false"/>
          <w:color w:val="000000"/>
          <w:sz w:val="24"/>
        </w:rPr>
        <w:t>. Following the Distribution Date and receipt by the Rights Agent of written notice to that effect and all other relevant and necessary information referred to in Section 3(a), the Rights Agent will keep or cause to be kept, at its office designated for such purposes, books for registration and transfer of the Rights Certificates issued under this Plan.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 or exchange of any Rights Certificates (or the underlying Rights) that have become null and void pursuant to Section 7(e), have been redeemed pursuant to Section 23 or have been exchanged pursuant to Section 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i/>
          <w:color w:val="000000"/>
          <w:sz w:val="24"/>
        </w:rPr>
        <w:t>Transfer, Split Up, Combination and Exchange of Rights Certificates; Mutilated, Destroyed, Lost or Stolen Rights Certificates</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Transfer, Split Up, Combination and Exchange of Rights Certificates</w:t>
      </w:r>
      <w:r>
        <w:rPr>
          <w:rFonts w:ascii="Times New Roman" w:hAnsi="Times New Roman"/>
          <w:b w:val="false"/>
          <w:color w:val="000000"/>
          <w:sz w:val="24"/>
        </w:rPr>
        <w:t>. Subject to the provisions of Section 4(b), Section 7(e), Section 14 and Section 24, at any time after the Close of Business on the Distribution Date, and at or prior to the Close of Business on the Expiration Date, any Rights Certificate (other than any Rights Certificate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one-thousandths of a share of Preferred Stock (or, following a Triggering Event, other securities, cash or other assets, as the case may be) as the Rights Certificate surrendered then entitled such holder (or former holder in the case of a transfer) to purchase. Any registered holder desiring to transfer, split up, combine or exchange any Rights Certificate will make such request in writing delivered to the Rights Agent, and will surrender the Rights Certificate, together with any required form of assignment duly executed and properly completed, to be transferred, split up, combined or exchanged at the office of the Rights Agent designated for such purpose, along with a Signature Guarantee. The Rights Certificates are transferable only on the books and records of the Rights Agent. Notwithstanding anything in this Plan to the contrary, neither the Rights Agent nor the Company will be obligated to take any action whatsoever with respect to the transfer of any such surrendered Rights Certificate until the registered holder has properly completed and duly executed the certificate contained in the form of assignment on the reverse side of such Rights Certificate accompanied by a Signature Guarantee and such other documentation as the Rights Agent reasonably requests. Thereupon, subject to Section 4(b), Section 7(e), Section 14 and Section 24, the Rights Agent will countersign (by manual, facsimile or other electronic signature) and deliver to the Person entitled thereto a Rights Certificate as so requested. The Company or the Rights Agent may require payment from the holder of a Rights Certificate of a sum sufficient to cover any tax or governmental charge that may be imposed in connection with any transfer, split up, combination or exchange of any Rights Certificate. If and to the extent that the Company does require payment of any such tax or governmental charge, the Company will provide the Rights Agent prompt written notice thereof and the Rights Agent will not deliver any Rights Certificate unless and until the Rights Agent is satisfied that all such payments have been made, and the Rights Agent will forward any such sum collected by it to the Company or to such Person as the Company specifies by written notice. The Rights Agent will not have any duty or obligation to take any action pursuant to any Section of this Plan related to the issuance or delivery of Rights Certificates unless and until it is satisfied that all such taxes or charges have been paid.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Mutilated, Destroyed, Lost or Stolen Rights Certificates</w:t>
      </w:r>
      <w:r>
        <w:rPr>
          <w:rFonts w:ascii="Times New Roman" w:hAnsi="Times New Roman"/>
          <w:b w:val="false"/>
          <w:color w:val="000000"/>
          <w:sz w:val="24"/>
        </w:rPr>
        <w:t>. Subject to the provisions of Section 7(e), Section 11(a)(ii) and Section 24, at any time after the Distribution Date and prior to the Expiration Date, upon receipt by the Company and the Rights Agent of evidence reasonably satisfactory to each of the Company and the Rights Agent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each of the Company and the Rights Agent, and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 contractual obligation of the Company, whether or not the lost, stolen, destroyed or mutilated Rights Certificate will be at any time enforceable by anyone, and, subject to Section 7(e), will be entitled to all the benefits of this Plan equally and proportionately with any and all other Rights duly issued under this Plan.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i/>
          <w:color w:val="000000"/>
          <w:sz w:val="24"/>
        </w:rPr>
        <w:t>Exercise of Rights; Exercise Price; Prohibited Issuances</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Exercise of Rights</w:t>
      </w:r>
      <w:r>
        <w:rPr>
          <w:rFonts w:ascii="Times New Roman" w:hAnsi="Times New Roman"/>
          <w:b w:val="false"/>
          <w:color w:val="000000"/>
          <w:sz w:val="24"/>
        </w:rPr>
        <w:t>. Subject to Section 7(e), Section 23(b) and Section 24(a), the registered holder of any Rights Certificate may exercise the Rights evidenced thereby (except as otherwise provided in this Plan)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of the Rights Agent designated for such purpose, accompanied by a Signature Guarantee and such other documentation as the Rights Agent reasonably requests, together with payment of the Exercise Price for each one one-thousandth of a share of Preferred Stock (or, following a Triggering Event, other securities, cash or other assets, as the case may be) as to which the Rights are exercised.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Exercise Price</w:t>
      </w:r>
      <w:r>
        <w:rPr>
          <w:rFonts w:ascii="Times New Roman" w:hAnsi="Times New Roman"/>
          <w:b w:val="false"/>
          <w:color w:val="000000"/>
          <w:sz w:val="24"/>
        </w:rPr>
        <w:t>. The Exercise Price is payable in accordance with Section 7(c).</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Payment</w:t>
      </w:r>
      <w:r>
        <w:rPr>
          <w:rFonts w:ascii="Times New Roman" w:hAnsi="Times New Roman"/>
          <w:b w:val="false"/>
          <w:color w:val="000000"/>
          <w:sz w:val="24"/>
        </w:rPr>
        <w:t>. Except as otherwise provided in this Plan, upon receipt of a Rights Certificate representing exercisable Rights, with the form of election to purchase and certificate properly completed and duly executed, accompanied by payment of the aggregate Exercise Price for the total number of one one-thousandths of a share of Preferred Stock (or, following a Triggering Event, other securities, cash or other assets, as the case may be) to be purchased and an amount equal to any applicable transfer tax or governmental charge required to be paid by the holder of such Rights Certificate in accordance with Section 9(e), the Rights Agent will, subject to Section 7(f) and Section 20(m), thereupon promptly (i) (A) requisition from any transfer agent of the Preferred Stock (or make available, if the Rights Agent is the transfer agent for the Preferred Stock) a certificate for the total number of one one-thousandths of a share of Preferred Stock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irrevocably authorizes its transfer agent to comply with all such requests; or (B) if the Company has elected to deposit the total number of one one-thousandths of a share of Preferred Stock (or, following a Triggering Event, other securities, cash or other assets, as the case may be) issuable upon exercise of the Rights with a depositary agent, requisition from such depositary agent depositary receipts representing interests in such number of one one-thousandths of a share of Preferred Stock (or, following a Triggering Event, other securities, cash or other assets, as the case may be) as are to be purchased (in which case certificates representing shares of the Preferred Stock (or, following a Triggering Event, other securities, cash or other assets, as the case may be) represented by such receipts will be deposited by the transfer agent with such depositary agent) and the Company irrevocably directs such depositary agent to comply with such request; (ii) when necessary to comply with the terms of this Plan, requisition from the Company the amount of cash, if any, to be paid in lieu of the 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 (iv) when necessary to comply with the terms of this Plan,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If the Company is obligated to issue securities of the Company other than Preferred Stock, pay cash or distribute other property pursuant to Section 11(a), then the Company will make all arrangements necessary so that such other securities, cash or other property are available for distribution by the Rights Agent, if and when necessary to comply with the terms of this Plan. Notwithstanding anything to the contrary in this Plan, the Company reserves the right to require that prior to the occurrence of a Triggering Event, upon any exercise of Rights, a number of Rights be exercised so that only whole shares of Preferred Stock would be issued.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Partial Exercise</w:t>
      </w:r>
      <w:r>
        <w:rPr>
          <w:rFonts w:ascii="Times New Roman" w:hAnsi="Times New Roman"/>
          <w:b w:val="false"/>
          <w:color w:val="000000"/>
          <w:sz w:val="24"/>
        </w:rPr>
        <w:t>. If the registered holder of any Rights Certificate exercises less than all the Rights evidenced thereby, then a new Rights 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i/>
          <w:color w:val="000000"/>
          <w:sz w:val="24"/>
        </w:rPr>
        <w:t>Prohibited Issuances</w:t>
      </w:r>
      <w:r>
        <w:rPr>
          <w:rFonts w:ascii="Times New Roman" w:hAnsi="Times New Roman"/>
          <w:b w:val="false"/>
          <w:color w:val="000000"/>
          <w:sz w:val="24"/>
        </w:rPr>
        <w:t>. Notwithstanding anything to the contrary in this Plan, from and after the first occurrence of a Triggering Event, any Rights that are or were acquired or Beneficially Owned by (i) an Acquiring Person or an Affiliate or Associate of an Acquiring Person, (ii) a transferee of an Acquiring Person (or an Affiliate or Associate of an Acquiring Person) who becomes a transferee after the Acquiring Person becomes such (a “</w:t>
      </w:r>
      <w:r>
        <w:rPr>
          <w:rFonts w:ascii="Times New Roman" w:hAnsi="Times New Roman"/>
          <w:color w:val="000000"/>
          <w:sz w:val="24"/>
        </w:rPr>
        <w:t>Post-Event Transferee</w:t>
      </w:r>
      <w:r>
        <w:rPr>
          <w:rFonts w:ascii="Times New Roman" w:hAnsi="Times New Roman"/>
          <w:color w:val="000000"/>
          <w:sz w:val="20"/>
        </w:rPr>
        <w:t>”</w:t>
      </w:r>
      <w:r>
        <w:rPr>
          <w:rFonts w:ascii="Times New Roman" w:hAnsi="Times New Roman"/>
          <w:b w:val="false"/>
          <w:color w:val="000000"/>
          <w:sz w:val="24"/>
        </w:rPr>
        <w:t>), (iii) a transferee of an Acquiring Person (or an Affiliate or Associate of an Acquiring Person) who becomes a transferee prior to or concurrently with the Acquiring Person becoming such and receives such Rights pursuant to either (A) a transfer (whether or not for consideration) from the Acquiring Person (or an Affiliate or Associate of the Acquiring Person) to holders of equity interests in such Acquiring Person (or an Affiliate or Associate of such Acquiring Person) or to any Person with whom the Acquiring Person (or an Affiliate or Associate of the Acquiring Person) has any continuing agreement, arrangement or understanding whether or not in writing regarding the transferred Rights or (B) a transfer that the Board has determined is part of a plan, arrangement or understanding that has as a primary purpose or effect of avoiding this Section 7(e) (a “</w:t>
      </w:r>
      <w:r>
        <w:rPr>
          <w:rFonts w:ascii="Times New Roman" w:hAnsi="Times New Roman"/>
          <w:color w:val="000000"/>
          <w:sz w:val="24"/>
        </w:rPr>
        <w:t>Pre-Event Transferee</w:t>
      </w:r>
      <w:r>
        <w:rPr>
          <w:rFonts w:ascii="Times New Roman" w:hAnsi="Times New Roman"/>
          <w:color w:val="000000"/>
          <w:sz w:val="20"/>
        </w:rPr>
        <w:t>”</w:t>
      </w:r>
      <w:r>
        <w:rPr>
          <w:rFonts w:ascii="Times New Roman" w:hAnsi="Times New Roman"/>
          <w:b w:val="false"/>
          <w:color w:val="000000"/>
          <w:sz w:val="24"/>
        </w:rPr>
        <w:t>), (iv) any subsequent transferee receiving transferred Rights from a Post-Event Transferee or a Pre-Event Transferee, either directly or through one or more intermediate transferees (a “</w:t>
      </w:r>
      <w:r>
        <w:rPr>
          <w:rFonts w:ascii="Times New Roman" w:hAnsi="Times New Roman"/>
          <w:color w:val="000000"/>
          <w:sz w:val="24"/>
        </w:rPr>
        <w:t>Subsequent Transferee</w:t>
      </w:r>
      <w:r>
        <w:rPr>
          <w:rFonts w:ascii="Times New Roman" w:hAnsi="Times New Roman"/>
          <w:color w:val="000000"/>
          <w:sz w:val="20"/>
        </w:rPr>
        <w:t>”</w:t>
      </w:r>
      <w:r>
        <w:rPr>
          <w:rFonts w:ascii="Times New Roman" w:hAnsi="Times New Roman"/>
          <w:b w:val="false"/>
          <w:color w:val="000000"/>
          <w:sz w:val="24"/>
        </w:rPr>
        <w:t>), or (v) 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Plan or otherwise. From and after the first occurrence of a Triggering Event, no Rights Certificate will be issued pursuant to this Plan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Stock otherwise deemed to be Beneficially Owned by any of the foregoing, and any Rights Certificate delivered to the Rights Agent that represents Rights that are or have become null and void pursuant to this Section 7(e) will be canceled.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Plan and will be deemed not to have any knowledge of the identity of any such Person unless and until it has received such notice.</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i/>
          <w:color w:val="000000"/>
          <w:sz w:val="24"/>
        </w:rPr>
        <w:t>Information Concerning Ownership</w:t>
      </w:r>
      <w:r>
        <w:rPr>
          <w:rFonts w:ascii="Times New Roman" w:hAnsi="Times New Roman"/>
          <w:b w:val="false"/>
          <w:color w:val="000000"/>
          <w:sz w:val="24"/>
        </w:rPr>
        <w:t>. Notwithstanding anything to the contrary in this Plan or any Rights Certificate, neither the Rights 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 (i) 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Owner (or former Beneficial Owner) thereof and of the Rights evidenced thereby, and the Affiliates or Associates of such Beneficial Owner or former Beneficial Owner) as the Company or the Rights Agent may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i/>
          <w:color w:val="000000"/>
          <w:sz w:val="24"/>
        </w:rPr>
        <w:t>Cancellation and Destruction of Rights Certificates</w:t>
      </w:r>
      <w:r>
        <w:rPr>
          <w:rFonts w:ascii="Times New Roman" w:hAnsi="Times New Roman"/>
          <w:color w:val="000000"/>
          <w:sz w:val="24"/>
        </w:rPr>
        <w:t>. All Rights Certificates surrendered for the purpose of exercise, transfer, split up, combination, redemption or exchange will, if surrendered to the Company or to any of its agents, be delivered to the Rights Agent for cancellation or in canceled form, or, if surrendered to the Rights Agent, will be canceled by it, and no Rights Certificates will be issued in lieu thereof except as expressly permitted by any of the provisions of this Plan. The Company will deliver to the Rights Agent for cancellation and retirement, and, at the expense of the Company,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canceled or destroyed by the Rights Agent.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i/>
          <w:color w:val="000000"/>
          <w:sz w:val="24"/>
        </w:rPr>
        <w:t>Reservation and Availability of Shares of Capital Stock</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Reservation</w:t>
      </w:r>
      <w:r>
        <w:rPr>
          <w:rFonts w:ascii="Times New Roman" w:hAnsi="Times New Roman"/>
          <w:b w:val="false"/>
          <w:color w:val="000000"/>
          <w:sz w:val="24"/>
        </w:rPr>
        <w:t>. The Company covenants and agrees that it will use all reasonable efforts to cause to be reserved and kept available out of its authorized and unissued Preferred Stock not reserved for another purpose (and, following the occurrence of a Triggering Event, out of its authorized and unissued Common Stock or other securities, or out of its authorized and issued shares held in treasury), the number of shares of Preferred Stock (and, following the occurrence of a Triggering Event, shares of Common Stock or other securities) that will be sufficient to permit the exercise in full of all outstanding Rights.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Listing</w:t>
      </w:r>
      <w:r>
        <w:rPr>
          <w:rFonts w:ascii="Times New Roman" w:hAnsi="Times New Roman"/>
          <w:b w:val="false"/>
          <w:color w:val="000000"/>
          <w:sz w:val="24"/>
        </w:rPr>
        <w:t>. So long as the Preferred Stock (and, following the occurrence of a Triggering Event, Common Stock or other securities) issuable 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Registration</w:t>
      </w:r>
      <w:r>
        <w:rPr>
          <w:rFonts w:ascii="Times New Roman" w:hAnsi="Times New Roman"/>
          <w:b w:val="false"/>
          <w:color w:val="000000"/>
          <w:sz w:val="24"/>
        </w:rPr>
        <w:t>. The Company must use all reasonable efforts to (i) file, as soon as practicable following the earliest date after the first occurrence of a Section 11(a)(ii) Event in which the consideration to be delivered by the Company upon exercise of the Rights is described in Section 11(a)(ii) 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 suspend (with prompt written notice of any suspension provided to the Rights Agent), from time to time for a period not to exceed 180 days after the date set forth in clause (i) 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 no longer in effect. In addition, if the Company determines that a registration statement is required following the Distribution Date, then the Company may temporarily suspend the exercisability of the Rights until such time as such registration statement has been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declared effective. The Company will also take such action as may be appropriate under, or to ensure compliance with, the securities or “blue sky” laws of the various states in connection with the exercisability of the Rights, as well as any other applicable law, rule or regulation. Notwithstanding anything to the contrary in this Plan, the Rights will not be exercisable in any jurisdiction unless the requisite qualification in such jurisdiction has been obtained (and the exercise thereof is permitted pursuant to applicable law, rule or regulation), or an exemption therefrom is available, and until a registration statement in respect thereof has been declared and remains effective.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Valid Issuance</w:t>
      </w:r>
      <w:r>
        <w:rPr>
          <w:rFonts w:ascii="Times New Roman" w:hAnsi="Times New Roman"/>
          <w:b w:val="false"/>
          <w:color w:val="000000"/>
          <w:sz w:val="24"/>
        </w:rPr>
        <w:t>. The Company covenants and agrees that it will take all such action as may be necessary to ensure that all Preferred Stock (and, following the occurrence of a Triggering Event, Common Stock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i/>
          <w:color w:val="000000"/>
          <w:sz w:val="24"/>
        </w:rPr>
        <w:t>Transfer Taxes and Governmental Charges</w:t>
      </w:r>
      <w:r>
        <w:rPr>
          <w:rFonts w:ascii="Times New Roman" w:hAnsi="Times New Roman"/>
          <w:b w:val="false"/>
          <w:color w:val="000000"/>
          <w:sz w:val="24"/>
        </w:rPr>
        <w:t>. The Company further covenants and agrees that it will pay when due and payable any and all transfer taxes and governmental charges that may be payable in respect of the original issuance or delivery of Rights Certificates (or any Preferred Stock, Common Stock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Stock, Common Stock or other securities of the Company, as the case may be) in a name other than, or the issuance or delivery of certificates or depositary receipts for Preferred Stock, Common Stock or other securities of the Company, as the case may be, in a name other than, that of the registered holder of the Rights Certificate evidencing Rights surrendered for exercise or exchange; or (ii) issue or deliver any certificates or depositary receipts for Preferred Stock, Common Stock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and the Rights Agent’s satisfaction that no such tax or charge is due. The foregoing will also apply to any transfer taxes and governmental charges that may be payable in respect of any uncertificated Rights Certificates, shares or other securities.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i/>
          <w:color w:val="000000"/>
          <w:sz w:val="24"/>
        </w:rPr>
        <w:t>Record Date for Securities Issued</w:t>
      </w:r>
      <w:r>
        <w:rPr>
          <w:rFonts w:ascii="Times New Roman" w:hAnsi="Times New Roman"/>
          <w:color w:val="000000"/>
          <w:sz w:val="24"/>
        </w:rPr>
        <w:t>. Each Person in whose name any certificate for a number of one one-thousandths of a share of Preferred Stock (or any other security of the Company, including Common Stock) is issued (or registration on the transfer books of the Company or the applicable transfer agent is effected) upon the exercise or exchange of Rights will for all purposes be deemed to have become the holder of record of such fractional shares of Preferred Stock (or other security of the Company) represented thereby on, and such certificate will be dated (or registration on the transfer books of the Company or the applicable transfer 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However, if the date of such surrender and payment is a date upon which the transfer books of the Company (or the applicable transfer agent) are closed, then such Person will be deemed to have become the record holder of such fractional shares of Preferred Stock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Stock (or any other security of the Company) for which the Rights are exercisable, including the right to vote, to receive dividends or other distributions, or to exercise any preemptive rights, and is not entitled to receive any notice of any proceedings of the Company, except as provided in this Plan.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i/>
          <w:color w:val="000000"/>
          <w:sz w:val="24"/>
        </w:rPr>
        <w:t>Adjustment of Exercise Price, Number and Kind of Shares or Number of Rights</w:t>
      </w:r>
      <w:r>
        <w:rPr>
          <w:rFonts w:ascii="Times New Roman" w:hAnsi="Times New Roman"/>
          <w:color w:val="000000"/>
          <w:sz w:val="24"/>
        </w:rPr>
        <w:t>. The Exercise Price, the number and kind of shares or other property covered by each Right and the number of Rights outstanding are subject to adjustment from time to time as provided in this Section 11.</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Certain Events</w:t>
      </w:r>
      <w:r>
        <w:rPr>
          <w:rFonts w:ascii="Times New Roman" w:hAnsi="Times New Roman"/>
          <w:b w:val="false"/>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Certain Adjustments to Preferred Stock</w:t>
      </w:r>
      <w:r>
        <w:rPr>
          <w:rFonts w:ascii="Times New Roman" w:hAnsi="Times New Roman"/>
          <w:color w:val="000000"/>
          <w:sz w:val="24"/>
        </w:rPr>
        <w:t>. Notwithstanding anything to the contrary in this Plan, if the Company at any time after the Rights Dividend Declaration Date (A) declares a dividend on the Preferred Stock payable in Preferred Stock, (B) subdivides or splits the outstanding Preferred Stock, (C) combines or consolidates the outstanding Preferred Stock (by reverse stock split or otherwise) into a smaller number of shares of Preferred Stock or (D) issues any shares of its capital stock in a reclassification of the Preferred Stock (including any such reclassification in connection with a share exchange, consolidation or merger in which the Company is the continuing or surviving corporation), then, in each such event, except as otherwise provided in this Section 11(a)(i) and Section 7(e), the Exercise Price in effect at the time of the record date for such dividend or of the effective date of such subdivision, split, combination, consolidation or reclassification, and the number and kind of Preferred Stock or capital stock of the Company, as the case may be, issuable on such date, will be proportionately adjusted so that the holder of any Right exercised after such time will be entitled to receive, upon payment of the Exercise Price then in effect, the aggregate number and kind of Preferred Stock or securities of the Company, as the case may be, that, if such Right had been exercised immediately prior to such date (and at a time when the Preferred Stock transfer books of the Company were open), such holder would have owned upon such exercise and been entitled to receive by virtue of such dividend, subdivision, split, combination, consolidation or reclassification, it being understood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Exercise of Rights Following Certain Events</w:t>
      </w:r>
      <w:r>
        <w:rPr>
          <w:rFonts w:ascii="Times New Roman" w:hAnsi="Times New Roman"/>
          <w:color w:val="000000"/>
          <w:sz w:val="24"/>
        </w:rPr>
        <w:t>. Subject to Section 23 and Section 24, in the event that any Person, at any time after the Rights Dividend Declaration Date, becomes an Acquiring Person (the first occurrence of such event being referred to as the “</w:t>
      </w:r>
      <w:r>
        <w:rPr>
          <w:rFonts w:ascii="Times New Roman" w:hAnsi="Times New Roman"/>
          <w:b/>
          <w:color w:val="000000"/>
          <w:sz w:val="24"/>
        </w:rPr>
        <w:t>Section 11(a)(ii) Event</w:t>
      </w:r>
      <w:r>
        <w:rPr>
          <w:rFonts w:ascii="Times New Roman" w:hAnsi="Times New Roman"/>
          <w:color w:val="000000"/>
          <w:sz w:val="20"/>
        </w:rPr>
        <w:t>”</w:t>
      </w:r>
      <w:r>
        <w:rPr>
          <w:rFonts w:ascii="Times New Roman" w:hAnsi="Times New Roman"/>
          <w:color w:val="000000"/>
          <w:sz w:val="24"/>
        </w:rPr>
        <w:t>), unless the event causing such Person to become an Acquiring Person is a transaction set forth in Section 13(a), then promptly following the occurrence of such event each holder of a Right, except as provided below and in Section 7(e), will thereafter have the right to receive for each Right, upon exercise thereof in accordance with the terms of this Plan and payment of the Exercise Price in effect immediately prior to the occurrence of such event, in lieu of a number of one one-thousandths of a share of Preferred Stock, such number of shares of Common Stock as equals the quotient obtained by dividing (A) the product obtained by multiplying (1) the Exercise Price in effect immediately prior to the first occurrence of such event by (2) the number of one one-thousandths of a share of Preferred Stock for which a Right was exercisable (or would have been exercisable if the Distribution Date had occurred) immediately prior to the first occurrence of such event by (B) 50 percent of the Current Per Share Market Price for Common Stock on the date of such first occurrence of such event (such number of shares, the “</w:t>
      </w:r>
      <w:r>
        <w:rPr>
          <w:rFonts w:ascii="Times New Roman" w:hAnsi="Times New Roman"/>
          <w:b/>
          <w:color w:val="000000"/>
          <w:sz w:val="24"/>
        </w:rPr>
        <w:t>Adjustment Shares</w:t>
      </w:r>
      <w:r>
        <w:rPr>
          <w:rFonts w:ascii="Times New Roman" w:hAnsi="Times New Roman"/>
          <w:color w:val="000000"/>
          <w:sz w:val="20"/>
        </w:rPr>
        <w:t>”</w:t>
      </w:r>
      <w:r>
        <w:rPr>
          <w:rFonts w:ascii="Times New Roman" w:hAnsi="Times New Roman"/>
          <w:color w:val="000000"/>
          <w:sz w:val="24"/>
        </w:rPr>
        <w:t>). Notwithstanding the foregoing, the Exercise Price and the number of shares of Common Stock so receivable upon the exercise of a Right will be subject to further adjustment as appropriate in accordance with Section 11(e). If a Section 11(a)(ii) Event has occurred and the Rights are outstanding, then, subject to Section 28, the Company may not take any action that would eliminate or diminish the benefits intended to be afforded by the Rights. The Company will promptly notify the Rights Agent in writing when this Section 11(a)(ii) applies and of the identity of any such Acquiring Person, Affiliate or Associate of such Acquiring Person, Post-Event Transferee, Pre-Event Transferee, Subsequent Transferee or any nominee of any of the foregoing. The Rights Agent may rely on such notice in carrying out its duties under this Plan and will not be deemed to have any knowledge of the identity of any such Acquiring Person, Affiliate or Associate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such Acquiring Person, Post-Event Transferee, Pre-Event Transferee, Subsequent Transferee or any nominee of any of the foregoing unless and until it receives such notice.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(iii) </w:t>
      </w:r>
      <w:r>
        <w:rPr>
          <w:rFonts w:ascii="Times New Roman" w:hAnsi="Times New Roman"/>
          <w:i/>
          <w:color w:val="000000"/>
          <w:sz w:val="24"/>
        </w:rPr>
        <w:t>Insufficient Shares of Common Stock</w:t>
      </w:r>
      <w:r>
        <w:rPr>
          <w:rFonts w:ascii="Times New Roman" w:hAnsi="Times New Roman"/>
          <w:color w:val="000000"/>
          <w:sz w:val="24"/>
        </w:rPr>
        <w:t>. If the number of shares of Common Stock that are authorized by the Company’s Amended and Restated Certificate of Incorporation, as amended,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w:t>
      </w:r>
      <w:r>
        <w:rPr>
          <w:rFonts w:ascii="Times New Roman" w:hAnsi="Times New Roman"/>
          <w:b/>
          <w:color w:val="000000"/>
          <w:sz w:val="24"/>
        </w:rPr>
        <w:t>Current Value</w:t>
      </w:r>
      <w:r>
        <w:rPr>
          <w:rFonts w:ascii="Times New Roman" w:hAnsi="Times New Roman"/>
          <w:color w:val="000000"/>
          <w:sz w:val="20"/>
        </w:rPr>
        <w:t>”</w:t>
      </w:r>
      <w:r>
        <w:rPr>
          <w:rFonts w:ascii="Times New Roman" w:hAnsi="Times New Roman"/>
          <w:color w:val="000000"/>
          <w:sz w:val="24"/>
        </w:rPr>
        <w:t>)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Stock, (4) other equity securities of the Company (including shares or units of shares of any series of preferred stock that, by virtue of having dividend, voting and liquidation rights substantially comparable to those of the Common Stock, the Board has deemed in good faith to have substantially the same value or economic rights as the Common Stock (such shares or units of shares of preferred stock, “</w:t>
      </w:r>
      <w:r>
        <w:rPr>
          <w:rFonts w:ascii="Times New Roman" w:hAnsi="Times New Roman"/>
          <w:b/>
          <w:color w:val="000000"/>
          <w:sz w:val="24"/>
        </w:rPr>
        <w:t>Common Stock Equivalents</w:t>
      </w:r>
      <w:r>
        <w:rPr>
          <w:rFonts w:ascii="Times New Roman" w:hAnsi="Times New Roman"/>
          <w:color w:val="000000"/>
          <w:sz w:val="20"/>
        </w:rPr>
        <w:t>”</w:t>
      </w:r>
      <w:r>
        <w:rPr>
          <w:rFonts w:ascii="Times New Roman" w:hAnsi="Times New Roman"/>
          <w:color w:val="000000"/>
          <w:sz w:val="24"/>
        </w:rPr>
        <w:t>)), (5) debt securities of the Company, (6) other assets or (7) any combination of the foregoing, in each case having an aggregate value equal to the Current Value (less the amount of any reduction in the Exercise Price), where such aggregate value has been determined by the Board based upon the advice of a nationally recognized investment banking firm selected by the Board, which determination will be described in a written statement filed with the Rights Agent and will be binding on the Rights Agent and the holders of the Rights.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 “</w:t>
      </w:r>
      <w:r>
        <w:rPr>
          <w:rFonts w:ascii="Times New Roman" w:hAnsi="Times New Roman"/>
          <w:b/>
          <w:color w:val="000000"/>
          <w:sz w:val="24"/>
        </w:rPr>
        <w:t>Section 11(a)(ii) Trigger Date</w:t>
      </w:r>
      <w:r>
        <w:rPr>
          <w:rFonts w:ascii="Times New Roman" w:hAnsi="Times New Roman"/>
          <w:color w:val="000000"/>
          <w:sz w:val="20"/>
        </w:rPr>
        <w:t>”</w:t>
      </w:r>
      <w:r>
        <w:rPr>
          <w:rFonts w:ascii="Times New Roman" w:hAnsi="Times New Roman"/>
          <w:color w:val="000000"/>
          <w:sz w:val="24"/>
        </w:rPr>
        <w:t>), then the Company will be obligated to deliver, upon the surrender for exercise of a Right and without requiring payment of the Exercise Price, Common Stock (to the extent available and except to the extent that the Company has not obtained any necessary stockholder or regulatory approval for such issuance) and such number or fractions of Preferred Stock and then, if necessary, cash, which shares or cash have an aggregate value equal to the Spread. If the Board determines in good faith that it is likely that sufficient additional shares of Common Stock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180 days after the Section 11(a)(ii) Trigger Date, so that the Company may seek stockholder approval for the authorization of such additional shares of Common Stock or take such action necessary to obtain such regulatory approval (such period, as it may be extended, the “</w:t>
      </w:r>
      <w:r>
        <w:rPr>
          <w:rFonts w:ascii="Times New Roman" w:hAnsi="Times New Roman"/>
          <w:b/>
          <w:color w:val="000000"/>
          <w:sz w:val="24"/>
        </w:rPr>
        <w:t>Substitution Period</w:t>
      </w:r>
      <w:r>
        <w:rPr>
          <w:rFonts w:ascii="Times New Roman" w:hAnsi="Times New Roman"/>
          <w:color w:val="000000"/>
          <w:sz w:val="20"/>
        </w:rPr>
        <w:t>”</w:t>
      </w:r>
      <w:r>
        <w:rPr>
          <w:rFonts w:ascii="Times New Roman" w:hAnsi="Times New Roman"/>
          <w:color w:val="000000"/>
          <w:sz w:val="24"/>
        </w:rPr>
        <w:t>). To the extent that the Company determines that some action need be taken pursuant to the first or second sentences of this Section 11(a)(iii), the Company (a) will provide, subject to Section 7(e), that such action applies uniformly to all outstanding Rights and (b) 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has been temporarily suspended, as well as issue a public announcement (and promptly provide written notice to the Rights Agent) at such time as the suspension is no longer in effect. For purposes of this Section 11(a)(iii), the per share value of the Common Stock will be the Current Per Share Market Price of the Common Stock on the Section 11(a)(ii) Trigger Date and any Common Stock Equivalent will be deemed to have the same value as the value of the Common Stock on such date. The Board may, but will not be required to, establish procedures to allocate the right to receive Common Stock upon the exercise of the Rights among holders of Rights pursuant to this Section 11(a)(iii).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Dilutive Rights Offering</w:t>
      </w:r>
      <w:r>
        <w:rPr>
          <w:rFonts w:ascii="Times New Roman" w:hAnsi="Times New Roman"/>
          <w:b w:val="false"/>
          <w:color w:val="000000"/>
          <w:sz w:val="24"/>
        </w:rPr>
        <w:t>. If the Company, at any time after the Rights Dividend Declaration Date, fixes a record date for the issuance of rights, options or warrants to all holders of shares of Preferred Stock entitling such holders (for a period expiring within 45 days after such record date) to subscribe for or purchase shares of Preferred Stock or Equivalent Preferred Stock, or securities convertible into Preferred Stock or Equivalent Preferred Stock, at a price per share (or having a conversion or exercise price per share, if a security that is convertible into or exercisable for Preferred Stock or Equivalent Preferred Stock) less than the Current Per Share Market Price of the Preferred Stock on such record date, then, in each such case, the Exercise Price to be in effect after such record date will be determined by multiplying the Exercise Price in effect immediately prior to such record date by a fraction, the numerator of which will be the number of shares of Preferred Stock and Equivalent Preferred Stock (if any) outstanding on such record date, plus the number of shares of Preferred Stock or Equivalent Preferred Stock, as the case may be, that the aggregate offering price of the total number of shares of Preferred Stock or Equivalent Preferred Stock, as the case may be, to be offered or issued (or the aggregate initial conversion price of the convertible securities to be offered or issued) would purchase at such Current Per Share Market Price, and the denominator of which will be the number of shares of Preferred Stock and Equivalent Preferred Stock (if any) outstanding on such record date, plus the number of additional shares of Preferred Stock or Equivalent Preferred Stock, as the case may be, to be offered for subscription or purchase (or into which the convertible securities so to be offered are initially convertible), it being understood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statement filed with the Rights Agent and will be binding on the Rights Agent and the holders of the Rights. Shares of Preferred Stock and Equivalent Preferred Stock owned by or held for the account of the Company will not be deemed outstanding for the purpose of any such computation. Such adjustment will be made successively whenever such a record date is fixed, and if such rights, options or warrants are not so issued, then the Exercise Price will be adjusted to be the Exercise Price that would then be in effect if such record date had not been fixed.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Distributions</w:t>
      </w:r>
      <w:r>
        <w:rPr>
          <w:rFonts w:ascii="Times New Roman" w:hAnsi="Times New Roman"/>
          <w:b w:val="false"/>
          <w:color w:val="000000"/>
          <w:sz w:val="24"/>
        </w:rPr>
        <w:t>. If the Company, at any time after the Rights Dividend Declaration Date, fixes a record date for the making of a distribution to all holders of shares of Preferred Stock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shares of Preferred Stock, but including any dividend payable in stock other than Preferred Stock), evidences of indebtedness, subscription rights, options or warrants (excluding those referred to in Section 11(b)), then, in each such case, the Exercise Price to be in effect after such record date will be determined by multiplying the Exercise Price in effect immediately prior to such record date by a fraction, the numerator of which will be the Current Per Share Market Price of a share of Preferred Stock on such record date, less the fair market value per share of Preferred Stock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share of Preferred Stock, and the denominator of which will be the Current Per Share Market Price of a share of Preferred Stock on such record date, it being understood that in no event will the consideration to be paid upon the exercise of one Right be less than the aggregate par value of the shares of capital stock of the Company issuable upon the exercise of one Right. Such adjustment will be made successively whenever such a record date is fixed, and if such distribution is not so made, then the Exercise Price will be adjusted to be the Exercise Price that would have been in effect if such record date had not been fixed.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Insignificant Changes</w:t>
      </w:r>
      <w:r>
        <w:rPr>
          <w:rFonts w:ascii="Times New Roman" w:hAnsi="Times New Roman"/>
          <w:b w:val="false"/>
          <w:color w:val="000000"/>
          <w:sz w:val="24"/>
        </w:rPr>
        <w:t>. Notwithstanding anything to the contrary in this Plan, no adjustment in the Exercise Price is required unless such adjustment would require an increase or decrease of at least one percent of the Exercise Price, except that any adjustments that by reason of this Section 11(d) are not required to be made will be carried forward and taken into account in any subsequent adjustment. All calculations pursuant to this Section 11 must be made to the nearest cent or to the nearest ten-millionth of a share of Preferred Stock or ten-thousandth of any other share or security, as the case may be. Notwithstanding the first sentence of this Section 11(d), any adjustment required by this Section 11 must be made no later than the earlier of (i) three years from the date of the transaction that requires such adjustment or (ii) the Expiration Date.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i/>
          <w:color w:val="000000"/>
          <w:sz w:val="24"/>
        </w:rPr>
        <w:t>Stock Other Than Preferred Stock</w:t>
      </w:r>
      <w:r>
        <w:rPr>
          <w:rFonts w:ascii="Times New Roman" w:hAnsi="Times New Roman"/>
          <w:b w:val="false"/>
          <w:color w:val="000000"/>
          <w:sz w:val="24"/>
        </w:rPr>
        <w:t>. If as a result of an adjustment made pursuant to Section 11(a) or Section 13(a), the holder of any Right thereafter exercised will become entitled to receive any shares of capital stock other than Preferred Stock,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Stock contained in Section 11(a), Section 11(b), Section 11(c), Section 11(d), Section 11(g), Section 11(h), Section 11(i), Section 11(j), Section 11(k) and Section 11(l), and the provisions of Section 7, Section 9, Section 10 and Section 13 with respect to the Preferred Stock will apply on like terms to any such other shares.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i/>
          <w:color w:val="000000"/>
          <w:sz w:val="24"/>
        </w:rPr>
        <w:t>Rights Issued Subsequent to Adjustment</w:t>
      </w:r>
      <w:r>
        <w:rPr>
          <w:rFonts w:ascii="Times New Roman" w:hAnsi="Times New Roman"/>
          <w:b w:val="false"/>
          <w:color w:val="000000"/>
          <w:sz w:val="24"/>
        </w:rPr>
        <w:t>. All Rights originally issued by the Company subsequent to any adjustment made to the Exercise Price will evidence the right to purchase, at the adjusted Exercise Price, the number of one one-thousandths of a share of Preferred Stock (and other shares of other capital stock or other securities, assets or cash of the Company, if any) purchasable from time to time upon exercise of the Rights, all subject to further adjustment as provided in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i/>
          <w:color w:val="000000"/>
          <w:sz w:val="24"/>
        </w:rPr>
        <w:t>Effect of Adjustments on Existing Rights</w:t>
      </w:r>
      <w:r>
        <w:rPr>
          <w:rFonts w:ascii="Times New Roman" w:hAnsi="Times New Roman"/>
          <w:b w:val="false"/>
          <w:color w:val="000000"/>
          <w:sz w:val="24"/>
        </w:rPr>
        <w:t>. Unless the Company has exercised its election as provided in Section 11(h), upon each adjustment of the Exercise Price as a result of the calculations made in Section 11(b) and Section 11(c), each Right outstanding immediately prior to the making of such adjustment will thereafter evidence the right to purchase, at the adjusted Exercise Price, that number of shares of Preferred Stock (calculated to the nearest ten-millionth of a share of Preferred Stock) obtained by (i) multiplying (A) the number of one one-thousandths of a share of Preferred Stock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(h) </w:t>
      </w:r>
      <w:r>
        <w:rPr>
          <w:rFonts w:ascii="Times New Roman" w:hAnsi="Times New Roman"/>
          <w:b w:val="false"/>
          <w:i/>
          <w:color w:val="000000"/>
          <w:sz w:val="24"/>
        </w:rPr>
        <w:t>Adjustment in Number of Rights</w:t>
      </w:r>
      <w:r>
        <w:rPr>
          <w:rFonts w:ascii="Times New Roman" w:hAnsi="Times New Roman"/>
          <w:b w:val="false"/>
          <w:color w:val="000000"/>
          <w:sz w:val="24"/>
        </w:rPr>
        <w:t>. The Company may elect, on or after the date of any adjustment of the Exercise Price, to adjust the number of Rights in substitution for any adjustment in the number of one one-thousandths of a share of Preferred Stock purchasable upon the exercise of a Right. Each of the Rights outstanding after such adjustment will be exercisable for the number of one one-thousandths of a share of Preferred Stock for which a Right was exercisable immediately prior to such adjustment. Each Right held of record prior to such adjustment will become that number of Rights (calculated to the nearest ten-thousandth) obtained by dividing the Exercise Price in effect immediately prior to adjustment of the Exercise Price by the Exercise Price in effect immediately after adjustment of the Exercise Price. The 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11(h),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 issued, executed and delivered by the Company, and countersigned and delivered by the Rights Agent, in the manner provided in this Plan (and may bear, at the option of the Company, the adjusted Exercise Price), and will be registered in the names of the holders of record of Rights Certificates on the record date specified in the public announcement.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i/>
          <w:color w:val="000000"/>
          <w:sz w:val="24"/>
        </w:rPr>
        <w:t>Rights Certificates Unchanged</w:t>
      </w:r>
      <w:r>
        <w:rPr>
          <w:rFonts w:ascii="Times New Roman" w:hAnsi="Times New Roman"/>
          <w:b w:val="false"/>
          <w:color w:val="000000"/>
          <w:sz w:val="24"/>
        </w:rPr>
        <w:t>. Irrespective of any adjustment or change in the Exercise Price or the number of one one-thousandths of a share of Preferred Stock issuable upon the exercise of the Rights, the Rights Certificates previously and subsequently issued may continue to express the Exercise Price per one one-thousandth of a share of Preferred Stock and the number of one one-thousandths of a share of Preferred Stock that were expressed in the initial Rights Certificates.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(j) </w:t>
      </w:r>
      <w:r>
        <w:rPr>
          <w:rFonts w:ascii="Times New Roman" w:hAnsi="Times New Roman"/>
          <w:b w:val="false"/>
          <w:i/>
          <w:color w:val="000000"/>
          <w:sz w:val="24"/>
        </w:rPr>
        <w:t>Par Value Limitations</w:t>
      </w:r>
      <w:r>
        <w:rPr>
          <w:rFonts w:ascii="Times New Roman" w:hAnsi="Times New Roman"/>
          <w:b w:val="false"/>
          <w:color w:val="000000"/>
          <w:sz w:val="24"/>
        </w:rPr>
        <w:t>. Before taking any action that would cause an adjustment reducing the Exercise Price below the par or stated value, if any, of the number of one one-thousandths of a share of Preferred Stock issuable upon exercise of the Rights, the Company will take any corporate action that may, in the opinion of its counsel, be necessary in order that the Company may duly and validly issue as fully paid and nonassessable shares such number of one one-thousandths of a share of Preferred Stock at such adjusted Exercise Price.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(k) </w:t>
      </w:r>
      <w:r>
        <w:rPr>
          <w:rFonts w:ascii="Times New Roman" w:hAnsi="Times New Roman"/>
          <w:b w:val="false"/>
          <w:i/>
          <w:color w:val="000000"/>
          <w:sz w:val="24"/>
        </w:rPr>
        <w:t>Deferred Issuance</w:t>
      </w:r>
      <w:r>
        <w:rPr>
          <w:rFonts w:ascii="Times New Roman" w:hAnsi="Times New Roman"/>
          <w:b w:val="false"/>
          <w:color w:val="000000"/>
          <w:sz w:val="24"/>
        </w:rPr>
        <w:t>. In any case in which this Section 11 requires that an adjustment in the Exercise Price be made effective as of a record date for a specified event, the Company may elect to defer (with prompt written notice to the Rights Agent) until the occurrence of such event the issuance to the holder of any Right exercised after such record date of the number of one one-thousandths of a share of Preferred Stock and other capital stock or securities, assets or cash of the Company, if any, issuable upon such exercise over and above the number of one one-thousandths of a share of Preferred Stock and other capital stock or securities, assets or cash of the Company, if any, issuable upon such exercise on the basis of the Exercise Price in effect prior to such adjustment. The Company must deliver to such holder a due bill or other appropriate instrument evidencing such holder’s right to receive such additional shares (fractional or otherwise) or securities upon the occurrence of the event requiring such adjustment.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(l) </w:t>
      </w:r>
      <w:r>
        <w:rPr>
          <w:rFonts w:ascii="Times New Roman" w:hAnsi="Times New Roman"/>
          <w:b w:val="false"/>
          <w:i/>
          <w:color w:val="000000"/>
          <w:sz w:val="24"/>
        </w:rPr>
        <w:t>Reduction in Exercise Price</w:t>
      </w:r>
      <w:r>
        <w:rPr>
          <w:rFonts w:ascii="Times New Roman" w:hAnsi="Times New Roman"/>
          <w:b w:val="false"/>
          <w:color w:val="000000"/>
          <w:sz w:val="24"/>
        </w:rPr>
        <w:t>. Notwithstanding anything to the contrary in this Section 11, the Company is entitled to make such reductions in the Exercise Price, in addition to those adjustments expressly required by this Section 11, as and to the extent that it, in its sole discretion, determines to be advisable in order that any (i) consolidation or subdivision of the Preferred Stock or Common Stock, (ii) issuance wholly for cash of any Preferred Stock or Common Stock at less than the applicable Current Per Share Market Price, (iii) issuance wholly for cash of any Preferred Stock or Common Stock or securities that by their terms are convertible into or exchangeable for Preferred Stock or Common Stock, (iv) stock dividend or (v) issuance of rights, options or warrants referred to in this Section 11 made by the Company to holders of shares of Preferred Stock or Common Stock is not taxable to such stockholders.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(m) </w:t>
      </w:r>
      <w:r>
        <w:rPr>
          <w:rFonts w:ascii="Times New Roman" w:hAnsi="Times New Roman"/>
          <w:b w:val="false"/>
          <w:i/>
          <w:color w:val="000000"/>
          <w:sz w:val="24"/>
        </w:rPr>
        <w:t>No Diminishment of Benefit of Rights</w:t>
      </w:r>
      <w:r>
        <w:rPr>
          <w:rFonts w:ascii="Times New Roman" w:hAnsi="Times New Roman"/>
          <w:b w:val="false"/>
          <w:color w:val="000000"/>
          <w:sz w:val="24"/>
        </w:rPr>
        <w:t>. The Company covenants and agrees that, after the Distribution Date and so long as the Rights are outstanding, it will not, except as permitted by Section 23, Section 24 or Section 28, take (or permit to be taken) any action if at the time that such action is taken it is reasonably foreseeable that such action will diminish substantially or otherwise eliminate the benefits intended to be afforded by the Rights.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(n) </w:t>
      </w:r>
      <w:r>
        <w:rPr>
          <w:rFonts w:ascii="Times New Roman" w:hAnsi="Times New Roman"/>
          <w:b w:val="false"/>
          <w:i/>
          <w:color w:val="000000"/>
          <w:sz w:val="24"/>
        </w:rPr>
        <w:t>Certain Adjustments to Common Stock</w:t>
      </w:r>
      <w:r>
        <w:rPr>
          <w:rFonts w:ascii="Times New Roman" w:hAnsi="Times New Roman"/>
          <w:b w:val="false"/>
          <w:color w:val="000000"/>
          <w:sz w:val="24"/>
        </w:rPr>
        <w:t>. Notwithstanding anything to the contrary in this Plan, if the Company, at any time after the Rights Dividend Declaration Date and prior to the Distribution Date, (i) declares or pays a dividend on the Common Stock payable in shares of Common Stock, (ii) subdivides or splits the shares of outstanding Common Stock (other than by the payment of dividends payable in shares of Common Stock), (iii) combines or consolidates the outstanding Common Stock (by reverse stock split or otherwise) into a lesser number of shares of Common Stock or (iv) issues any shares of its capital stock in a reclassification of the Common Stock (including any such reclassification in connection with a share exchange, consolidation or merger in which the Company is the continuing or surviving corporation), then, in each such event, except as otherwise provided in this Section 11 or Section 7(e): (A) each share of Common Stock (or shares of capital stock issued in such reclassification of the Common Stock) outstanding immediately following such time will have associated with it the number of Rights as were associated with one share of Common Stock immediately prior to the occurrence of such event; (B) the Exercise Price in effect at the time of the record date for such dividend or of the effective date of such 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shares of Common Stock outstanding immediately prior to such event and the denominator of which will be the total number of shares of Common Stock outstanding immediately after such event, it being understood that in no event will the consideration to be paid upon the exercise of one Right be less than the aggregate par value of the shares of capital stock of the Company issuable upon the exercise of such Right; and (C) the number of one one-thousandths of a share of Preferred Stock (or shares of such other capital stock) issuable upon the exercise of each Right outstanding after such event equals the number of one one-thousandths of a share of Preferred Stock (or shares of such other capital stock) as were issuable with respect to one Right immediately prior to such event. Each share of Common Stock that becomes outstanding after an adjustment has been made pursuant to this Section 11(n) will have issued with it that number of Rights, exercisable at the Exercise Price and for the number of one one-thousandths of a share of Preferred Stock (or shares of such other capital stock), as one share of Common Stock has associated with it immediately following the adjustment made pursuant to this Section 11(n). If an event occurs that would require an adjustment pursuant to both this Section 11(n) and Section 11(a)(ii), then the adjustment provided for in this Section 11(n) will be in addition to, and will be made prior to, any adjustment required pursuant to Section 11(a)(ii). The adjustments provided for in this Section 11(n) will be made successively whenever such a dividend is declared or paid or such a subdivision, split, combination, consolidation or reclassification is effected.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(o) </w:t>
      </w:r>
      <w:r>
        <w:rPr>
          <w:rFonts w:ascii="Times New Roman" w:hAnsi="Times New Roman"/>
          <w:b w:val="false"/>
          <w:i/>
          <w:color w:val="000000"/>
          <w:sz w:val="24"/>
        </w:rPr>
        <w:t>Adjustment of Rights Associated with Certain Distributions</w:t>
      </w:r>
      <w:r>
        <w:rPr>
          <w:rFonts w:ascii="Times New Roman" w:hAnsi="Times New Roman"/>
          <w:b w:val="false"/>
          <w:color w:val="000000"/>
          <w:sz w:val="24"/>
        </w:rPr>
        <w:t>. Other than in connection with a transaction contemplated by Section 11(n), if the Company, at any time after the Rights Dividend Declaration Date and prior to the Distribution Date, issues or distributes any securities or assets in respect of shares of Common Stock (other than (A) a distribution or dividend of its capital stock and (B) pursuant to any 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holders of the Rights generally, and the Company and the Rights Agent will amend this Plan as necessary to provide for such adjustments.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12. </w:t>
      </w:r>
      <w:r>
        <w:rPr>
          <w:rFonts w:ascii="Times New Roman" w:hAnsi="Times New Roman"/>
          <w:i/>
          <w:color w:val="000000"/>
          <w:sz w:val="24"/>
        </w:rPr>
        <w:t>Certificate of Adjusted Exercise Price or Number of Shares</w:t>
      </w:r>
      <w:r>
        <w:rPr>
          <w:rFonts w:ascii="Times New Roman" w:hAnsi="Times New Roman"/>
          <w:color w:val="000000"/>
          <w:sz w:val="24"/>
        </w:rPr>
        <w:t>. Whenever an adjustment is made, or any event affecting the Rights or their exercisability (including an event that causes the Rights to become null and void) occurs as provided in Section 11 or Section 13, the Company must promptly (a) prepare a certificate setting forth such adjustment and a brief, reasonably detailed statement of the facts and computations accounting for such adjustment or event; (b) provide the Rights Agent and each transfer agent for the Common Stock or Preferred Stock a copy of such certificate; and (c) if a Distribution Date has occurred, mail a brief summary of such adjustment or event to each holder of a Rights Certificate in accordance with Section 26. 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13. </w:t>
      </w:r>
      <w:r>
        <w:rPr>
          <w:rFonts w:ascii="Times New Roman" w:hAnsi="Times New Roman"/>
          <w:i/>
          <w:color w:val="000000"/>
          <w:sz w:val="24"/>
        </w:rPr>
        <w:t>Consolidation, Merger or Sale or Transfer of Assets, Cash Flow or Earning Power</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Certain Transactions</w:t>
      </w:r>
      <w:r>
        <w:rPr>
          <w:rFonts w:ascii="Times New Roman" w:hAnsi="Times New Roman"/>
          <w:b w:val="false"/>
          <w:color w:val="000000"/>
          <w:sz w:val="24"/>
        </w:rPr>
        <w:t>. If, following a Stock Acquisition Date, directly or indirectly, (i) the Company consolidates with, or merges with and into, any other Person (other than a wholly owned Subsidiary of the Company in a transaction that complies with Section 11(m)) and the Company is not the continuing or surviving corporation of such consolidation or merger; (ii) any Person (other than a wholly owned Subsidiary of the Company in a transaction that complies with Section 11(m)) consolidates with, or merges with and into, the Company, and the Company is the continuing or surviving corporation of such consolidation or merger and, in connection with such consolidation or merger, all or part of the Common Stock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 a series of related transactions, assets, cash flow or earning power aggregating to 50 percent or more of the assets, cash flow or earning power of the Company and its Subsidiaries (taken as a whole) to any other Person or Persons (other than the Company or one or more of its wholly owned Subsidiaries in one or more transactions, each of which individually (and together) complies with Section 11(m)),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share of Preferred Stock for which a Right was exercisable immediately prior to the occurrence of such Section 13 Event in accordance with the terms of this Plan, and in lieu of Preferred Stock, such number of duly and validly authorized and issued and fully paid and nonassessable and freely tradable shares of Common Stock of the Principal Party, free of any liens, encumbrances, rights of first refusal or other adverse claims, equal to the result obtained by (1) multiplying the then current Exercise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of Preferred Stock for which a Right was exercisable immediately prior to the first occurrence of a Section 11(a)(ii) Event by the Exercise Price in effect immediately prior to such first occurrence of a Section 11(a)(ii) Event); and (2) dividing that product (which, following the first occurrence of a Section 13 Event, will be referred to as the “Exercise Price” for each Right and for all purposes of this Plan) by 50 percent of the Current Per Share Market Price of the Common Stock of such Principal Party on the date of consummation of such Section 13 Event, it being understood that the price per Right so payable and the number of shares of Common Stock of such Principal Party so receivable upon exercise of a Right will be subject to further adjustment as appropriate in accordance with Section 11(e) to reflect any events covered thereby occurring in respect of the Common Stock of such Principal Party after the occurrence of such Section 13 Event; (B) such Principal Party will thereafter be liable for, and must assume, by virtue of such Section 13 Event, all the obligations and duties of the Company pursuant to this Plan; (C) the term “Company” will thereafter be deemed to refer to such Principal Party, it being specifically intended that the provisions of Section 11 will apply only to such Principal Party following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the first occurrence of a Section 13 Event; (D) such Principal Party must take such steps (including the reservation of a sufficient number of shares of its Common Stock) in connection with the consummation of any such transaction as may be necessary to ensure that the provisions hereof will thereafter be applicable, as nearly as reasonably may be, in relation to its Common Stock thereafter deliverable upon the exercise of the Rights; (E) the provisions of Section 11(a)(ii) will be of no effect following the first occurrence of any Section 13 Event; and (F) upon the subsequent 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Stock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the “earning power” of the Company and its 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Certain Arrangements</w:t>
      </w:r>
      <w:r>
        <w:rPr>
          <w:rFonts w:ascii="Times New Roman" w:hAnsi="Times New Roman"/>
          <w:b w:val="false"/>
          <w:color w:val="000000"/>
          <w:sz w:val="24"/>
        </w:rPr>
        <w:t>. The Company will not consummate or permit to occur any Section 13 Event unless (A) the Principal Party has a sufficient number of authorized, unissued and unreserved shares of Common Stock to permit the exercise in full of the Rights in accordance with this Section 13 and (B) 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Plan in accordance with Section 13(a), (3) such Section 13 Event will not result in a default by the Principal Party pursuant to this Plan (as it has been assumed by the Principal Party) and (4) the Principal Party, as soon as practicable after the date of such Section 13 Event and at its own expense, will: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 deliver to holders of the Rights historical financial statements for the Principal Party and its Affiliates that comply in all respects with the requirements for registration on Form 10 (or any successor form) promulgated under the Exchange Act;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 take all other action as may be necessary to allow the Principal Party to issue the securities purchasable upon exercise of the Rights.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Prohibited Transactions</w:t>
      </w:r>
      <w:r>
        <w:rPr>
          <w:rFonts w:ascii="Times New Roman" w:hAnsi="Times New Roman"/>
          <w:b w:val="false"/>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Notwithstanding anything to the contrary in this Plan, if the Principal Party has a provision in any of its authorized securities or in its organizational documents that would have the effect of (i) causing the Principal Party to issue (other than to holders of Rights pursuant to this Section 13), in connection with, or as a consequence of, the consummation of a Section 13 Event, Common Stock or common stock equivalents of the Principal Party at less than the then Current Per Share Market Price thereof or securities exercisable for, or convertible into, Common Stock or common stock equivalents of the Principal Party at less than such Current Per Share Market Price; or (ii) providing for any special payment, tax, charge or similar provision in connection with the issuance of the Common Stock of the Principal Party pursuant to the provisions of this Section 13, then the Company agrees with each holder of Rights that it will not consummate any such Section 13 Event unless prior thereto the Company and such Principal Party have executed and delivered to the Rights Agent a supplemental agreement providing that such provision has been canceled, waived, amended or rescinded, or that such authorized securities will be redeemed, so that such provision will have no effect in connection with, or as a consequence of, the consummation of such Section 13 Event.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Notwithstanding anything to the contrary in this Plan, the Company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Stock or common stock equivalents of the Principal Party upon exercise of outstanding Rights have not been irrevocably waived or rendered inapplicable; (C) 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Continued Applicability</w:t>
      </w:r>
      <w:r>
        <w:rPr>
          <w:rFonts w:ascii="Times New Roman" w:hAnsi="Times New Roman"/>
          <w:b w:val="false"/>
          <w:color w:val="000000"/>
          <w:sz w:val="24"/>
        </w:rPr>
        <w:t>. The provisions of this Section 13 will similarly apply to successive mergers, consolidations, sales, exchanges, mortgages, transfers or other extraordinary transactions. If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14. </w:t>
      </w:r>
      <w:r>
        <w:rPr>
          <w:rFonts w:ascii="Times New Roman" w:hAnsi="Times New Roman"/>
          <w:i/>
          <w:color w:val="000000"/>
          <w:sz w:val="24"/>
        </w:rPr>
        <w:t>Fractional Rights and Fractional Shares</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Cash in Lieu of Fractional Rights</w:t>
      </w:r>
      <w:r>
        <w:rPr>
          <w:rFonts w:ascii="Times New Roman" w:hAnsi="Times New Roman"/>
          <w:b w:val="false"/>
          <w:color w:val="000000"/>
          <w:sz w:val="24"/>
        </w:rPr>
        <w:t>. The Company will not be required to issue fractions of Rights (except prior to the Distribution Date as provided in Section 11(n)) or to distribute Rights Certificates that evidence fractional Rights. In lieu of such fractional Rights, the Company will pay to the registered holders of the Rights Certificates with regard to which such fractional Rights would otherwise be issuable an amount in cash equal to the same fraction of the Current Per Share Market Price of a whole Right, calculated as of the Trading Day immediately prior to the date on which such fractional Rights would have been otherwise issuable.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Cash in Lieu of Fractional Shares of Preferred Stock</w:t>
      </w:r>
      <w:r>
        <w:rPr>
          <w:rFonts w:ascii="Times New Roman" w:hAnsi="Times New Roman"/>
          <w:b w:val="false"/>
          <w:color w:val="000000"/>
          <w:sz w:val="24"/>
        </w:rPr>
        <w:t>. The Company will not be required to issue fractions of shares of Preferred Stock (other than fractions that are integral multiples of one one-thousandth of a share of Preferred Stock) upon exercise or exchange of the Rights or to distribute certificates that evidence fractional shares of Preferred Stock (other than fractions that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the Company but only if such agreement provides that the holders of such depositary receipts have all of the rights, powers and preferences to which they are entitled as Beneficial Owners of the Preferred Stock represented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such depositary receipts. In lieu of fractional shares of Preferred Stock that are not integral multiples of one one-thousandth of a share of Preferred Stock, the Company may pay to the registered holders of Rights Certificates at the time that such Rights are exercised or exchanged as provided in this Plan an amount in cash equal to the same fraction of the current market value of one one-thousandth of a share of Preferred Stock. For purposes of this Section 14(b), the current market value of one one-thousandth of a share of Preferred Stock will be one one-thousandth of the Current Per Share Market Price of a share of Preferred Stock, calculated as of the Trading Day immediately prior to the date of such exercise or exchange.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Cash in Lieu of Fractional Shares of Common Stock</w:t>
      </w:r>
      <w:r>
        <w:rPr>
          <w:rFonts w:ascii="Times New Roman" w:hAnsi="Times New Roman"/>
          <w:b w:val="false"/>
          <w:color w:val="000000"/>
          <w:sz w:val="24"/>
        </w:rPr>
        <w:t>. The Company is not required to issue fractions of shares of Common Stock or to distribute certificates that evidence fractional shares of Common Stock upon the exercise or exchange of Rights. In lieu of such fractional shares of Common Stock, the Company may pay to the registered holders of Rights Certificates at the time such Rights are exercised or exchanged as provided in this Plan an amount in cash equal to the same fraction of the current market value of a share of Common Stock. For purposes of this Section 14(c), the current market value of a share of Common Stock will be the Current Per Share Market Price of a share of Common Stock, calculated as of the Trading Day immediately prior to the date of such exercise or exchange.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Waiver of Fractional Rights</w:t>
      </w:r>
      <w:r>
        <w:rPr>
          <w:rFonts w:ascii="Times New Roman" w:hAnsi="Times New Roman"/>
          <w:b w:val="false"/>
          <w:color w:val="000000"/>
          <w:sz w:val="24"/>
        </w:rPr>
        <w:t>. Except as permitted by this Section 14, the holder of a Right, by the acceptance of such Right, expressly waives such holder’s right to receive any fractional Rights or any fractional shares of any security upon the exercise or exchange of a Right.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i/>
          <w:color w:val="000000"/>
          <w:sz w:val="24"/>
        </w:rPr>
        <w:t>Procedure for Payment</w:t>
      </w:r>
      <w:r>
        <w:rPr>
          <w:rFonts w:ascii="Times New Roman" w:hAnsi="Times New Roman"/>
          <w:b w:val="false"/>
          <w:color w:val="000000"/>
          <w:sz w:val="24"/>
        </w:rPr>
        <w:t>. Whenever a payment for fractional Rights or fractions of a share of Preferred Stock or Common Stock is to be made by the Rights Agent pursuant to this Plan, the Company will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will be fully protected in relying upon such certificate and will have no duty with respect thereto, and will not be deemed to have knowledge of any payment for fractional Rights or fractions of a share of Preferred Stock or Common Stock under any Section of this Plan relating to fractional Rights or fractions of a share of Preferred Stock or Common Stock unless and until the Rights Agent has received such certificate and sufficient monies.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15. </w:t>
      </w:r>
      <w:r>
        <w:rPr>
          <w:rFonts w:ascii="Times New Roman" w:hAnsi="Times New Roman"/>
          <w:i/>
          <w:color w:val="000000"/>
          <w:sz w:val="24"/>
        </w:rPr>
        <w:t>Rights of Action</w:t>
      </w:r>
      <w:r>
        <w:rPr>
          <w:rFonts w:ascii="Times New Roman" w:hAnsi="Times New Roman"/>
          <w:color w:val="000000"/>
          <w:sz w:val="24"/>
        </w:rPr>
        <w:t>. All rights of action in respect of this Plan, except those rights of action given to the Rights Agent pursuant to this Plan, are vested in the respective registered holders of the Rights Certificates (and, prior to the Distribution Date, the registered holders of shares of Common Stock). Any registered holder of any Rights Certificate (or, prior to the Distribution Date, any registered holder of Common Stock), without the consent of the Rights Agent or of the holder of any other Rights Certificate (or, prior to the Distribution Date, any other holder of Common Stock), may, on such holder’s own behalf and for such holder’s own benefit and the benefit of other holders of Rights, enforce, and may institute and maintain any suit, action or proceeding against the Company to enforce, this Plan or otherwise act in respect of such holder’s right to exercise such holder’s Rights evidenced by such Rights Certificate in the manner provided in such Rights Certificate and in this Plan. Without limiting the foregoing or any remedies available to the holders of Rights, it is specifically acknowledged that the holders of Rights would not have an adequate remedy at law for any breach of this Plan by the Company and will be entitled to specific performance by the Company of the obligations subject to this Plan, and injunctive relief against actual or threatened breaches or violations of the obligations of the Company under this Plan, in each case without having to post a bond.</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16. </w:t>
      </w:r>
      <w:r>
        <w:rPr>
          <w:rFonts w:ascii="Times New Roman" w:hAnsi="Times New Roman"/>
          <w:i/>
          <w:color w:val="000000"/>
          <w:sz w:val="24"/>
        </w:rPr>
        <w:t>Agreement of Rights Holders</w:t>
      </w:r>
      <w:r>
        <w:rPr>
          <w:rFonts w:ascii="Times New Roman" w:hAnsi="Times New Roman"/>
          <w:color w:val="000000"/>
          <w:sz w:val="24"/>
        </w:rPr>
        <w:t>. Every holder of a Right, by accepting the Right, consents and agrees with the Company and the Rights Agent and with every other holder of a Right that:</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(a) prior to the Distribution Date, the Rights will not be evidenced by a Rights Certificate and will be transferable only in connection with the transfer of shares of Common Stock;</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(b) 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properly completed and duly executed, accompanied by a Signature Guarantee and such other documentation as the Rights Agent may reasonably request;</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(c) subject to Section 6(a) and Section 7(f), the Company and the Rights Agent may deem and treat the Person in whose name the Rights Certificate (or, prior to the Distribution Date, the associated certificate representing shares of Common Stock or Book Entry Shares, as applicable) is registered as the absolute owner thereof and of the Rights evidenced thereby (notwithstanding any notations of ownership or writing on the Rights Certificates or the associated certificate representing shares of Common Stock or Book Entry Shares, as applicable, made by anyone other than the Company or the Rights Agent) for all purposes whatsoever, and neither the Company nor the Rights Agent (subject to Section 7(e)) will be affected by any notice to the contrary;</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(d) notwithstanding anything to the contrary in this Plan, neither the Company nor the Rights Agent will have any liability to any holder of a Right or other Person as a result of the inability to perform any of their respective obligations pursuant to this Plan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it being understood that the Company will use all reasonable efforts to have any such injunction, order, judgment, decree or ruling lifted or otherwise overturned as promptly as practicable;</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(e) Rights that are Beneficially Owned by certain Persons will, under the circumstances set forth in Section 7(e), become null and void; and</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(f) this Plan may be supplemented or amended from time to time in accordance with Section 28.</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17. </w:t>
      </w:r>
      <w:r>
        <w:rPr>
          <w:rFonts w:ascii="Times New Roman" w:hAnsi="Times New Roman"/>
          <w:i/>
          <w:color w:val="000000"/>
          <w:sz w:val="24"/>
        </w:rPr>
        <w:t>Holder of Rights Certificate Not Deemed to be a Stockholder</w:t>
      </w:r>
      <w:r>
        <w:rPr>
          <w:rFonts w:ascii="Times New Roman" w:hAnsi="Times New Roman"/>
          <w:color w:val="000000"/>
          <w:sz w:val="24"/>
        </w:rPr>
        <w:t>. No holder, as such, of any Rights Certificate will be entitled to vote or receive dividends or be deemed for any purpose to be the holder of the number of one one-thousandths of a share of Preferred Stock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26), or to receive dividends or subscription rights, or otherwise, until the Rights evidenced by such Rights Certificate have been exercised or exchanged in accordance with the provisions hereof.</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18. </w:t>
      </w:r>
      <w:r>
        <w:rPr>
          <w:rFonts w:ascii="Times New Roman" w:hAnsi="Times New Roman"/>
          <w:i/>
          <w:color w:val="000000"/>
          <w:sz w:val="24"/>
        </w:rPr>
        <w:t>Concerning the Rights Agent</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Compensation; Reimbursement; Indemnification</w:t>
      </w:r>
      <w:r>
        <w:rPr>
          <w:rFonts w:ascii="Times New Roman" w:hAnsi="Times New Roman"/>
          <w:b w:val="false"/>
          <w:color w:val="000000"/>
          <w:sz w:val="24"/>
        </w:rPr>
        <w:t>. The Company agrees to pay to the Rights Agent reasonable compensation for all services rendered by it under this Plan in accordance with a fee schedule to be mutually agreed upon and, from time to time, on demand by the Rights Agent, the reasonable and documented expenses and counsel fees and other disbursements incurred by the Rights Agent in connection with the preparation, negotiation, delivery, execution, amendment and administration of this Plan and the exercise and performance of its duties under this Plan. The Company also covenants and agrees to indemnify the Rights Agent for, and to hold it harmless against, any loss, liability, damage, judgment, fine, penalty, claim, demand, settlement, cost or expense (including the reasonable and documented expenses and fees of its outside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counsel) that may be paid, incurred or suffered by it, or to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pursuant to this Plan, including the reasonable costs and expenses of defending against any claim of liability arising therefrom, directly or indirectly, or of enforcing its rights under this Plan. The provisions of this Section 18 and Section 20 will survive the termination of this Plan, the exercise, exchange or expiration of the Rights and the resignation, replacement or removal of the Rights Agent.</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Reliance by the Rights Agent</w:t>
      </w:r>
      <w:r>
        <w:rPr>
          <w:rFonts w:ascii="Times New Roman" w:hAnsi="Times New Roman"/>
          <w:b w:val="false"/>
          <w:color w:val="000000"/>
          <w:sz w:val="24"/>
        </w:rPr>
        <w:t>. The Rights Agent is authorized to rely conclusively on, and will be protected and will incur no liability for, or in respect of, any action taken, suffered or omitted to be taken by it in connection with its acceptance and administration of this Plan, and the exercise and performance of its duties pursuant to this Plan, in reliance upon any (i) Rights Certificate; (ii) certificate for Preferred Stock, Common Stock or other securities of the Company issuable upon exercise of Rights; or (iii) instrument of assignment or transfer, power of attorney, endorsement, affidavit, letter, notice, instruction,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guaranteed, verified or acknowledged, by the proper Person or Persons, or otherwise upon the advice of counsel as set forth in Section 20. The Rights Agent will not be required to take notice, or be deemed to have any knowledge, of any fact, event or determination of which it was supposed to receive notice under this Plan (including any dates or events defined in this Plan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Survival</w:t>
      </w:r>
      <w:r>
        <w:rPr>
          <w:rFonts w:ascii="Times New Roman" w:hAnsi="Times New Roman"/>
          <w:b w:val="false"/>
          <w:color w:val="000000"/>
          <w:sz w:val="24"/>
        </w:rPr>
        <w:t>. Section 18 and Section 20 will survive the termination of this Plan, the resignation, replacement or removal of the Rights Agent and the exercise, exchange or expiration of the Rights. Notwithstanding anything in this Plan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Notwithstanding anything in this Plan to the contrary, any liability of the Rights Agent under this Plan will be limited to the amount of fees (but not including any reimbursed costs) paid by the Company to the Rights Agent during the 12 months immediately preceding the event for which recovery from the Rights Agent is being sought.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19. </w:t>
      </w:r>
      <w:r>
        <w:rPr>
          <w:rFonts w:ascii="Times New Roman" w:hAnsi="Times New Roman"/>
          <w:i/>
          <w:color w:val="000000"/>
          <w:sz w:val="24"/>
        </w:rPr>
        <w:t>Merger, Consolidation or Change of Name of Rights Agent</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Merger or Consolidation of Rights Agent</w:t>
      </w:r>
      <w:r>
        <w:rPr>
          <w:rFonts w:ascii="Times New Roman" w:hAnsi="Times New Roman"/>
          <w:b w:val="false"/>
          <w:color w:val="000000"/>
          <w:sz w:val="24"/>
        </w:rPr>
        <w:t>. Any Person into which the Rights Agent or any successor Rights Agent may be merged or with which it may be consolidated, or any Person resulting from any merger or consolidation to which the Rights Agent or any successor Rights Agent is a party, or any Person succeeding to the stock transfer or other stockholder services business of the Rights Agent or any successor Rights Agent, will be the successor to the Rights Agent pursuant to this Plan without the execution or filing of any paper or any further act on the part of any of the Parties; provided, however, that such Person would be eligible for appointment as a successor Rights Agent pursuant to the provisions of Section 21. The purchase of all or substantially all of the Rights Agent’s assets employed in the performance of transfer agent activities will be deemed to be a merger or consolidation for purposes of this Section 19. If at the time that such successor Rights Agent succeeds to the agency created by this Plan any of the Rights Certificates have been countersigned but not delivered, then any such successor Rights Agent may adopt the countersignature of a predecessor Rights Agent and deliver such Rights Certificates so countersigned, and if at that time any of the Rights Certificates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have not been countersigned, then any successor Rights Agent may countersign such Rights Certificates either in the name of the predecessor Rights Agent or in the name of the successor Rights Agent; and in all such cases, such Rights Certificates will have the full force and effect provided in the Rights Certificates and in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Change of Name of Rights Agent</w:t>
      </w:r>
      <w:r>
        <w:rPr>
          <w:rFonts w:ascii="Times New Roman" w:hAnsi="Times New Roman"/>
          <w:b w:val="false"/>
          <w:color w:val="000000"/>
          <w:sz w:val="24"/>
        </w:rPr>
        <w:t>. If at any time the name of the Rights Agent is changed and at such time any of the Rights Certificates have been countersigned but not delivered, then the Rights Agent may adopt the countersignature under its prior name and deliver such Rights Certificates so countersigned, and if at any time any of the Rights Certificates have not have been countersigned, then the Rights Agent may countersign such Rights Certificates either in its prior name or in its changed name; in all such cases, such Rights Certificates will have the full force and effect provided in the Rights Certificates and in this Plan.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 </w:t>
      </w:r>
      <w:r>
        <w:rPr>
          <w:rFonts w:ascii="Times New Roman" w:hAnsi="Times New Roman"/>
          <w:i/>
          <w:color w:val="000000"/>
          <w:sz w:val="24"/>
        </w:rPr>
        <w:t>Duties of Rights Agent</w:t>
      </w:r>
      <w:r>
        <w:rPr>
          <w:rFonts w:ascii="Times New Roman" w:hAnsi="Times New Roman"/>
          <w:color w:val="000000"/>
          <w:sz w:val="24"/>
        </w:rPr>
        <w:t>. The Rights Agent undertakes to perform only the duties and obligations expressly imposed by this Plan, and no implied duties or obligations will be read into this Plan against the Rights Agent. The Rights Agent will perform its duties and obligations upon the following terms and conditions, all of which the Company and the holders of Rights Certificates or shares of Common Stock or Preferred Stock, by their acceptance thereof, will be bound: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Consultation with Counsel</w:t>
      </w:r>
      <w:r>
        <w:rPr>
          <w:rFonts w:ascii="Times New Roman" w:hAnsi="Times New Roman"/>
          <w:b w:val="false"/>
          <w:color w:val="000000"/>
          <w:sz w:val="24"/>
        </w:rPr>
        <w:t>. The Rights Agent may consult with legal counsel that it selects (who may be legal counsel for the Company), and the advice or opinion of such counsel will be full and complete authorization and protection to the Rights Agent, and the Rights Agent will have no liability for or in respect of, any action taken or omitted by it in the absence of gross negligence, bad faith or willful misconduct (which gross negligence, bad faith or willful misconduct must be determined by a final, non-appealable judgment of a court of competent jurisdiction) in accordance with such advice or opinion.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Reliance on Certificate of the Company</w:t>
      </w:r>
      <w:r>
        <w:rPr>
          <w:rFonts w:ascii="Times New Roman" w:hAnsi="Times New Roman"/>
          <w:b w:val="false"/>
          <w:color w:val="000000"/>
          <w:sz w:val="24"/>
        </w:rPr>
        <w:t>. Whenever in the performance of its duties pursuant to this Plan the Rights Agent deems it necessary or desirable that any fact or matter (including the identity of any Acquiring Person and the determination of the Current Per Share Market Price of any security) be proved or established by the Company prior to taking, suffering or omitting to take any action hereunder, such fact or matter (unless other evidence in respect thereof is specifically prescribed in this Plan) may be deemed to be conclusively proved and established by a certificate signed by any one of the Appropriate Officers and delivered to the Rights Agent, and such certificate will be full and complete authorization and protection to the Rights Agent, and the Rights Agent will incur no liability for or in respect of any action taken by it pursuant to the provisions of this Plan in reliance upon such certificate in the absence of gross negligence, bad faith or willful misconduct (which gross negligence, bad faith or willful misconduct must be determined by a final, non-appealable judgment of a court of competent jurisdiction). The Rights Agent shall have no duty to act without such certificate as set forth in this Section 20(b).</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General Limitation of Liability</w:t>
      </w:r>
      <w:r>
        <w:rPr>
          <w:rFonts w:ascii="Times New Roman" w:hAnsi="Times New Roman"/>
          <w:b w:val="false"/>
          <w:color w:val="000000"/>
          <w:sz w:val="24"/>
        </w:rPr>
        <w:t>. The Rights Agent will not be liable under this Plan for or by reason of any of the statements of fact or recitals contained in this Plan, the Rights Certificates or be required to verify the same (except as to its countersignature on such Rights Certificates), but all such statements and recitals are and will be deemed to have been made by the Company only.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No Liability for Certain Matters</w:t>
      </w:r>
      <w:r>
        <w:rPr>
          <w:rFonts w:ascii="Times New Roman" w:hAnsi="Times New Roman"/>
          <w:b w:val="false"/>
          <w:color w:val="000000"/>
          <w:sz w:val="24"/>
        </w:rPr>
        <w:t>. The Rights Agent will not be liable for or by reason of any of the statements of fact or recitals contained in this Plan, the Rights Certificates or any certificate (or registration on the transfer books of the Company, including, in the case of uncertificated shares, by notation in book entry accounts reflecting ownership) for Preferred Stock, Common Stock or other securities of the Company issuable upon exercise of Rights, or be required to verify the same (except, in each case, its countersignature thereof, if applicable), and all such statements and recitals are and will be deemed to have been made by the Company only.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i/>
          <w:color w:val="000000"/>
          <w:sz w:val="24"/>
        </w:rPr>
        <w:t>No Responsibility for Certain Matters</w:t>
      </w:r>
      <w:r>
        <w:rPr>
          <w:rFonts w:ascii="Times New Roman" w:hAnsi="Times New Roman"/>
          <w:b w:val="false"/>
          <w:color w:val="000000"/>
          <w:sz w:val="24"/>
        </w:rPr>
        <w:t>. The Rights Agent will not (i) have any liability for or be under any responsibility in respect of the validity of this Plan or the execution and delivery hereof (except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the due authorization, execution and delivery hereof by the Rights Agent) or in respect of the legality or validity or execution of any Rights Certificate (except its countersignature thereof); (ii) be responsible for any breach by the Company of any covenant or condition contained in this Plan or in any Rights Certificate; (iii) be liable or responsible for (A) any adjustment or calculation required pursuant to Section 13, Section 14 or Section 24; (B) the manner, method or amount of any such adjustment or change; or (C) ascertaining of the existence of facts that would require any such adjustment or calculation (except with respect to the exercise of Rights evidenced by Rights Certificates subject to the terms and conditions hereof after actual notice of any such adjustment); or (iv) by any act hereunder be deemed to make any representation or warranty as to the authorization or reservation of any shares of Common Stock or Preferred Stock to be issued pursuant to this Plan or any Rights Certificate or as to whether any shares of Common Stock or Preferred Stock will, when so issued, be validly authorized and issued and fully paid and nonassessable.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i/>
          <w:color w:val="000000"/>
          <w:sz w:val="24"/>
        </w:rPr>
        <w:t>Company Compliance Obligations</w:t>
      </w:r>
      <w:r>
        <w:rPr>
          <w:rFonts w:ascii="Times New Roman" w:hAnsi="Times New Roman"/>
          <w:b w:val="false"/>
          <w:color w:val="000000"/>
          <w:sz w:val="24"/>
        </w:rPr>
        <w:t>. The Rights Agent will not be liable or responsible for any failure of the Company to comply with any of its obligations relating to any registration statement filed with the SEC or this Plan, including obligations under applicable regulation or law.</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i/>
          <w:color w:val="000000"/>
          <w:sz w:val="24"/>
        </w:rPr>
        <w:t>No Duty to Initiate Proceedings</w:t>
      </w:r>
      <w:r>
        <w:rPr>
          <w:rFonts w:ascii="Times New Roman" w:hAnsi="Times New Roman"/>
          <w:b w:val="false"/>
          <w:color w:val="000000"/>
          <w:sz w:val="24"/>
        </w:rPr>
        <w:t>. The Rights Agent shall not have any duty or responsibility in the case of the receipt of any written demand from any holder of Rights with respect to any action or default by the Company, including any duty or responsibility to initiate or attempt to initiate any proceedings at law or otherwise to make any demand upon the Company.</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(h) </w:t>
      </w:r>
      <w:r>
        <w:rPr>
          <w:rFonts w:ascii="Times New Roman" w:hAnsi="Times New Roman"/>
          <w:b w:val="false"/>
          <w:i/>
          <w:color w:val="000000"/>
          <w:sz w:val="24"/>
        </w:rPr>
        <w:t>Further Assurances</w:t>
      </w:r>
      <w:r>
        <w:rPr>
          <w:rFonts w:ascii="Times New Roman" w:hAnsi="Times New Roman"/>
          <w:b w:val="false"/>
          <w:color w:val="000000"/>
          <w:sz w:val="24"/>
        </w:rPr>
        <w:t>.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its duties pursuant to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i/>
          <w:color w:val="000000"/>
          <w:sz w:val="24"/>
        </w:rPr>
        <w:t>Acceptance of Instructions</w:t>
      </w:r>
      <w:r>
        <w:rPr>
          <w:rFonts w:ascii="Times New Roman" w:hAnsi="Times New Roman"/>
          <w:b w:val="false"/>
          <w:color w:val="000000"/>
          <w:sz w:val="24"/>
        </w:rPr>
        <w:t>. The Rights Agent is authorized and directed to accept instructions with respect to the performance of its duties under this Plan from any person reasonably believed by the Rights Agent to be an Appropriate Officer, and it is authorized to apply to any Appropriate Officer for advice or instructions in connection with its duties pursuant to this Plan. Such advice and instructions will be full and complete authorization and protection to the Rights Agent, and the Rights Agent will not be liable for or in respect of any action taken, suffered or omitted by it in accordance with the written advice or instructions of any Appropriate Officer or for any delay in acting while waiting for those instructions. The Rights Agent will be fully and completely authorized and protected in relying on the latest-dated instructions received from any Appropriate Officer. Any application by the Rights Agent for written instructions from the Company may, at the option of the Rights Agent, set forth in writing any action proposed to be taken, suffered or omitted by the Rights Agent pursuant to this Plan and the date on or after which such action will be taken, suffered or omitted. The Rights Agent will be fully authorized and protected in relying upon the most recent instructions received from any Appropriate Officer, and will not be liable for any action taken or suffered by, or omission of, the Rights Agent in accordance with a proposal included in any such application on or after the date specified in such application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(j) </w:t>
      </w:r>
      <w:r>
        <w:rPr>
          <w:rFonts w:ascii="Times New Roman" w:hAnsi="Times New Roman"/>
          <w:b w:val="false"/>
          <w:i/>
          <w:color w:val="000000"/>
          <w:sz w:val="24"/>
        </w:rPr>
        <w:t>Dealing in Securities of the Company</w:t>
      </w:r>
      <w:r>
        <w:rPr>
          <w:rFonts w:ascii="Times New Roman" w:hAnsi="Times New Roman"/>
          <w:b w:val="false"/>
          <w:color w:val="000000"/>
          <w:sz w:val="24"/>
        </w:rPr>
        <w:t>. The Rights Agent and any stockholder, director, officer, employee or Affiliate of the Rights Agent, in each case in its capacity as such,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Plan. Nothing herein will preclude the Rights Agent or any such member, stockholder, director, officer, employee or Affiliate from acting in any other capacity for the Company or for any other Person.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(k) </w:t>
      </w:r>
      <w:r>
        <w:rPr>
          <w:rFonts w:ascii="Times New Roman" w:hAnsi="Times New Roman"/>
          <w:b w:val="false"/>
          <w:i/>
          <w:color w:val="000000"/>
          <w:sz w:val="24"/>
        </w:rPr>
        <w:t>Use of Agents</w:t>
      </w:r>
      <w:r>
        <w:rPr>
          <w:rFonts w:ascii="Times New Roman" w:hAnsi="Times New Roman"/>
          <w:b w:val="false"/>
          <w:color w:val="000000"/>
          <w:sz w:val="24"/>
        </w:rPr>
        <w:t>. The Rights Agent may execute and exercise any of the rights or powers vested in it by this Plan or perform any duty under this Plan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(l) </w:t>
      </w:r>
      <w:r>
        <w:rPr>
          <w:rFonts w:ascii="Times New Roman" w:hAnsi="Times New Roman"/>
          <w:b w:val="false"/>
          <w:i/>
          <w:color w:val="000000"/>
          <w:sz w:val="24"/>
        </w:rPr>
        <w:t>No Risk of Funds</w:t>
      </w:r>
      <w:r>
        <w:rPr>
          <w:rFonts w:ascii="Times New Roman" w:hAnsi="Times New Roman"/>
          <w:b w:val="false"/>
          <w:color w:val="000000"/>
          <w:sz w:val="24"/>
        </w:rPr>
        <w:t>. No provision of this Plan requires the Rights Agent to expend or risk its own funds or otherwise incur any financial liability in the performance of any of its duties under this Plan or in the exercise of its rights or powers if it reasonably believes that repayment of such funds or adequate indemnification against such risk or liability is not reasonably assured to it. The Rights Agent shall have no responsibility to the Company, any holders of Rights or any other Person for the interest or earnings on any money held by the Rights Agent pursuant to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(m) </w:t>
      </w:r>
      <w:r>
        <w:rPr>
          <w:rFonts w:ascii="Times New Roman" w:hAnsi="Times New Roman"/>
          <w:b w:val="false"/>
          <w:i/>
          <w:color w:val="000000"/>
          <w:sz w:val="24"/>
        </w:rPr>
        <w:t>No Action with Respect to Certain Rights Certificates</w:t>
      </w:r>
      <w:r>
        <w:rPr>
          <w:rFonts w:ascii="Times New Roman" w:hAnsi="Times New Roman"/>
          <w:b w:val="false"/>
          <w:color w:val="000000"/>
          <w:sz w:val="24"/>
        </w:rPr>
        <w:t>. If, with respect to any Rights Certificate surrendered to the Rights Agent for exercise or transfer, the certificate attached to the form of election to purchase or form of assignment, as the case may be, has either (i) not been properly completed or (ii) indicates an affirmative response to clause (1) or clause (2) thereof, then the Rights Agent will not take any further action with respect to such requested exercise or transfer without first consulting with the Company. The Rights Agent will not be liable for any delays arising from the duties under this Section 20(m).</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(n) </w:t>
      </w:r>
      <w:r>
        <w:rPr>
          <w:rFonts w:ascii="Times New Roman" w:hAnsi="Times New Roman"/>
          <w:b w:val="false"/>
          <w:i/>
          <w:color w:val="000000"/>
          <w:sz w:val="24"/>
        </w:rPr>
        <w:t>Delivery of Rights Holder List</w:t>
      </w:r>
      <w:r>
        <w:rPr>
          <w:rFonts w:ascii="Times New Roman" w:hAnsi="Times New Roman"/>
          <w:b w:val="false"/>
          <w:color w:val="000000"/>
          <w:sz w:val="24"/>
        </w:rPr>
        <w:t>. From time to time after the Distribution Date, upon the written request of the Company, the Rights Agent will promptly deliver to the Company a list, as of the most recent practicable date (or as of such earlier date as may be specified by the Company), of the record holders of Rights and Rights Certificates.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(o) </w:t>
      </w:r>
      <w:r>
        <w:rPr>
          <w:rFonts w:ascii="Times New Roman" w:hAnsi="Times New Roman"/>
          <w:b w:val="false"/>
          <w:i/>
          <w:color w:val="000000"/>
          <w:sz w:val="24"/>
        </w:rPr>
        <w:t>Responsibility for Information</w:t>
      </w:r>
      <w:r>
        <w:rPr>
          <w:rFonts w:ascii="Times New Roman" w:hAnsi="Times New Roman"/>
          <w:b w:val="false"/>
          <w:color w:val="000000"/>
          <w:sz w:val="24"/>
        </w:rPr>
        <w:t>. The Rights Agent will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Section 26 hereof, and in the absence of such notice so delivered, the Rights Agent may conclusively assume no such event or condition exists.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(p) </w:t>
      </w:r>
      <w:r>
        <w:rPr>
          <w:rFonts w:ascii="Times New Roman" w:hAnsi="Times New Roman"/>
          <w:b w:val="false"/>
          <w:i/>
          <w:color w:val="000000"/>
          <w:sz w:val="24"/>
        </w:rPr>
        <w:t>Reliance on Certain Matters</w:t>
      </w:r>
      <w:r>
        <w:rPr>
          <w:rFonts w:ascii="Times New Roman" w:hAnsi="Times New Roman"/>
          <w:b w:val="false"/>
          <w:color w:val="000000"/>
          <w:sz w:val="24"/>
        </w:rPr>
        <w:t>.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(q) </w:t>
      </w:r>
      <w:r>
        <w:rPr>
          <w:rFonts w:ascii="Times New Roman" w:hAnsi="Times New Roman"/>
          <w:b w:val="false"/>
          <w:i/>
          <w:color w:val="000000"/>
          <w:sz w:val="24"/>
        </w:rPr>
        <w:t>Ambiguity or Uncertainty</w:t>
      </w:r>
      <w:r>
        <w:rPr>
          <w:rFonts w:ascii="Times New Roman" w:hAnsi="Times New Roman"/>
          <w:b w:val="false"/>
          <w:color w:val="000000"/>
          <w:sz w:val="24"/>
        </w:rPr>
        <w:t>. In the event the Rights Agent believes any ambiguity or uncertainty exists hereunder or in any 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the Company, the holder of any Rights Certificate or any other Person for refraining from taking such action, unless the Rights Agent receives written instructions signed by the Company which eliminates such ambiguity or uncertainty to the satisfaction of the Rights Agent.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21. </w:t>
      </w:r>
      <w:r>
        <w:rPr>
          <w:rFonts w:ascii="Times New Roman" w:hAnsi="Times New Roman"/>
          <w:i/>
          <w:color w:val="000000"/>
          <w:sz w:val="24"/>
        </w:rPr>
        <w:t>Change of Rights Agent</w:t>
      </w:r>
      <w:r>
        <w:rPr>
          <w:rFonts w:ascii="Times New Roman" w:hAnsi="Times New Roman"/>
          <w:color w:val="000000"/>
          <w:sz w:val="24"/>
        </w:rPr>
        <w:t>. The Rights Agent or any successor Rights Agent may resign and be discharged from its duties pursuant to this Plan upon 30 days’ written notice to the Company. If any transfer agency relationship in effect between the Company and the Rights Agent terminates, then the Rights Agent will be deemed to have automatically resigned, and be discharged from its duties pursuant to this Plan, on the effective date of such termination, and the Company will be responsible for sending any required notices. The Company may remove the Rights Agent or any successor Rights Agent, with or without cause, upon no less than 30 days’ notice in writing to the Rights Agent or any successor Rights Agent, as the case may be, and to each transfer agent of the Preferred Stock and the Common Stock (in the event that the Rights Agent or one of its Affiliates is not also such transfer agent), delivered to the Rights Agent in accordance with Section 27. If the Rights Agent resigns or is removed or otherwise becomes incapable of acting, then the Company will appoint a successor to the Rights Agent. If the Company fails to make such appointment within a period of 30 days after giving written notice of such removal or after it has been notified in writing of such resignation or incapacity by the resigning or incapacitated Rights Agent or by the registered holder of a Rights Certificate (who must, together with such notice, submit such registered holder’s Rights Certificate for inspection by the Company), then such registered holder or the incumbent Rights Agent may apply, at the Company’s expense, to a court of competent jurisdiction for the appointment of a new Rights Agent. Any successor Rights Agent, whether appointed by the Company or by such court, must be either (a) a Person organized, in good standing and doing business pursuant to the laws of the United States or any state of the United States that is authorized pursuant to such laws to exercise corporate trust, stock transfer or stockholder services powers and is subject to supervision or examination by federal or state authorities and has at the time of its appointment as Rights Agent a combined capital and surplus of at least $100,000,000; or (b) an Affiliate or direct or indirect wholly owned Subsidiary of such Person. After appointment, the successor Rights Agent will be vested with the same powers, rights, duties and responsibilities as if it had been originally named as Rights Agent without further act or deed, but the predecessor Rights Agent must deliver and transfer to the successor Rights Agent any property at the time held by it, and execute and deliver any further reasonable assurance, conveyance, act or deed necessary for such purpose, but such predecessor Rights Agent shall not be required to make additional expenditure or assume any additional liabilities in connection with the foregoing. Not later than the effective date of any such appointment, the Company will file notice thereof in writing with the predecessor Rights Agent and each transfer agent of the Preferred Stock and the Common Stock, and if such appointment occurs after the Distribution Time, mail a notice thereof to the registered holders of the Rights Certificates. Notwithstanding anything to the contrary in this Plan, failure to give any notice provided for in this Section 21, or any defect therein, will not affect the legality or validity of the resignation or removal of the Rights Agent or the appointment of the successor Rights Agent, as the case may be. Upon appointment, any successor Rights Agent will, unless the context requires otherwise, be deemed to be the Rights Agent for all purposes of this Plan.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22. </w:t>
      </w:r>
      <w:r>
        <w:rPr>
          <w:rFonts w:ascii="Times New Roman" w:hAnsi="Times New Roman"/>
          <w:i/>
          <w:color w:val="000000"/>
          <w:sz w:val="24"/>
        </w:rPr>
        <w:t>Issuance of New Rights Certificates</w:t>
      </w:r>
      <w:r>
        <w:rPr>
          <w:rFonts w:ascii="Times New Roman" w:hAnsi="Times New Roman"/>
          <w:color w:val="000000"/>
          <w:sz w:val="24"/>
        </w:rPr>
        <w:t>. Notwithstanding anything to the contrary in this Plan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Plan. In addition, in connection with the issuance or sale of shares of Common Stock following the Distribution Date and prior to the Expiration Date, the Company will, with respect to shares of Common Stock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However, (a) no such Rights 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 Associate of an Acquiring Person, Post-Event Transferee, Pre-Event Transferee, Subsequent Transferee or any nominee of any of the foregoing.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23. </w:t>
      </w:r>
      <w:r>
        <w:rPr>
          <w:rFonts w:ascii="Times New Roman" w:hAnsi="Times New Roman"/>
          <w:i/>
          <w:color w:val="000000"/>
          <w:sz w:val="24"/>
        </w:rPr>
        <w:t>Redemption</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Right to Redeem</w:t>
      </w:r>
      <w:r>
        <w:rPr>
          <w:rFonts w:ascii="Times New Roman" w:hAnsi="Times New Roman"/>
          <w:b w:val="false"/>
          <w:color w:val="000000"/>
          <w:sz w:val="24"/>
        </w:rPr>
        <w:t>. The Board may, at its option, at any time prior to the earlier of (i) the Distribution Date or (ii) the Close of Business on the Final Expiration Date, redeem all but not less than all of the then-outstanding Rights at a redemption price of $0.001 per Right, as such amount may be appropriately adjusted to reflect any stock split, stock dividend, recapitalization or similar transaction occurring after the Rights Dividend Declaration Date (such redemption price, the “</w:t>
      </w:r>
      <w:r>
        <w:rPr>
          <w:rFonts w:ascii="Times New Roman" w:hAnsi="Times New Roman"/>
          <w:color w:val="000000"/>
          <w:sz w:val="24"/>
        </w:rPr>
        <w:t>Redemption Price</w:t>
      </w:r>
      <w:r>
        <w:rPr>
          <w:rFonts w:ascii="Times New Roman" w:hAnsi="Times New Roman"/>
          <w:color w:val="000000"/>
          <w:sz w:val="20"/>
        </w:rPr>
        <w:t>”</w:t>
      </w:r>
      <w:r>
        <w:rPr>
          <w:rFonts w:ascii="Times New Roman" w:hAnsi="Times New Roman"/>
          <w:b w:val="false"/>
          <w:color w:val="000000"/>
          <w:sz w:val="24"/>
        </w:rPr>
        <w:t>). Notwithstanding anything to the contrary in this Plan, the Rights will not be exercisable after the first occurrence of a Section 11(a)(ii) Event until such time as the Company’s right of redemption pursuant to this Section 23 has expired. The Company may, at its option, pay the Redemption Price in shares of Common Stock (based on the Current Per Share Market Price of the Common Stock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w:t>
      </w:r>
      <w:r>
        <w:rPr>
          <w:rFonts w:ascii="Times New Roman" w:hAnsi="Times New Roman"/>
          <w:color w:val="000000"/>
          <w:sz w:val="24"/>
        </w:rPr>
        <w:t>Redemption Date</w:t>
      </w:r>
      <w:r>
        <w:rPr>
          <w:rFonts w:ascii="Times New Roman" w:hAnsi="Times New Roman"/>
          <w:b w:val="false"/>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General Redemption Procedures</w:t>
      </w:r>
      <w:r>
        <w:rPr>
          <w:rFonts w:ascii="Times New Roman" w:hAnsi="Times New Roman"/>
          <w:b w:val="false"/>
          <w:color w:val="000000"/>
          <w:sz w:val="24"/>
        </w:rPr>
        <w:t>. Immediately upon the action of the Board ordering the redemption of the Rights (or at such later time as 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27, with any notice that is so provided deemed to be given whether or not the holder receives the notice. Each such notice of redemption must state the method by which the payment of the Redemption Price is to be made. The failure to give, or any defect in, any notice required by this Section 23 will not affect the legality or validity of the action taken by the Board or of the redemption.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Discharge of Obligations</w:t>
      </w:r>
      <w:r>
        <w:rPr>
          <w:rFonts w:ascii="Times New Roman" w:hAnsi="Times New Roman"/>
          <w:b w:val="false"/>
          <w:color w:val="000000"/>
          <w:sz w:val="24"/>
        </w:rPr>
        <w:t>. Notwithstanding anything to the contrary in this Plan, in the event of a redemption pursuant to Section 23(a), the Company may, at its option, discharge all of its obligations with respect to the Rights by (i) issuing a press release or making a publicly available filing with the SEC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Stock, and upon such action, all outstanding Rights Certificates will be null and void without any further action by the Company.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Prohibited Purchases</w:t>
      </w:r>
      <w:r>
        <w:rPr>
          <w:rFonts w:ascii="Times New Roman" w:hAnsi="Times New Roman"/>
          <w:b w:val="false"/>
          <w:color w:val="000000"/>
          <w:sz w:val="24"/>
        </w:rPr>
        <w:t>. Notwithstanding anything to the contrary in this Plan, neither the Company nor any of its Affiliates or Associates may redeem, acquire or purchase for value any Rights at any time in any manner other than as specifically set forth in this Section 23 or in Section 24, or other than in connection with the purchase or repurchase of shares of Common Stock prior to the Distribution Date.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24. </w:t>
      </w:r>
      <w:r>
        <w:rPr>
          <w:rFonts w:ascii="Times New Roman" w:hAnsi="Times New Roman"/>
          <w:i/>
          <w:color w:val="000000"/>
          <w:sz w:val="24"/>
        </w:rPr>
        <w:t>Exchange</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Exchange of Common Stock for Rights</w:t>
      </w:r>
      <w:r>
        <w:rPr>
          <w:rFonts w:ascii="Times New Roman" w:hAnsi="Times New Roman"/>
          <w:b w:val="false"/>
          <w:color w:val="000000"/>
          <w:sz w:val="24"/>
        </w:rPr>
        <w:t>. The Board may, at its option, at any time after any Person becomes an Acquiring Person, exchange all or part of the then outstanding and exercisable Rights (which will not include Rights that have become null and void pursuant to the provisions of Section 7(e)) for shares of Common Stock at an exchange ratio of one share of Common Stock per Right, appropriately adjusted to reflect any stock split, stock dividend, recapitalization or similar transaction occurring in respect of the Common Stock after the Rights Dividend Declaration Date (such exchange ratio, the “</w:t>
      </w:r>
      <w:r>
        <w:rPr>
          <w:rFonts w:ascii="Times New Roman" w:hAnsi="Times New Roman"/>
          <w:color w:val="000000"/>
          <w:sz w:val="24"/>
        </w:rPr>
        <w:t>Exchange Ratio</w:t>
      </w:r>
      <w:r>
        <w:rPr>
          <w:rFonts w:ascii="Times New Roman" w:hAnsi="Times New Roman"/>
          <w:b w:val="false"/>
          <w:color w:val="000000"/>
          <w:sz w:val="24"/>
        </w:rPr>
        <w:t>,” and such determination by the Board to effect such exchange, an “</w:t>
      </w:r>
      <w:r>
        <w:rPr>
          <w:rFonts w:ascii="Times New Roman" w:hAnsi="Times New Roman"/>
          <w:color w:val="000000"/>
          <w:sz w:val="24"/>
        </w:rPr>
        <w:t>Exchange Determination</w:t>
      </w:r>
      <w:r>
        <w:rPr>
          <w:rFonts w:ascii="Times New Roman" w:hAnsi="Times New Roman"/>
          <w:color w:val="000000"/>
          <w:sz w:val="20"/>
        </w:rPr>
        <w:t>”</w:t>
      </w:r>
      <w:r>
        <w:rPr>
          <w:rFonts w:ascii="Times New Roman" w:hAnsi="Times New Roman"/>
          <w:b w:val="false"/>
          <w:color w:val="000000"/>
          <w:sz w:val="24"/>
        </w:rPr>
        <w:t>). Notwithstanding the foregoing, the Board will not be empowered to effect an Exchange Determination at any time after any Person (other than any Exempt Person), together with all Affiliates and Associates of such Person, becomes the Beneficial Owner of 50 percent or more of the shares of Common Stock then outstanding. Notwithstanding the foregoing, from and after the occurrence of a Section 13 Event, any Rights that have not previously been exchanged pursuant to this Section 24(a) will thereafter be exercisable only in accordance with Section 13 and may not be exchanged (and will not be eligible for exchange) pursuant to this Section 24(a).</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Exchange Procedures</w:t>
      </w:r>
      <w:r>
        <w:rPr>
          <w:rFonts w:ascii="Times New Roman" w:hAnsi="Times New Roman"/>
          <w:b w:val="false"/>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Manner of Effecting Exchange</w:t>
      </w:r>
      <w:r>
        <w:rPr>
          <w:rFonts w:ascii="Times New Roman" w:hAnsi="Times New Roman"/>
          <w:color w:val="000000"/>
          <w:sz w:val="24"/>
        </w:rPr>
        <w:t>. Immediately following an Exchange Determination and without any further action or notice, the right to exercise the then-outstanding Rights (other than Rights that have become null and void pursuant to the provisions of Section 7(e)) will terminate and the only right thereafter of a holder of such Rights is to receive that number of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then-outstanding Rights (other than Rights that have become null and void pursuant to the provisions of Section 7(e)) by mailing such notice, in accordance with Section 27, with any notice that is so provided deemed to be given whether or not the holder receives the notice. Each such notice of exchange must state the method by which the exchange of shares of Common Stock for Rights is to be effected (including the actions that must be taken by the holders of Rights to receive shares of Common Stock in exchange for Rights) and, in the event of any partial exchange, the 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shares of Common Stock (or other consideration) issuable pursuant to this Section 24 are received by Persons whose Rights are null and void pursuant to Section 7(e). Prior to effecting any exchange, the Company may require, or cause the trustee of 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shares of Common Stock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Stock (or other securities) so issued. The failure to give, or any defect in, any notice required by this Section 24 will not affect the legality or validity of the action taken by the Board or of such exchange.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Use of Trust</w:t>
      </w:r>
      <w:r>
        <w:rPr>
          <w:rFonts w:ascii="Times New Roman" w:hAnsi="Times New Roman"/>
          <w:color w:val="000000"/>
          <w:sz w:val="24"/>
        </w:rPr>
        <w:t>. The exchange of the Rights pursuant to Section 24(a) may be made effective at such time, on such basis and with such conditions as the Board, in its sole discretion, may establish. Without limiting the foregoing, prior to effecting an exchange pursuant to Section 24(a), the Board may direct the Company to enter into a trust agreement in such form and with such terms as the Board approves (the “</w:t>
      </w:r>
      <w:r>
        <w:rPr>
          <w:rFonts w:ascii="Times New Roman" w:hAnsi="Times New Roman"/>
          <w:b/>
          <w:color w:val="000000"/>
          <w:sz w:val="24"/>
        </w:rPr>
        <w:t>Trust Agreement</w:t>
      </w:r>
      <w:r>
        <w:rPr>
          <w:rFonts w:ascii="Times New Roman" w:hAnsi="Times New Roman"/>
          <w:color w:val="000000"/>
          <w:sz w:val="20"/>
        </w:rPr>
        <w:t>”</w:t>
      </w:r>
      <w:r>
        <w:rPr>
          <w:rFonts w:ascii="Times New Roman" w:hAnsi="Times New Roman"/>
          <w:color w:val="000000"/>
          <w:sz w:val="24"/>
        </w:rPr>
        <w:t>). If the Board so directs, then the Company must enter into the Trust Agreement and must issue to the trust created by such agreement (the “</w:t>
      </w:r>
      <w:r>
        <w:rPr>
          <w:rFonts w:ascii="Times New Roman" w:hAnsi="Times New Roman"/>
          <w:b/>
          <w:color w:val="000000"/>
          <w:sz w:val="24"/>
        </w:rPr>
        <w:t>Trust</w:t>
      </w:r>
      <w:r>
        <w:rPr>
          <w:rFonts w:ascii="Times New Roman" w:hAnsi="Times New Roman"/>
          <w:color w:val="000000"/>
          <w:sz w:val="20"/>
        </w:rPr>
        <w:t>”</w:t>
      </w:r>
      <w:r>
        <w:rPr>
          <w:rFonts w:ascii="Times New Roman" w:hAnsi="Times New Roman"/>
          <w:color w:val="000000"/>
          <w:sz w:val="24"/>
        </w:rPr>
        <w:t>) all of the Common Stock (or other consideration) issuable pursuant to the exchange (or any portion thereof that has not previously been issued in connection with the exchange). From and after the time at which such Common Stock (or other consideration) are issued to the Trust, all stockholders then entitled to receive Common Stock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Insufficient Shares</w:t>
      </w:r>
      <w:r>
        <w:rPr>
          <w:rFonts w:ascii="Times New Roman" w:hAnsi="Times New Roman"/>
          <w:b w:val="false"/>
          <w:color w:val="000000"/>
          <w:sz w:val="24"/>
        </w:rPr>
        <w:t>. If there are not sufficient shares of Common Stock issued but not outstanding or authorized but unissued to permit any exchange of Rights as contemplated in accordance with Section 24(a), then the Company will, at the option of the Board, either (i) take such action as may be necessary to authorize additional shares of Common Stock for issuance upon exchange of the Rights or (ii) with respect to each Right (A) pay cash in an amount equal to the Current Exchange Value in lieu of issuing shares of Common Stock in exchange therefor; (B) issue debt or equity securities (or a combination thereof) having a value equal to the Current Exchange Value in lieu of issuing shares of Common Stock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(C) deliver any combination of cash, property, Common Stock, Preferred Stock, Equivalent Preferred Stock or other securities having a value equal to the Current Exchange Value in exchange for each Right. To the extent that the Company determines that some action need be taken pursuant to this Section 24(c), then the Board may temporarily suspend (with prompt written notice of any suspension provided to the Rights Agent), from time to time for a period not to exceed 180 days following the date on which the Exchange Determination, the exercisability of the Rights in order to seek any authorization of additional shares of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Cash in Lieu of Fractional Shares of Common Stock</w:t>
      </w:r>
      <w:r>
        <w:rPr>
          <w:rFonts w:ascii="Times New Roman" w:hAnsi="Times New Roman"/>
          <w:b w:val="false"/>
          <w:color w:val="000000"/>
          <w:sz w:val="24"/>
        </w:rPr>
        <w:t>. In connection with an Exchange Determination, the Company will not be required to issue fractions of shares of Common Stock or to distribute certificates that evidence fractional shares of Common Stock. In lieu of such fractional shares of Common Stock, the Company may pay to the registered holders of Rights Certificates with regard to which such fractional shares of Common Stock would otherwise be issuable an amount in cash equal to the same fraction of the Current Per Share Market Price of a share of Common Stock, calculated as of the Trading Day immediately prior to the date of the Exchange Determination.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25. </w:t>
      </w:r>
      <w:r>
        <w:rPr>
          <w:rFonts w:ascii="Times New Roman" w:hAnsi="Times New Roman"/>
          <w:i/>
          <w:color w:val="000000"/>
          <w:sz w:val="24"/>
        </w:rPr>
        <w:t>Process to Seek Exemption Prior to Triggering Event</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Waiver Prior to a Stock Acquisition Date</w:t>
      </w:r>
      <w:r>
        <w:rPr>
          <w:rFonts w:ascii="Times New Roman" w:hAnsi="Times New Roman"/>
          <w:b w:val="false"/>
          <w:color w:val="000000"/>
          <w:sz w:val="24"/>
        </w:rPr>
        <w:t>. Any Person who desires to effect any acquisition of shares of Common Stock that would, if consummated, result in such Person beneficially owning the Triggering Percentage or more of the shares of Common Stock then outstanding (such Person, a “</w:t>
      </w:r>
      <w:r>
        <w:rPr>
          <w:rFonts w:ascii="Times New Roman" w:hAnsi="Times New Roman"/>
          <w:color w:val="000000"/>
          <w:sz w:val="24"/>
        </w:rPr>
        <w:t>Requesting Person</w:t>
      </w:r>
      <w:r>
        <w:rPr>
          <w:rFonts w:ascii="Times New Roman" w:hAnsi="Times New Roman"/>
          <w:color w:val="000000"/>
          <w:sz w:val="20"/>
        </w:rPr>
        <w:t>”</w:t>
      </w:r>
      <w:r>
        <w:rPr>
          <w:rFonts w:ascii="Times New Roman" w:hAnsi="Times New Roman"/>
          <w:b w:val="false"/>
          <w:color w:val="000000"/>
          <w:sz w:val="24"/>
        </w:rPr>
        <w:t>) may, prior to the Stock Acquisition Date and in accordance with this Section 25(a), request that the Board grant an exemption with respect to such acquisition under this Plan so that such Person would be deemed to be an Exempt Person pursuant to Section 1(v)(iii) (an “</w:t>
      </w:r>
      <w:r>
        <w:rPr>
          <w:rFonts w:ascii="Times New Roman" w:hAnsi="Times New Roman"/>
          <w:color w:val="000000"/>
          <w:sz w:val="24"/>
        </w:rPr>
        <w:t>Exemption Request</w:t>
      </w:r>
      <w:r>
        <w:rPr>
          <w:rFonts w:ascii="Times New Roman" w:hAnsi="Times New Roman"/>
          <w:color w:val="000000"/>
          <w:sz w:val="20"/>
        </w:rPr>
        <w:t>”</w:t>
      </w:r>
      <w:r>
        <w:rPr>
          <w:rFonts w:ascii="Times New Roman" w:hAnsi="Times New Roman"/>
          <w:b w:val="false"/>
          <w:color w:val="000000"/>
          <w:sz w:val="24"/>
        </w:rPr>
        <w:t>) for purposes of such acquisition. An Exemption Request must be in proper form and must be sent to the Company in accordance with Section 27. An Exemption Request will be deemed made upon receipt by the Company. To be in proper form, an Exemption Request must set forth (i) the name and address of the Requesting Person; (ii) the number and percentage of shares of Common Stock then Beneficially Owned by such Requesting Person, together with all Affiliates and Associates of the Requesting Person; and (iii) a reasonably detailed description of (A) the transaction or transactions by which such Requesting Person would propose to acquire Beneficial Ownership of shares of Common Stock aggregating, with all shares already owned, to the Triggering Percentage or more of the shares of Common Stock then outstanding; and (B) the maximum number and percentage of the shares of Common Stock that such Requesting Person proposes to acquire. The Board will make a determination whether to grant an exemption in response to an Exemption Request as promptly as practicable (and, in any event, within 30 Business Days) after receipt of the Exemption Request by the Company, it being understood that the failure of the Board to make a determination within such period will be deemed to constitute the denial of the Exemption Request by the Board. The Requesting Person must respond promptly to reasonable requests for additional information from the Board and its advisors in order to assist the Board in making its determination. For purposes of considering the Exemption Request, any calculation of the number of shares of Common Stock outstanding at any particular time, including for purposes of determining the particular percentage of such shares of Common Stock outstanding of which any Person is the Beneficial Owner, will be made pursuant to and in accordance with Section 382. The Board will only grant an exemption in response to an Exemption Request if the Board determines, in its sole discretion, that the acquisition of Beneficial Ownership of shares of Common Stock by the Requesting Person (A) will not adversely impact in any material respect the time period in which the Company could use the Tax Benefits or limit or impair the availability of the Tax Benefits to the Company;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an Exemption Request (and the corresponding determination that the Requesting Person is an Exempt Person for purposes of such acquisition)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Any Exemption Request may be submitted on a confidential basis and, except to the extent required by applicable law, the Company will maintain the confidentiality of such Exemption Request and the Board’s determination with respect thereto, unless the information contained in the Exemption Request or the Board’s determination with respect thereto otherwise becomes publicly available. Any Exemption Request will be considered and evaluated by directors serving on the Board who are independent of the Company and the Requesting Person and disinterested with respect to such Exemption Request, and the action of a majority of such independent and disinterested directors will be deemed to be the determination of the Board for purposes of such Exemption Request.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Waiver Following a Stock Acquisition Date</w:t>
      </w:r>
      <w:r>
        <w:rPr>
          <w:rFonts w:ascii="Times New Roman" w:hAnsi="Times New Roman"/>
          <w:b w:val="false"/>
          <w:color w:val="000000"/>
          <w:sz w:val="24"/>
        </w:rPr>
        <w:t>. Following a Stock Acquisition Date and prior to the Distribution Date, the Board may, of its own accord or upon the request of a stockholder (such request, a “</w:t>
      </w:r>
      <w:r>
        <w:rPr>
          <w:rFonts w:ascii="Times New Roman" w:hAnsi="Times New Roman"/>
          <w:color w:val="000000"/>
          <w:sz w:val="24"/>
        </w:rPr>
        <w:t>Waiver Request</w:t>
      </w:r>
      <w:r>
        <w:rPr>
          <w:rFonts w:ascii="Times New Roman" w:hAnsi="Times New Roman"/>
          <w:color w:val="000000"/>
          <w:sz w:val="20"/>
        </w:rPr>
        <w:t>”</w:t>
      </w:r>
      <w:r>
        <w:rPr>
          <w:rFonts w:ascii="Times New Roman" w:hAnsi="Times New Roman"/>
          <w:b w:val="false"/>
          <w:color w:val="000000"/>
          <w:sz w:val="24"/>
        </w:rPr>
        <w:t>), and in accordance with this Section 25(b), grant an exemption with respect to any Acquiring Person under this Plan so that such Acquiring Person would be deemed to be an Exempt Person pursuant to Section 1(v)(iii). A Waiver Request must be in proper form and must be sent to the Company in accordance with Section 27. A Waiver Request will be deemed made upon receipt by the Company. To be in proper form, a Waiver Request must set forth (i) the name and address of the Acquiring Person; (ii) the number and percentage of shares of Common Stock then Beneficially Owned by such Acquiring Person, together with all Affiliates and Associates of such Acquiring Person; and (iii) a reasonably detailed description of (A) the transaction or transactions by which such Acquiring Person acquired Beneficial Ownership of shares of Common Stock aggregating to the Triggering Percentage or more of the shares of Common Stock then outstanding and (B) the maximum number and percentage of shares of Common Stock that such Acquiring Person proposes to acquire. The Board will make a determination whether to grant an exemption in response to a Waiver Request as promptly as practicable (and, in any event, within 30 Business Days) after receipt of the Waiver Request by the Company, it being understood that the failure of the Board to make a determination within such period will be deemed to constitute the denial of the Waiver Request by the Board. The Acquiring Person must respond promptly to reasonable requests for additional information from the Board and its advisors in order to assist the Board in making its determination. For purposes of considering the Waiver Request, any calculation of the number of shares of Common Stock outstanding at any particular time, including for purposes of determining the particular percentage of such shares of Common Stock outstanding of which any Person is the Beneficial Owner, will be made pursuant to and in accordance with Section 382. The Board will only grant an exemption for an Acquiring Person pursuant to this Section 25(b) if the Board determines, in its sole discretion, that the acquisition of Beneficial Ownership of shares of Common Stock by such Acquiring Person (A) will not adversely impact in any material respect the time period in which the Company could use the Tax Benefits or limit or impair the availability to the Company of the Tax Benefits;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this Section 25(b) (and the corresponding determination that such Acquiring Person is an Exempt Person) may be granted in whole or in part, and may be subject to limitations or conditions (including a requirement that such Acquiring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The facts and circumstances with respect to the Triggering Event, including whether to grant an exemption, will be considered and evaluated by directors serving on the Board who are independent of the Company and such Acquiring Person and disinterested with respect to the Triggering Event (and, if applicable, the Waiver Request), and the action of a majority of such independent and disinterested directors will be deemed to be the determination of the Board for purposes of any exemption granted pursuant to this Section 25(b).</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26. </w:t>
      </w:r>
      <w:r>
        <w:rPr>
          <w:rFonts w:ascii="Times New Roman" w:hAnsi="Times New Roman"/>
          <w:i/>
          <w:color w:val="000000"/>
          <w:sz w:val="24"/>
        </w:rPr>
        <w:t>Notice of Certain Events</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Certain Distributions</w:t>
      </w:r>
      <w:r>
        <w:rPr>
          <w:rFonts w:ascii="Times New Roman" w:hAnsi="Times New Roman"/>
          <w:b w:val="false"/>
          <w:color w:val="000000"/>
          <w:sz w:val="24"/>
        </w:rPr>
        <w:t>. If the Company proposes, at any time after the Distribution Date, to (i) declare or pay any dividend payable in stock of any class or series to the holders of shares of Preferred Stock or to make any other distribution to the holders of shares of Preferred Stock (other than a regular quarterly or periodic cash dividend out of earnings or retained earnings of the Company); (ii) offer to the holders of shares of Preferred Stock rights or warrants to subscribe for or to purchase any additional Preferred Stock or shares of stock of any class or series or any other securities, rights or options; (iii) effect any reclassification of the Preferred Stock (other than a reclassification involving only the subdivision of outstanding Preferred Stock); (iv) effect any share exchange, consolidation or merger into or with any other Person (other than a wholly owned Subsidiary of the Company in a transaction that complies with Section 11(m)); (v) effect any sale or other transfer (or permit one or more of its Subsidiaries to effect any sale or other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transfer), in one transaction or a series of related transactions, of more than 50 percent of the assets, cash flow or earning power of the Company and its Subsidiaries (taken as a whole) to any other Person; (vi) effect the liquidation, dissolution or winding up of the Company; (vii) declare or pay any dividend on the Common Stock payable in shares of Common Stock; or (viii) effect a subdivision, combination or consolidation of the Common Stock (by reclassification or otherwise than by payment of dividends in shares of Common Stock), then, in each such case, the Company will give written notice of such proposed action to the Rights Agent and the holders of Rights Certificates in accordance with Section 27, which notice must specify the record date for the purposes of such stock dividend, distribution of rights or warrants, or the date on which such subdivision, combination, reclassification, share exchange, consolidation, merger, sale, transfer, liquidation, dissolution or winding up is to take place and the date of participation therein by the holders of shares of Preferred Stock or Common Stock, if any such date is to be fixed, and such notice must be so given in the case of any action covered by clause (i) or (ii) above at least 10 Business Days prior to but not including the record date for determining holders of shares of Preferred Stock for purposes of such action, and in the case of any such other action, at least 10 Business Days prior to but not including the date of the taking of such proposed action or the date of participation therein by the holders of shares of Preferred Stock or Common Stock, whichever is earlier.</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Certain Events</w:t>
      </w:r>
      <w:r>
        <w:rPr>
          <w:rFonts w:ascii="Times New Roman" w:hAnsi="Times New Roman"/>
          <w:b w:val="false"/>
          <w:color w:val="000000"/>
          <w:sz w:val="24"/>
        </w:rPr>
        <w:t>. If a Triggering Event has occurred, then (i) the Company will as soon as practicable thereafter give, or cause to be given, to the Rights Agent and each holder of Rights Certificates a notice in accordance with Section 27 of the occurrence of such Triggering Event, which notice must specify the event and the consequences of the event to holders of Rights pursuant to Section 11(a)(ii) or Section 13, as applicable; and (ii) all references in this Section 26 to Preferred Stock will thereafter be deemed to be references to Common Stock or, if appropriate, other securities.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27. </w:t>
      </w:r>
      <w:r>
        <w:rPr>
          <w:rFonts w:ascii="Times New Roman" w:hAnsi="Times New Roman"/>
          <w:i/>
          <w:color w:val="000000"/>
          <w:sz w:val="24"/>
        </w:rPr>
        <w:t>Notices</w:t>
      </w:r>
      <w:r>
        <w:rPr>
          <w:rFonts w:ascii="Times New Roman" w:hAnsi="Times New Roman"/>
          <w:color w:val="000000"/>
          <w:sz w:val="24"/>
        </w:rPr>
        <w:t>. Notices or demands authorized by this Plan to be given or made by the Rights Agent or by the holder of any Rights Certificate (or, prior to the Distribution Date, of any share of Common Stock) to or on the Company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 either by email or any other method described in this Section 27 (excluding “out of office” or other automated replies)), addressed (in each case, until another address is filed in writing with the Rights Agent by the Company)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Seer, Inc.</w:t>
      </w:r>
    </w:p>
    <w:p>
      <w:pPr>
        <w:pStyle w:val="TextBody"/>
        <w:bidi w:val="0"/>
        <w:jc w:val="left"/>
        <w:rPr>
          <w:rFonts w:ascii="Times New Roman" w:hAnsi="Times New Roman"/>
          <w:color w:val="000000"/>
          <w:sz w:val="24"/>
        </w:rPr>
      </w:pPr>
      <w:r>
        <w:rPr>
          <w:rFonts w:ascii="Times New Roman" w:hAnsi="Times New Roman"/>
          <w:color w:val="000000"/>
          <w:sz w:val="24"/>
        </w:rPr>
        <w:t>3800 Bridge Parkway, Suite 102</w:t>
      </w:r>
    </w:p>
    <w:p>
      <w:pPr>
        <w:pStyle w:val="TextBody"/>
        <w:bidi w:val="0"/>
        <w:jc w:val="left"/>
        <w:rPr>
          <w:rFonts w:ascii="Times New Roman" w:hAnsi="Times New Roman"/>
          <w:color w:val="000000"/>
          <w:sz w:val="24"/>
        </w:rPr>
      </w:pPr>
      <w:r>
        <w:rPr>
          <w:rFonts w:ascii="Times New Roman" w:hAnsi="Times New Roman"/>
          <w:color w:val="000000"/>
          <w:sz w:val="24"/>
        </w:rPr>
        <w:t>Redwood City, CA 94065</w:t>
      </w:r>
    </w:p>
    <w:p>
      <w:pPr>
        <w:pStyle w:val="TextBody"/>
        <w:bidi w:val="0"/>
        <w:jc w:val="left"/>
        <w:rPr>
          <w:rFonts w:ascii="Times New Roman" w:hAnsi="Times New Roman"/>
          <w:color w:val="000000"/>
          <w:sz w:val="24"/>
        </w:rPr>
      </w:pPr>
      <w:r>
        <w:rPr>
          <w:rFonts w:ascii="Times New Roman" w:hAnsi="Times New Roman"/>
          <w:color w:val="000000"/>
          <w:sz w:val="24"/>
        </w:rPr>
        <w:t>Attn: Chief Executive Officer</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 a copy (which will not constitute notice)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Wilson Sonsini Goodrich &amp; Rosati</w:t>
      </w:r>
    </w:p>
    <w:p>
      <w:pPr>
        <w:pStyle w:val="TextBody"/>
        <w:bidi w:val="0"/>
        <w:jc w:val="left"/>
        <w:rPr>
          <w:rFonts w:ascii="Times New Roman" w:hAnsi="Times New Roman"/>
          <w:color w:val="000000"/>
          <w:sz w:val="24"/>
        </w:rPr>
      </w:pPr>
      <w:r>
        <w:rPr>
          <w:rFonts w:ascii="Times New Roman" w:hAnsi="Times New Roman"/>
          <w:color w:val="000000"/>
          <w:sz w:val="24"/>
        </w:rPr>
        <w:t>Professional Corporation</w:t>
      </w:r>
    </w:p>
    <w:p>
      <w:pPr>
        <w:pStyle w:val="TextBody"/>
        <w:bidi w:val="0"/>
        <w:jc w:val="left"/>
        <w:rPr>
          <w:rFonts w:ascii="Times New Roman" w:hAnsi="Times New Roman"/>
          <w:color w:val="000000"/>
          <w:sz w:val="24"/>
        </w:rPr>
      </w:pPr>
      <w:r>
        <w:rPr>
          <w:rFonts w:ascii="Times New Roman" w:hAnsi="Times New Roman"/>
          <w:color w:val="000000"/>
          <w:sz w:val="24"/>
        </w:rPr>
        <w:t>650 Page Mill Road</w:t>
      </w:r>
    </w:p>
    <w:p>
      <w:pPr>
        <w:pStyle w:val="TextBody"/>
        <w:bidi w:val="0"/>
        <w:jc w:val="left"/>
        <w:rPr>
          <w:rFonts w:ascii="Times New Roman" w:hAnsi="Times New Roman"/>
          <w:color w:val="000000"/>
          <w:sz w:val="24"/>
        </w:rPr>
      </w:pPr>
      <w:r>
        <w:rPr>
          <w:rFonts w:ascii="Times New Roman" w:hAnsi="Times New Roman"/>
          <w:color w:val="000000"/>
          <w:sz w:val="24"/>
        </w:rPr>
        <w:t>Palo Alto, CA 94304-1050</w:t>
      </w:r>
    </w:p>
    <w:p>
      <w:pPr>
        <w:pStyle w:val="TextBody"/>
        <w:bidi w:val="0"/>
        <w:jc w:val="left"/>
        <w:rPr>
          <w:rFonts w:ascii="Times New Roman" w:hAnsi="Times New Roman"/>
          <w:color w:val="000000"/>
          <w:sz w:val="24"/>
        </w:rPr>
      </w:pPr>
      <w:r>
        <w:rPr>
          <w:rFonts w:ascii="Times New Roman" w:hAnsi="Times New Roman"/>
          <w:color w:val="000000"/>
          <w:sz w:val="24"/>
        </w:rPr>
        <w:t>Attn: Tony Jeffries</w:t>
      </w:r>
    </w:p>
    <w:p>
      <w:pPr>
        <w:pStyle w:val="TextBody"/>
        <w:bidi w:val="0"/>
        <w:jc w:val="left"/>
        <w:rPr>
          <w:rFonts w:ascii="Times New Roman" w:hAnsi="Times New Roman"/>
          <w:color w:val="000000"/>
          <w:sz w:val="24"/>
        </w:rPr>
      </w:pPr>
      <w:r>
        <w:rPr>
          <w:rFonts w:ascii="Times New Roman" w:hAnsi="Times New Roman"/>
          <w:color w:val="000000"/>
          <w:sz w:val="24"/>
        </w:rPr>
        <w:t>Christina Poulsen</w:t>
      </w:r>
    </w:p>
    <w:p>
      <w:pPr>
        <w:pStyle w:val="TextBody"/>
        <w:bidi w:val="0"/>
        <w:jc w:val="left"/>
        <w:rPr>
          <w:rFonts w:ascii="Times New Roman" w:hAnsi="Times New Roman"/>
          <w:color w:val="000000"/>
          <w:sz w:val="24"/>
        </w:rPr>
      </w:pPr>
      <w:r>
        <w:rPr>
          <w:rFonts w:ascii="Times New Roman" w:hAnsi="Times New Roman"/>
          <w:color w:val="000000"/>
          <w:sz w:val="24"/>
        </w:rPr>
        <w:t>Douglas K. Schnell</w:t>
      </w:r>
    </w:p>
    <w:p>
      <w:pPr>
        <w:pStyle w:val="TextBody"/>
        <w:bidi w:val="0"/>
        <w:jc w:val="left"/>
        <w:rPr>
          <w:rFonts w:ascii="Times New Roman" w:hAnsi="Times New Roman"/>
          <w:color w:val="000000"/>
          <w:sz w:val="24"/>
        </w:rPr>
      </w:pPr>
      <w:r>
        <w:rPr>
          <w:rFonts w:ascii="Times New Roman" w:hAnsi="Times New Roman"/>
          <w:color w:val="000000"/>
          <w:sz w:val="24"/>
        </w:rPr>
        <w:t>Email: [***],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Subject to the provisions of Section 21, any notice or demand authorized by this Plan to be given or made by the Company or by the holder of any Rights Certificate (or, prior to the Distribution Date, of any Common Stock) to or on the Rights Agent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 either by email or any other method described in this Section 27 (excluding “out of office” or other automated replies)), addressed (in each case, until another address is filed in writing with the Company by the Rights Agent)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Computershare Trust Company, N.A.</w:t>
      </w:r>
    </w:p>
    <w:p>
      <w:pPr>
        <w:pStyle w:val="TextBody"/>
        <w:bidi w:val="0"/>
        <w:jc w:val="left"/>
        <w:rPr>
          <w:rFonts w:ascii="Times New Roman" w:hAnsi="Times New Roman"/>
          <w:color w:val="000000"/>
          <w:sz w:val="24"/>
        </w:rPr>
      </w:pPr>
      <w:r>
        <w:rPr>
          <w:rFonts w:ascii="Times New Roman" w:hAnsi="Times New Roman"/>
          <w:color w:val="000000"/>
          <w:sz w:val="24"/>
        </w:rPr>
        <w:t>150 Royall Street</w:t>
      </w:r>
    </w:p>
    <w:p>
      <w:pPr>
        <w:pStyle w:val="TextBody"/>
        <w:bidi w:val="0"/>
        <w:jc w:val="left"/>
        <w:rPr>
          <w:rFonts w:ascii="Times New Roman" w:hAnsi="Times New Roman"/>
          <w:sz w:val="20"/>
        </w:rPr>
      </w:pPr>
      <w:r>
        <w:rPr>
          <w:rFonts w:ascii="Times New Roman" w:hAnsi="Times New Roman"/>
          <w:color w:val="000000"/>
          <w:sz w:val="24"/>
        </w:rPr>
        <w:t>Canton, MA 02021</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Attn: Client Services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Notices or demands authorized by this Plan to be given or made by the Company or the Rights Agent to the holders of Rights or Rights Certificates (or, if prior to the Distribution Date, to the holders of shares of Common Stock) will be sufficiently given or made if in writing and sent by a recognized national overnight delivery service or first-class mail, postage prepaid, addressed to such holder at the address of such holder as shown on the transfer books of the Rights Agent or the Company or the transfer agent for the Common Stock. Any notice that is sent or mailed in the manner provided in this Section 27 will be deemed given whether or not the holder receives the notice. Notwithstanding anything to the contrary in this Plan, prior to the Distribution Date, the issuance of a press release or the making of a publicly available filing by the Company with the SEC will constitute sufficient notice by the Rights Agent or the Company to the holders of securities of the Company, including the Rights, for all purposes of this Plan and no other notice need be given.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28. </w:t>
      </w:r>
      <w:r>
        <w:rPr>
          <w:rFonts w:ascii="Times New Roman" w:hAnsi="Times New Roman"/>
          <w:i/>
          <w:color w:val="000000"/>
          <w:sz w:val="24"/>
        </w:rPr>
        <w:t>Supplements and Amendments</w:t>
      </w:r>
      <w:r>
        <w:rPr>
          <w:rFonts w:ascii="Times New Roman" w:hAnsi="Times New Roman"/>
          <w:color w:val="000000"/>
          <w:sz w:val="24"/>
        </w:rPr>
        <w:t>. For so long as the Rights are redeemable, the Company may in its sole discretion supplement or amend this Plan in any respect without the approval of any holders of Rights Certificates, Preferred Stock or Common Stock, and the Rights Agent must, if the Company so directs, execute such supplement or amendment. At any time when the Rights are not redeemable, the Company and the Rights Agent may from time to time supplement or amend this Plan without the approval of any holders of Rights Certificates in 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or (iv) change or supplement the provisions of this Plan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 However, this Plan may not be supplemented or amended to lengthen, pursuant to clause (iii) of the previous sentence, a time period relating to when the Rights may be redeemed at a time when the Rights are not then redeemable, it being understood that that the right of the Board to extend the Distribution Date does not require any amendment or supplement. No supplement or amendment to this Plan shall be effective unless duly executed by the Rights Agent and the Company. The Rights Agent will duly execute and deliver any supplement or amendment hereto requested by the Company in writing, provided that the Company has delivered to the Rights Agent a certificate from an Appropriate Officer that states that the proposed supplement or amendment is in compliance with the terms of this Section 28. Notwithstanding anything to the contrary in this Plan, the Rights Agent may, but will not be required to, execute any supplement or amendment that adversely affects its rights, duties, obligations or immunities pursuant to this Plan. Prior to the Distribution Date, the interests of the holders of Rights and Rights Certificates will be deemed to be coincident with the interests of the holders of shares of Common Stock.</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29. </w:t>
      </w:r>
      <w:r>
        <w:rPr>
          <w:rFonts w:ascii="Times New Roman" w:hAnsi="Times New Roman"/>
          <w:i/>
          <w:color w:val="000000"/>
          <w:sz w:val="24"/>
        </w:rPr>
        <w:t>Successors</w:t>
      </w:r>
      <w:r>
        <w:rPr>
          <w:rFonts w:ascii="Times New Roman" w:hAnsi="Times New Roman"/>
          <w:color w:val="000000"/>
          <w:sz w:val="24"/>
        </w:rPr>
        <w:t>. All the covenants and provisions of this Plan by or for the benefit of the Company or the Rights Agent will bind and inure to the benefit of their respective successors and assigns.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 </w:t>
      </w:r>
      <w:r>
        <w:rPr>
          <w:rFonts w:ascii="Times New Roman" w:hAnsi="Times New Roman"/>
          <w:i/>
          <w:color w:val="000000"/>
          <w:sz w:val="24"/>
        </w:rPr>
        <w:t>Determinations and Actions by the Board</w:t>
      </w:r>
      <w:r>
        <w:rPr>
          <w:rFonts w:ascii="Times New Roman" w:hAnsi="Times New Roman"/>
          <w:color w:val="000000"/>
          <w:sz w:val="24"/>
        </w:rPr>
        <w:t>. The Board (or an authorized committee thereof) has the exclusive power and authority to administer this Plan and to exercise all rights and powers specifically granted to the Board or the Company pursuant to this Plan, or as may be necessary or advisable in the administration of this Plan, including the right and power to (a) interpret the provisions of this Plan and (b) make all determinations deemed necessary or advisable for the administration of this Plan (including a determination as to whether to redeem the Rights or to amend or supplement this Plan). Without limiting any of the rights and immunities of the Rights Agent,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the holders of Rights Certificates and all other Persons; and (ii) not subject the Board (or an authorized committee thereof) or any of the directors serving on the Board (or an authorized committee thereof) to any liability to any Person, including the Rights Agent and the holders of Rights Certificates. In administering this Plan and exercising the rights and powers specifically granted to the Board and to the Company, and in interpreting this Plan and making any determination under this Plan,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31. </w:t>
      </w:r>
      <w:r>
        <w:rPr>
          <w:rFonts w:ascii="Times New Roman" w:hAnsi="Times New Roman"/>
          <w:i/>
          <w:color w:val="000000"/>
          <w:sz w:val="24"/>
        </w:rPr>
        <w:t>Benefits of this Plan</w:t>
      </w:r>
      <w:r>
        <w:rPr>
          <w:rFonts w:ascii="Times New Roman" w:hAnsi="Times New Roman"/>
          <w:color w:val="000000"/>
          <w:sz w:val="24"/>
        </w:rPr>
        <w:t>. Nothing in this Plan may be construed to give to any Person other than the Company, the Rights Agent and the registered holders of Rights Certificates (and, prior to the Distribution Date, the registered holders of shares of Common Stock) any legal or equitable right, remedy or claim pursuant to this Plan. This Plan is for the sole and exclusive benefit of the Company, the Rights Agent and the registered holders of Rights Certificates (and, prior to the Distribution Date, the registered holders of shares of Common Stock).</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32. </w:t>
      </w:r>
      <w:r>
        <w:rPr>
          <w:rFonts w:ascii="Times New Roman" w:hAnsi="Times New Roman"/>
          <w:i/>
          <w:color w:val="000000"/>
          <w:sz w:val="24"/>
        </w:rPr>
        <w:t>Severability</w:t>
      </w:r>
      <w:r>
        <w:rPr>
          <w:rFonts w:ascii="Times New Roman" w:hAnsi="Times New Roman"/>
          <w:color w:val="000000"/>
          <w:sz w:val="24"/>
        </w:rPr>
        <w:t>. If any term, provision, covenant or restriction of this Plan is held by a court of competent jurisdiction or other authority to be invalid, void or unenforceable, then the remainder of the terms, provisions, covenants and restrictions of this Plan will remain in full force and effect and will in no way be affected, impaired or invalidated; provided, however, that if such invalidity, voidance or unenforceability shall materially and adversely affect the rights, immunities, liabilities, duties or obligations of the Rights Agent, then the Rights Agent will be entitled to resign immediately upon written notice to the Company. Notwithstanding anything to the contrary in this Plan, if any such term, provision, covenant or restriction is held by such court or authority to be invalid, void or unenforceable and the Board determines in its good faith judgment that severing the invalid language from this Plan would adversely affect the purpose or effect of this Plan, then the right of redemption set forth in Section 23 will be reinstated and will not expire until the Close of Business on the 10th Business Day following the date of such determination by the Board.</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33. </w:t>
      </w:r>
      <w:r>
        <w:rPr>
          <w:rFonts w:ascii="Times New Roman" w:hAnsi="Times New Roman"/>
          <w:i/>
          <w:color w:val="000000"/>
          <w:sz w:val="24"/>
        </w:rPr>
        <w:t>Governing Law; Exclusive Jurisdiction; Waiver of Jury Trial</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Governing Law</w:t>
      </w:r>
      <w:r>
        <w:rPr>
          <w:rFonts w:ascii="Times New Roman" w:hAnsi="Times New Roman"/>
          <w:b w:val="false"/>
          <w:color w:val="000000"/>
          <w:sz w:val="24"/>
        </w:rPr>
        <w:t>. This Plan, each Right and each Rights Certificate, and all claims or causes of action (whether in contract or in tort or otherwise, or whether at law (including at common law or by statute) or in equity) that may be based on, arise out of or relate to this Plan, each Right and each Rights Certificate, or the negotiation, execution, performance or subject matter of this Plan, will be governed by and construed in accordance with the laws of the State of Delaware.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Exclusive Jurisdiction</w:t>
      </w:r>
      <w:r>
        <w:rPr>
          <w:rFonts w:ascii="Times New Roman" w:hAnsi="Times New Roman"/>
          <w:b w:val="false"/>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The Company, the Rights Agent and the registered holders of Rights Certificates (and, prior to the Distribution Date, the registered holders of shares of Common Stock) each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Plan. The Company, the Rights Agent and the registered holders of Rights Certificates (and, prior to the Distribution Date, the registered holders of shares of Common Stock) each acknowledge that the forum designated by this Section 33(b)(i) has a reasonable relation to this Plan and to such Persons’ relationship with one another.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The Company, the Rights Agent and the registered holders of Rights Certificates (and, prior to the Distribution Date, the registered holders of shares of Common Stock) each waive, to the fullest extent permitted by applicable law, any objection that they now or may in the future have to personal jurisdiction or to the laying of venue of any such suit, action or proceeding brought in any court referred to in Section 33(b)(i) (or the appellate courts thereof). The Company, the Rights Agent and the registered holders of Rights Certificates (and, prior to the Distribution Date, the registered holders of shares of Common Stock) each undertake not to commence any action subject to this Plan in any forum other than the forum described in Section 33(b)(i). The Company, the Rights Agent and the registered holders of Rights Certificates (and, prior to the Distribution Date, the registered holders of shares of Common Stock) each agree that, to the fullest extent permitted by applicable law, a final and non-appealable judgment in any such suit, action or proceeding brought in any such court will be conclusive and binding upon such Persons.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Wavier of Jury Trial</w:t>
      </w:r>
      <w:r>
        <w:rPr>
          <w:rFonts w:ascii="Times New Roman" w:hAnsi="Times New Roman"/>
          <w:b w:val="false"/>
          <w:color w:val="000000"/>
          <w:sz w:val="24"/>
        </w:rPr>
        <w:t>. THE COMPANY, THE RIGHTS AGENT AND THE REGISTERED HOLDERS OF RIGHTS CERTIFICATES (AND, PRIOR TO THE DISTRIBUTION DATE, THE REGISTERED HOLDERS OF SHARES OF COMMON STOCK) EACH IRREVOCABLY WAIVES ALL RIGHT TO TRIAL BY JURY IN ANY ACTION, PROCEEDING OR COUNTERCLAIM ARISING OUT OF THIS PLAN.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34. </w:t>
      </w:r>
      <w:r>
        <w:rPr>
          <w:rFonts w:ascii="Times New Roman" w:hAnsi="Times New Roman"/>
          <w:i/>
          <w:color w:val="000000"/>
          <w:sz w:val="24"/>
        </w:rPr>
        <w:t>Counterparts</w:t>
      </w:r>
      <w:r>
        <w:rPr>
          <w:rFonts w:ascii="Times New Roman" w:hAnsi="Times New Roman"/>
          <w:color w:val="000000"/>
          <w:sz w:val="24"/>
        </w:rPr>
        <w:t>. This Plan and any supplements or amendments to this Plan may be executed in any number of counterparts and each such counterpart will for all purposes be deemed to be an original, and all such counterparts will together constitute one and the same instrument, it being understood that all parties need not sign the same counterpart. A signature to this Plan transmitted electronically (including by fax and .pdf) will have the same authority, effect and enforceability as an original signature. No Party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35. </w:t>
      </w:r>
      <w:r>
        <w:rPr>
          <w:rFonts w:ascii="Times New Roman" w:hAnsi="Times New Roman"/>
          <w:i/>
          <w:color w:val="000000"/>
          <w:sz w:val="24"/>
        </w:rPr>
        <w:t>Interpretation</w:t>
      </w:r>
      <w:r>
        <w:rPr>
          <w:rFonts w:ascii="Times New Roman" w:hAnsi="Times New Roman"/>
          <w:color w:val="000000"/>
          <w:sz w:val="24"/>
        </w:rPr>
        <w: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References to this Plan</w:t>
      </w:r>
      <w:r>
        <w:rPr>
          <w:rFonts w:ascii="Times New Roman" w:hAnsi="Times New Roman"/>
          <w:b w:val="false"/>
          <w:color w:val="000000"/>
          <w:sz w:val="24"/>
        </w:rPr>
        <w:t>. Unless the context of this Plan otherwise requires, (i) when a reference is made in this Plan to an Article, Section, Schedule or Exhibit, that reference is to an Article, Section, Schedule or Exhibit to this Plan, as applicable, and (ii) references to “paragraphs” or “clauses” are to separate paragraphs or clauses of the Section or subsection in which the reference occurs. All Exhibits attached to this Plan or referred to in this Plan are incorporated in and made a part of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Hereof, Including, etc</w:t>
      </w:r>
      <w:r>
        <w:rPr>
          <w:rFonts w:ascii="Times New Roman" w:hAnsi="Times New Roman"/>
          <w:b w:val="false"/>
          <w:color w:val="000000"/>
          <w:sz w:val="24"/>
        </w:rPr>
        <w:t>. When used in this Plan, (i) the words “hereof,” “herein” and “herewith” and words of similar import will, unless otherwise stated, be construed to refer to this Plan as a whole and not to any particular provision of this Plan; and (ii) the words “include,” “includes” and “including” will be deemed in each case to be followed by the words “without limitation.”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Neither, etc. Not Exclusive</w:t>
      </w:r>
      <w:r>
        <w:rPr>
          <w:rFonts w:ascii="Times New Roman" w:hAnsi="Times New Roman"/>
          <w:b w:val="false"/>
          <w:color w:val="000000"/>
          <w:sz w:val="24"/>
        </w:rPr>
        <w:t>. Unless the context of this Plan otherwise requires, “neither,” “nor,” “any,” “either” and “or” are not exclusive.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i/>
          <w:color w:val="000000"/>
          <w:sz w:val="24"/>
        </w:rPr>
        <w:t>Extent</w:t>
      </w:r>
      <w:r>
        <w:rPr>
          <w:rFonts w:ascii="Times New Roman" w:hAnsi="Times New Roman"/>
          <w:b w:val="false"/>
          <w:color w:val="000000"/>
          <w:sz w:val="24"/>
        </w:rPr>
        <w:t>. The word “extent” in the phrase “to the extent” means the degree to which a subject or other thing extends, and does not simply mean “if.”</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i/>
          <w:color w:val="000000"/>
          <w:sz w:val="24"/>
        </w:rPr>
        <w:t>Dollars</w:t>
      </w:r>
      <w:r>
        <w:rPr>
          <w:rFonts w:ascii="Times New Roman" w:hAnsi="Times New Roman"/>
          <w:b w:val="false"/>
          <w:color w:val="000000"/>
          <w:sz w:val="24"/>
        </w:rPr>
        <w:t>. When used in this Plan, references to “$” or “Dollars” are references to U.S. dollars.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i/>
          <w:color w:val="000000"/>
          <w:sz w:val="24"/>
        </w:rPr>
        <w:t>Gender and Number</w:t>
      </w:r>
      <w:r>
        <w:rPr>
          <w:rFonts w:ascii="Times New Roman" w:hAnsi="Times New Roman"/>
          <w:b w:val="false"/>
          <w:color w:val="000000"/>
          <w:sz w:val="24"/>
        </w:rPr>
        <w:t>. The meaning assigned to each capitalized term defined and used in this Plan is equally applicable to both the singular and the plural forms of such term, and words denoting any gender include all genders. Where a word or phrase is defined in this Plan, each of its other grammatical forms has a corresponding meaning. All terms defined in this Plan will have the defined meanings when used in any certificate or other document made or delivered pursuant to this Plan unless otherwise defined in such certificate or document.</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i/>
          <w:color w:val="000000"/>
          <w:sz w:val="24"/>
        </w:rPr>
        <w:t>References to Parties</w:t>
      </w:r>
      <w:r>
        <w:rPr>
          <w:rFonts w:ascii="Times New Roman" w:hAnsi="Times New Roman"/>
          <w:b w:val="false"/>
          <w:color w:val="000000"/>
          <w:sz w:val="24"/>
        </w:rPr>
        <w:t>. References to any Person include references to such Person’s successors and permitted assigns, and, in the case of any governmental authority, to any Person succeeding to its functions and capacities.</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(h) </w:t>
      </w:r>
      <w:r>
        <w:rPr>
          <w:rFonts w:ascii="Times New Roman" w:hAnsi="Times New Roman"/>
          <w:b w:val="false"/>
          <w:i/>
          <w:color w:val="000000"/>
          <w:sz w:val="24"/>
        </w:rPr>
        <w:t>References to Writings</w:t>
      </w:r>
      <w:r>
        <w:rPr>
          <w:rFonts w:ascii="Times New Roman" w:hAnsi="Times New Roman"/>
          <w:b w:val="false"/>
          <w:color w:val="000000"/>
          <w:sz w:val="24"/>
        </w:rPr>
        <w:t>. References to “writing” mean the representation or reproduction of words, symbols or other information in a visible form by any method or combination of methods, whether in electronic form or otherwise. “Written” will be construed in the same manner.</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i/>
          <w:color w:val="000000"/>
          <w:sz w:val="24"/>
        </w:rPr>
        <w:t>Legislation</w:t>
      </w:r>
      <w:r>
        <w:rPr>
          <w:rFonts w:ascii="Times New Roman" w:hAnsi="Times New Roman"/>
          <w:b w:val="false"/>
          <w:color w:val="000000"/>
          <w:sz w:val="24"/>
        </w:rPr>
        <w:t>. Unless otherwise explicitly stated, a reference to any specific legislation or to any provision of any legislation includes any amendment to, and any modification, re-enactment or successor thereof, any legislative provision substituted therefor and all rules, regulations and statutory instruments (and successors or replacements) issued thereunder or pursuant thereto.</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(j) </w:t>
      </w:r>
      <w:r>
        <w:rPr>
          <w:rFonts w:ascii="Times New Roman" w:hAnsi="Times New Roman"/>
          <w:b w:val="false"/>
          <w:i/>
          <w:color w:val="000000"/>
          <w:sz w:val="24"/>
        </w:rPr>
        <w:t>Headings</w:t>
      </w:r>
      <w:r>
        <w:rPr>
          <w:rFonts w:ascii="Times New Roman" w:hAnsi="Times New Roman"/>
          <w:b w:val="false"/>
          <w:color w:val="000000"/>
          <w:sz w:val="24"/>
        </w:rPr>
        <w:t>. The table of contents and headings set forth in this Plan are for convenience of reference purposes only and will not affect or be deemed to affect in any way the meaning or interpretation of this Plan or any term or provision of this Plan.</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(k) </w:t>
      </w:r>
      <w:r>
        <w:rPr>
          <w:rFonts w:ascii="Times New Roman" w:hAnsi="Times New Roman"/>
          <w:b w:val="false"/>
          <w:i/>
          <w:color w:val="000000"/>
          <w:sz w:val="24"/>
        </w:rPr>
        <w:t>Calculation of Time Periods</w:t>
      </w:r>
      <w:r>
        <w:rPr>
          <w:rFonts w:ascii="Times New Roman" w:hAnsi="Times New Roman"/>
          <w:b w:val="false"/>
          <w:color w:val="000000"/>
          <w:sz w:val="24"/>
        </w:rPr>
        <w:t>. Unless otherwise indicated, (i) when calculating the period of time before which, within which or following which any act is to be done or step taken pursuant to this Plan, the date that is the reference date in calculating such period will be excluded; (ii) if the last day of such period is not a Business Day, then the period in question will end on the next Business Day; (iii) the measure of a period of one month or year for purposes of this Plan will be the day of the following month or year corresponding to the starting date; and (iv)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(l) </w:t>
      </w:r>
      <w:r>
        <w:rPr>
          <w:rFonts w:ascii="Times New Roman" w:hAnsi="Times New Roman"/>
          <w:b w:val="false"/>
          <w:i/>
          <w:color w:val="000000"/>
          <w:sz w:val="24"/>
        </w:rPr>
        <w:t>Nature of Days and Months</w:t>
      </w:r>
      <w:r>
        <w:rPr>
          <w:rFonts w:ascii="Times New Roman" w:hAnsi="Times New Roman"/>
          <w:b w:val="false"/>
          <w:color w:val="000000"/>
          <w:sz w:val="24"/>
        </w:rPr>
        <w:t>. Whenever this Plan refers to a number of days, that number will refer to calendar days unless Business Days are specified. Any reference to a “month” means a calendar month.</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(m) </w:t>
      </w:r>
      <w:r>
        <w:rPr>
          <w:rFonts w:ascii="Times New Roman" w:hAnsi="Times New Roman"/>
          <w:b w:val="false"/>
          <w:i/>
          <w:color w:val="000000"/>
          <w:sz w:val="24"/>
        </w:rPr>
        <w:t>Summaries</w:t>
      </w:r>
      <w:r>
        <w:rPr>
          <w:rFonts w:ascii="Times New Roman" w:hAnsi="Times New Roman"/>
          <w:b w:val="false"/>
          <w:color w:val="000000"/>
          <w:sz w:val="24"/>
        </w:rPr>
        <w:t>. No summary of this Plan or any Exhibit, Schedule or other document delivered with this Plan will affect the meaning or interpretation of this Plan or such Exhibit, Schedule or document.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 xml:space="preserve">(n) </w:t>
      </w:r>
      <w:r>
        <w:rPr>
          <w:rFonts w:ascii="Times New Roman" w:hAnsi="Times New Roman"/>
          <w:b w:val="false"/>
          <w:i/>
          <w:color w:val="000000"/>
          <w:sz w:val="24"/>
        </w:rPr>
        <w:t>Calculation of Outstanding Shares</w:t>
      </w:r>
      <w:r>
        <w:rPr>
          <w:rFonts w:ascii="Times New Roman" w:hAnsi="Times New Roman"/>
          <w:b w:val="false"/>
          <w:color w:val="000000"/>
          <w:sz w:val="24"/>
        </w:rPr>
        <w:t>. For all purposes of this Plan, any calculation of the number of shares of Common Stock outstanding at any particular time, including for purposes of determining the particular percentage of the outstanding shares of Common Stock of which any Person is the Beneficial Owner, will include the number of shares of Common Stock not outstanding at the time of such calculation that such Person is otherwise deemed to Beneficially Own for purposes of this Plan, but the number of shares of Common Stock not outstanding that such Person is otherwise deemed to Beneficially Own for purposes of this Plan will not be deemed to be outstanding for the purpose of computing the percentage of outstanding shares of Common Stock that are Beneficially Owned by any other Person (unless such other Person is also otherwise deemed to Beneficially Own, for purposes of this Plan, such shares of Common Stock not outstanding).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36. </w:t>
      </w:r>
      <w:r>
        <w:rPr>
          <w:rFonts w:ascii="Times New Roman" w:hAnsi="Times New Roman"/>
          <w:i/>
          <w:color w:val="000000"/>
          <w:sz w:val="24"/>
        </w:rPr>
        <w:t>Costs of Enforcement</w:t>
      </w:r>
      <w:r>
        <w:rPr>
          <w:rFonts w:ascii="Times New Roman" w:hAnsi="Times New Roman"/>
          <w:color w:val="000000"/>
          <w:sz w:val="24"/>
        </w:rPr>
        <w:t>. The Company agrees with each registered holder of Rights Certificates (and, prior to the Distribution Date, the registered holders of shares of Common Stock) that if the Company or any other Person the securities of which are purchasable upon exercise of the Rights fails to fulfill any of its obligations pursuant to this Plan, then the Company or such Person must reimburse any registered holder of Rights Certificates for the costs and expenses (including legal fees) incurred by such holder in any action to enforce such holder’s rights pursuant to any Right or this Plan.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37. </w:t>
      </w:r>
      <w:r>
        <w:rPr>
          <w:rFonts w:ascii="Times New Roman" w:hAnsi="Times New Roman"/>
          <w:i/>
          <w:color w:val="000000"/>
          <w:sz w:val="24"/>
        </w:rPr>
        <w:t>Force Majeure</w:t>
      </w:r>
      <w:r>
        <w:rPr>
          <w:rFonts w:ascii="Times New Roman" w:hAnsi="Times New Roman"/>
          <w:color w:val="000000"/>
          <w:sz w:val="24"/>
        </w:rPr>
        <w:t>. Notwithstanding anything to the contrary in this Plan, the Rights Agent will not be liable for any delays or failures in performance resulting from acts beyond its reasonable control, including fires, floods, natural disasters, acts of God, epidemics, pandemics, terrorist acts, shortage of supply, legal restrictions, breakdowns or malfunctions, interruptions or malfunction of computer facilities, or loss of data due to power failures or mechanical difficulties with information storage or retrieval systems, labor difficulties, war or civil unrest.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38. </w:t>
      </w:r>
      <w:r>
        <w:rPr>
          <w:rFonts w:ascii="Times New Roman" w:hAnsi="Times New Roman"/>
          <w:i/>
          <w:color w:val="000000"/>
          <w:sz w:val="24"/>
        </w:rPr>
        <w:t>USA PATRIOT</w:t>
      </w:r>
      <w:r>
        <w:rPr>
          <w:rFonts w:ascii="Times New Roman" w:hAnsi="Times New Roman"/>
          <w:color w:val="000000"/>
          <w:sz w:val="20"/>
        </w:rPr>
        <w:t xml:space="preserve"> </w:t>
      </w:r>
      <w:r>
        <w:rPr>
          <w:rFonts w:ascii="Times New Roman" w:hAnsi="Times New Roman"/>
          <w:i/>
          <w:color w:val="000000"/>
          <w:sz w:val="24"/>
        </w:rPr>
        <w:t>Act</w:t>
      </w:r>
      <w:r>
        <w:rPr>
          <w:rFonts w:ascii="Times New Roman" w:hAnsi="Times New Roman"/>
          <w:color w:val="000000"/>
          <w:sz w:val="24"/>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are signing this Plan on the date stated in the introductory clause.</w:t>
      </w:r>
    </w:p>
    <w:p>
      <w:pPr>
        <w:pStyle w:val="TextBody"/>
        <w:bidi w:val="0"/>
        <w:spacing w:before="240" w:after="283"/>
        <w:jc w:val="left"/>
        <w:rPr/>
      </w:pPr>
      <w:r>
        <w:rPr/>
        <w:t> </w:t>
      </w:r>
    </w:p>
    <w:tbl>
      <w:tblPr>
        <w:tblW w:w="4988" w:type="dxa"/>
        <w:jc w:val="left"/>
        <w:tblInd w:w="0" w:type="dxa"/>
        <w:tblLayout w:type="fixed"/>
        <w:tblCellMar>
          <w:top w:w="28" w:type="dxa"/>
          <w:left w:w="28" w:type="dxa"/>
          <w:bottom w:w="28" w:type="dxa"/>
          <w:right w:w="28" w:type="dxa"/>
        </w:tblCellMar>
      </w:tblPr>
      <w:tblGrid>
        <w:gridCol w:w="161"/>
        <w:gridCol w:w="224"/>
        <w:gridCol w:w="226"/>
        <w:gridCol w:w="146"/>
        <w:gridCol w:w="4231"/>
      </w:tblGrid>
      <w:tr>
        <w:trPr/>
        <w:tc>
          <w:tcPr>
            <w:tcW w:w="1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46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SEER,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David Horn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David Horn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President and Chief Financial Officer</w:t>
            </w:r>
          </w:p>
        </w:tc>
      </w:tr>
    </w:tbl>
    <w:p>
      <w:pPr>
        <w:pStyle w:val="TextBody"/>
        <w:bidi w:val="0"/>
        <w:spacing w:before="240" w:after="283"/>
        <w:jc w:val="left"/>
        <w:rPr/>
      </w:pPr>
      <w:r>
        <w:rPr/>
        <w:t> </w:t>
      </w:r>
    </w:p>
    <w:p>
      <w:pPr>
        <w:pStyle w:val="TextBody"/>
        <w:bidi w:val="0"/>
        <w:spacing w:before="240" w:after="283"/>
        <w:jc w:val="left"/>
        <w:rPr/>
      </w:pPr>
      <w:r>
        <w:rPr/>
        <w:t> </w:t>
      </w:r>
    </w:p>
    <w:tbl>
      <w:tblPr>
        <w:tblW w:w="5250" w:type="dxa"/>
        <w:jc w:val="left"/>
        <w:tblInd w:w="0" w:type="dxa"/>
        <w:tblLayout w:type="fixed"/>
        <w:tblCellMar>
          <w:top w:w="28" w:type="dxa"/>
          <w:left w:w="28" w:type="dxa"/>
          <w:bottom w:w="28" w:type="dxa"/>
          <w:right w:w="28" w:type="dxa"/>
        </w:tblCellMar>
      </w:tblPr>
      <w:tblGrid>
        <w:gridCol w:w="249"/>
        <w:gridCol w:w="226"/>
        <w:gridCol w:w="226"/>
        <w:gridCol w:w="226"/>
        <w:gridCol w:w="4323"/>
      </w:tblGrid>
      <w:tr>
        <w:trPr/>
        <w:tc>
          <w:tcPr>
            <w:tcW w:w="2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23" w:type="dxa"/>
            <w:tcBorders/>
            <w:vAlign w:val="center"/>
          </w:tcPr>
          <w:p>
            <w:pPr>
              <w:pStyle w:val="TableContents"/>
              <w:bidi w:val="0"/>
              <w:spacing w:before="0" w:after="283"/>
              <w:jc w:val="left"/>
              <w:rPr>
                <w:sz w:val="4"/>
                <w:szCs w:val="4"/>
              </w:rPr>
            </w:pPr>
            <w:r>
              <w:rPr>
                <w:sz w:val="4"/>
                <w:szCs w:val="4"/>
              </w:rPr>
            </w:r>
          </w:p>
        </w:tc>
      </w:tr>
      <w:tr>
        <w:trPr/>
        <w:tc>
          <w:tcPr>
            <w:tcW w:w="525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COMPUTERSHARE TRUST COMPANY, N.A.</w:t>
            </w:r>
          </w:p>
        </w:tc>
      </w:tr>
      <w:tr>
        <w:trPr/>
        <w:tc>
          <w:tcPr>
            <w:tcW w:w="249"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 w:type="dxa"/>
            <w:tcBorders/>
            <w:tcMar>
              <w:top w:w="0" w:type="dxa"/>
              <w:left w:w="0" w:type="dxa"/>
              <w:bottom w:w="0" w:type="dxa"/>
              <w:right w:w="0" w:type="dxa"/>
            </w:tcMar>
            <w:vAlign w:val="center"/>
          </w:tcPr>
          <w:p>
            <w:pPr>
              <w:pStyle w:val="TableContents"/>
              <w:bidi w:val="0"/>
              <w:spacing w:before="0" w:after="283"/>
              <w:jc w:val="right"/>
              <w:rPr/>
            </w:pPr>
            <w:r>
              <w:rPr/>
              <w:t> </w:t>
            </w:r>
          </w:p>
        </w:tc>
        <w:tc>
          <w:tcPr>
            <w:tcW w:w="45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By:</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Albert Guinto</w:t>
            </w:r>
          </w:p>
        </w:tc>
      </w:tr>
      <w:tr>
        <w:trPr/>
        <w:tc>
          <w:tcPr>
            <w:tcW w:w="249"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Albert Guinto</w:t>
            </w:r>
          </w:p>
        </w:tc>
      </w:tr>
      <w:tr>
        <w:trPr/>
        <w:tc>
          <w:tcPr>
            <w:tcW w:w="249"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Relationship Manager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w:t>
        <w:br/>
        <w:t>CERTIFICATE OF DESIGNATION OF RIGHTS, POWERS AND PREFERENCES</w:t>
        <w:br/>
        <w:t>OF SERIES A PARTICIPATING PREFERRED STOCK OF</w:t>
        <w:br/>
        <w:t>SEER, INC.</w:t>
      </w:r>
    </w:p>
    <w:p>
      <w:pPr>
        <w:pStyle w:val="TextBody"/>
        <w:bidi w:val="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283"/>
              <w:jc w:val="left"/>
              <w:rPr>
                <w:sz w:val="4"/>
                <w:szCs w:val="4"/>
              </w:rPr>
            </w:pPr>
            <w:r>
              <w:rPr>
                <w:sz w:val="4"/>
                <w:szCs w:val="4"/>
              </w:rPr>
            </w:r>
          </w:p>
        </w:tc>
      </w:tr>
      <w:tr>
        <w:trPr/>
        <w:tc>
          <w:tcPr>
            <w:tcW w:w="4966" w:type="dxa"/>
            <w:tcBorders>
              <w:top w:val="single" w:sz="4" w:space="0" w:color="000000"/>
              <w:bottom w:val="single" w:sz="4" w:space="0" w:color="000000"/>
            </w:tcBorders>
            <w:tcMar>
              <w:left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Pursuant to Section 151 of the</w:t>
              <w:br/>
              <w:t>General Corporation Law of the State of Delaware</w:t>
            </w:r>
          </w:p>
        </w:tc>
      </w:tr>
    </w:tbl>
    <w:p>
      <w:pPr>
        <w:pStyle w:val="TextBody"/>
        <w:bidi w:val="0"/>
        <w:spacing w:before="240" w:after="283"/>
        <w:jc w:val="left"/>
        <w:rPr>
          <w:rFonts w:ascii="Times New Roman" w:hAnsi="Times New Roman"/>
          <w:sz w:val="20"/>
        </w:rPr>
      </w:pPr>
      <w:r>
        <w:rPr>
          <w:rFonts w:ascii="Times New Roman" w:hAnsi="Times New Roman"/>
          <w:color w:val="000000"/>
          <w:sz w:val="24"/>
        </w:rPr>
        <w:t>Seer, Inc., a corporation organized and existing under the General Corporation Law of the State of Delaware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in accordance with the provisions of Section 103 thereof, certifies:</w:t>
      </w:r>
    </w:p>
    <w:p>
      <w:pPr>
        <w:pStyle w:val="TextBody"/>
        <w:bidi w:val="0"/>
        <w:spacing w:before="240" w:after="283"/>
        <w:jc w:val="left"/>
        <w:rPr>
          <w:rFonts w:ascii="Times New Roman" w:hAnsi="Times New Roman"/>
          <w:sz w:val="20"/>
        </w:rPr>
      </w:pPr>
      <w:r>
        <w:rPr>
          <w:rFonts w:ascii="Times New Roman" w:hAnsi="Times New Roman"/>
          <w:color w:val="000000"/>
          <w:sz w:val="24"/>
        </w:rPr>
        <w:t>That pursuant to the authority conferred upon the Board of Directors of the Corporation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by the Amended and Restated Certificate of Incorporation of the Corporation, as amended, as of February 26, 2026, the Board adopted the following resolution creating a series of preferred stock, par value $0.00001 per share (“</w:t>
      </w:r>
      <w:r>
        <w:rPr>
          <w:rFonts w:ascii="Times New Roman" w:hAnsi="Times New Roman"/>
          <w:b/>
          <w:color w:val="000000"/>
          <w:sz w:val="24"/>
        </w:rPr>
        <w:t>Preferred Stock</w:t>
      </w:r>
      <w:r>
        <w:rPr>
          <w:rFonts w:ascii="Times New Roman" w:hAnsi="Times New Roman"/>
          <w:color w:val="000000"/>
          <w:sz w:val="20"/>
        </w:rPr>
        <w:t>”</w:t>
      </w:r>
      <w:r>
        <w:rPr>
          <w:rFonts w:ascii="Times New Roman" w:hAnsi="Times New Roman"/>
          <w:color w:val="000000"/>
          <w:sz w:val="24"/>
        </w:rPr>
        <w:t>), of the Corporation designated as Series A Participating Preferred Stock:</w:t>
      </w:r>
    </w:p>
    <w:p>
      <w:pPr>
        <w:pStyle w:val="TextBody"/>
        <w:bidi w:val="0"/>
        <w:spacing w:before="240" w:after="283"/>
        <w:jc w:val="left"/>
        <w:rPr>
          <w:rFonts w:ascii="Times New Roman" w:hAnsi="Times New Roman"/>
          <w:sz w:val="20"/>
        </w:rPr>
      </w:pPr>
      <w:r>
        <w:rPr>
          <w:rFonts w:ascii="Times New Roman" w:hAnsi="Times New Roman"/>
          <w:color w:val="000000"/>
          <w:sz w:val="24"/>
        </w:rPr>
        <w:t>RESOLVED, that pursuant to the authority vested in the Board by the Amended and Restated Certificate of Incorporation, as amended, of the Corporation (the “</w:t>
      </w:r>
      <w:r>
        <w:rPr>
          <w:rFonts w:ascii="Times New Roman" w:hAnsi="Times New Roman"/>
          <w:b/>
          <w:color w:val="000000"/>
          <w:sz w:val="24"/>
        </w:rPr>
        <w:t>Charter</w:t>
      </w:r>
      <w:r>
        <w:rPr>
          <w:rFonts w:ascii="Times New Roman" w:hAnsi="Times New Roman"/>
          <w:color w:val="000000"/>
          <w:sz w:val="20"/>
        </w:rPr>
        <w:t>”</w:t>
      </w:r>
      <w:r>
        <w:rPr>
          <w:rFonts w:ascii="Times New Roman" w:hAnsi="Times New Roman"/>
          <w:color w:val="000000"/>
          <w:sz w:val="24"/>
        </w:rPr>
        <w:t>), the Board, as of February 26, 2026, provides for the issuance of a series of Preferred Stock of the Corporation and fixes, states and expresses the designations, powers, preferences and relative and other special rights, and the qualifications, limitations and restrictions, of such series of Preferred Stock as follows: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i/>
          <w:color w:val="000000"/>
          <w:sz w:val="24"/>
        </w:rPr>
        <w:t>Designation and Amount</w:t>
      </w:r>
      <w:r>
        <w:rPr>
          <w:rFonts w:ascii="Times New Roman" w:hAnsi="Times New Roman"/>
          <w:color w:val="000000"/>
          <w:sz w:val="24"/>
        </w:rPr>
        <w:t>. The shares of such series will be designated as “</w:t>
      </w:r>
      <w:r>
        <w:rPr>
          <w:rFonts w:ascii="Times New Roman" w:hAnsi="Times New Roman"/>
          <w:b/>
          <w:color w:val="000000"/>
          <w:sz w:val="24"/>
        </w:rPr>
        <w:t>Series A Participating Preferred Stock</w:t>
      </w:r>
      <w:r>
        <w:rPr>
          <w:rFonts w:ascii="Times New Roman" w:hAnsi="Times New Roman"/>
          <w:color w:val="000000"/>
          <w:sz w:val="24"/>
        </w:rPr>
        <w:t>.” The Series A Participating Preferred Stock will have a par value of $0.00001 per share, and the number of shares constituting such series will be 500,000. Such number of shares may be increased or decreased by resolution of the Corporation’s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except that no decrease will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i/>
          <w:color w:val="000000"/>
          <w:sz w:val="24"/>
        </w:rPr>
        <w:t>Dividends and Distributions</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(a) Subject to the prior and superior rights of the holders of any shares of any series of Preferred Stock (or other similar stock) ranking prior and superior to the shares of Series A Participating Preferred Stock with respect to dividends, the holders of shares of Series A Participating Preferred Stock, in preference to the holders of shares of Class A Common Stock, par value $0.00001 per share (the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of the Corporation, will be entitled to receive, when, as and if declared by the Board out of funds legally available for the purpose, quarterly dividends payable in cash on the last day of March, June, September and December in each year (each such date being referred to as a “</w:t>
      </w:r>
      <w:r>
        <w:rPr>
          <w:rFonts w:ascii="Times New Roman" w:hAnsi="Times New Roman"/>
          <w:b/>
          <w:color w:val="000000"/>
          <w:sz w:val="24"/>
        </w:rPr>
        <w:t>Quarterly Dividend Payment Date</w:t>
      </w:r>
      <w:r>
        <w:rPr>
          <w:rFonts w:ascii="Times New Roman" w:hAnsi="Times New Roman"/>
          <w:color w:val="000000"/>
          <w:sz w:val="20"/>
        </w:rPr>
        <w:t>”</w:t>
      </w:r>
      <w:r>
        <w:rPr>
          <w:rFonts w:ascii="Times New Roman" w:hAnsi="Times New Roman"/>
          <w:color w:val="000000"/>
          <w:sz w:val="24"/>
        </w:rPr>
        <w:t>), commencing on the first Quarterly Dividend Payment Date after the first issuance of a share or fraction of a share of Series A Participating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respect to the first Quarterly Dividend Payment Date, since the first issuance of any share or fraction of a share of Series A Participating Preferred Stock. If the Corporation at any time after February 25, 2026 (the “</w:t>
      </w:r>
      <w:r>
        <w:rPr>
          <w:rFonts w:ascii="Times New Roman" w:hAnsi="Times New Roman"/>
          <w:b/>
          <w:color w:val="000000"/>
          <w:sz w:val="24"/>
        </w:rPr>
        <w:t>Rights Dividend Declaration Date</w:t>
      </w:r>
      <w:r>
        <w:rPr>
          <w:rFonts w:ascii="Times New Roman" w:hAnsi="Times New Roman"/>
          <w:color w:val="000000"/>
          <w:sz w:val="20"/>
        </w:rPr>
        <w:t>”</w:t>
      </w:r>
      <w:r>
        <w:rPr>
          <w:rFonts w:ascii="Times New Roman" w:hAnsi="Times New Roman"/>
          <w:color w:val="000000"/>
          <w:sz w:val="24"/>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Participating Preferred Stock were entitled immediately prior to such event under clause (ii) of the preceding sentence will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The Corporation will declare a dividend or distribution on the Series A Participating Preferred Stock as provided in Section 2(a)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Participating Preferred Stock will nevertheless be payable on such subsequent Quarterly Dividend Payment Date (it being understood that the actual payment of such dividend may be deferred if prohibited under any of the Corporation’s debt instruments).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Dividends will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Participating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will be no more than 60 days prior to the date fixed for the payment thereof.</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i/>
          <w:color w:val="000000"/>
          <w:sz w:val="24"/>
        </w:rPr>
        <w:t>Voting Rights</w:t>
      </w:r>
      <w:r>
        <w:rPr>
          <w:rFonts w:ascii="Times New Roman" w:hAnsi="Times New Roman"/>
          <w:color w:val="000000"/>
          <w:sz w:val="24"/>
        </w:rPr>
        <w:t>. The holders of shares of Series A Participating Preferred Stock will have the following voting rights: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Subject to the provision for adjustment hereinafter set forth, each share of Series A Participating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Participating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(b) Except as otherwise provided in this Certificate of Designation, in any other Certificate of Designation creating a series of Preferred Stock or any similar stock, the Charter or the Amended and Restated Bylaws of the Corporation (the “</w:t>
      </w:r>
      <w:r>
        <w:rPr>
          <w:rFonts w:ascii="Times New Roman" w:hAnsi="Times New Roman"/>
          <w:b/>
          <w:color w:val="000000"/>
          <w:sz w:val="24"/>
        </w:rPr>
        <w:t>Bylaws</w:t>
      </w:r>
      <w:r>
        <w:rPr>
          <w:rFonts w:ascii="Times New Roman" w:hAnsi="Times New Roman"/>
          <w:color w:val="000000"/>
          <w:sz w:val="20"/>
        </w:rPr>
        <w:t>”</w:t>
      </w:r>
      <w:r>
        <w:rPr>
          <w:rFonts w:ascii="Times New Roman" w:hAnsi="Times New Roman"/>
          <w:color w:val="000000"/>
          <w:sz w:val="24"/>
        </w:rPr>
        <w:t>), or by law, the holders of shares of Series A Participating Preferred Stock and the holders of shares of Common Stock and any other capital stock of the Corporation having general voting rights will vote together as one class on all matters submitted to a vote of stockholders of the Corporation.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Except as set forth in this Certificate of Designation or as required by law, the holders of Series A Participating Preferred Stock will have no special voting rights and their consent will not be required (except to the extent that holders of Series A Participating Preferred Stock are entitled to vote with holders of shares of Common Stock as set forth in this Certificate of Designation) for taking any corporate action.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i/>
          <w:color w:val="000000"/>
          <w:sz w:val="24"/>
        </w:rPr>
        <w:t>Certain Restrictions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The Corporation will not declare any dividend on, make any distribution on, or redeem or purchase or otherwise acquire for consideration any shares of Common Stock after the first issuance of a share or fraction of a share of Series A Participating Preferred Stock unless concurrently therewith it will declare a dividend on the Series A Participating Preferred Stock as required by Section 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Whenever quarterly dividends or other dividends or distributions payable on the Series A Participating Preferred Stock as provided in Section 2 are in arrears, thereafter and until all accrued and unpaid dividends and distributions, whether or not declared, on shares of Series A Participating Preferred Stock outstanding will have been paid in full, the Corporation will not: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declare or pay dividends on, make any other distributions on, or redeem or purchase or otherwise acquire for consideration any shares of stock ranking junior (either as to dividends or upon liquidation, dissolution or winding up) to the Series A Participating Preferred Stock, other than (A) redemptions or purchases that may be deemed to occur upon the exercise of stock options, warrants or similar rights or the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and (2) 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 redeem or purchase or otherwise acquire for consideration shares of any stock ranking junior (either as to dividends or upon liquidation, dissolution or winding up) with the Series A Participating Preferred Stock, it being understood that the Corporation may at any time redeem, purchase or otherwise acquire shares of any such junior stock in exchange for shares of any stock of the Corporation ranking junior (either as to dividends or upon dissolution, liquidation or winding up) to the Series A Participating Preferred Stock; or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 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will determine in good faith will result in fair and equitable treatment among the respective series or classes.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The Corporation will not permit any subsidiary of the Corporation to purchase or otherwise acquire for consideration any shares of stock of the Corporation unless the Corporation could, pursuant to Section 4(a), purchase or otherwise acquire such shares at such time and in such manner.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i/>
          <w:color w:val="000000"/>
          <w:sz w:val="24"/>
        </w:rPr>
        <w:t>Reacquired Shares of Preferred Stock</w:t>
      </w:r>
      <w:r>
        <w:rPr>
          <w:rFonts w:ascii="Times New Roman" w:hAnsi="Times New Roman"/>
          <w:color w:val="000000"/>
          <w:sz w:val="24"/>
        </w:rPr>
        <w:t>. Any shares of Series A Participating Preferred Stock purchased or otherwise acquired by the Corporation in any manner whatsoever will be retired and canceled promptly after the acquisition thereof. All such shares will upon their cancellation become authorized but unissued shares of Preferred Stock and may be reissued as part of a new series of Preferred Stock to be created by resolution or resolutions of the Board, subject to the conditions and restrictions on issuance set forth in this Certificate of Designation, in the Charter or in any other Certificate of Designation creating a series of Preferred Stock or any similar stock or as otherwise required by law.</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i/>
          <w:color w:val="000000"/>
          <w:sz w:val="24"/>
        </w:rPr>
        <w:t>Liquidation, Dissolution or Winding Up</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(a) Upon any liquidation, dissolution or winding up of the Corporation, voluntary or otherwise, no distribution will be made to the holders of shares of stock ranking junior (either as to dividends or upon liquidation, dissolution or winding up) to the Series A Participating Preferred Stock unless, prior thereto, the holders of shares of Series A Participating Preferred Stock will have received an amount per share (the “</w:t>
      </w:r>
      <w:r>
        <w:rPr>
          <w:rFonts w:ascii="Times New Roman" w:hAnsi="Times New Roman"/>
          <w:b/>
          <w:color w:val="000000"/>
          <w:sz w:val="24"/>
        </w:rPr>
        <w:t>Series A Liquidation Preference</w:t>
      </w:r>
      <w:r>
        <w:rPr>
          <w:rFonts w:ascii="Times New Roman" w:hAnsi="Times New Roman"/>
          <w:color w:val="000000"/>
          <w:sz w:val="20"/>
        </w:rPr>
        <w:t>”</w:t>
      </w:r>
      <w:r>
        <w:rPr>
          <w:rFonts w:ascii="Times New Roman" w:hAnsi="Times New Roman"/>
          <w:color w:val="000000"/>
          <w:sz w:val="24"/>
        </w:rPr>
        <w:t>)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 w:hAnsi="Times New Roman"/>
          <w:b/>
          <w:color w:val="000000"/>
          <w:sz w:val="24"/>
        </w:rPr>
        <w:t>Adjustment Number</w:t>
      </w:r>
      <w:r>
        <w:rPr>
          <w:rFonts w:ascii="Times New Roman" w:hAnsi="Times New Roman"/>
          <w:color w:val="000000"/>
          <w:sz w:val="20"/>
        </w:rPr>
        <w:t xml:space="preserve">” </w:t>
      </w:r>
      <w:r>
        <w:rPr>
          <w:rFonts w:ascii="Times New Roman" w:hAnsi="Times New Roman"/>
          <w:color w:val="000000"/>
          <w:sz w:val="24"/>
        </w:rPr>
        <w:t>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If there are not sufficient assets available to permit payment in full of the Series A Liquidation Preference and the liquidation preferences of all other classes and series of Preferred Stock, if any, that rank on a parity with the Series A Participating Preferred Stock, then the assets available for distribution will be distributed ratably to the holders of the Series A Participating Preferred Stock and such parity shares in proportion to their respective liquidation preferences.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None of the merger or consolidation of the Corporation into or with another entity or the merger or consolidation of any other entity into or with the Corporation will be deemed to be a liquidation, dissolution or winding up of the Corporation within the meaning of this Section 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i/>
          <w:color w:val="000000"/>
          <w:sz w:val="24"/>
        </w:rPr>
        <w:t>Consolidation, Merger, etc</w:t>
      </w:r>
      <w:r>
        <w:rPr>
          <w:rFonts w:ascii="Times New Roman" w:hAnsi="Times New Roman"/>
          <w:color w:val="000000"/>
          <w:sz w:val="24"/>
        </w:rPr>
        <w:t>.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Participating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i/>
          <w:color w:val="000000"/>
          <w:sz w:val="24"/>
        </w:rPr>
        <w:t>No Redemption</w:t>
      </w:r>
      <w:r>
        <w:rPr>
          <w:rFonts w:ascii="Times New Roman" w:hAnsi="Times New Roman"/>
          <w:color w:val="000000"/>
          <w:sz w:val="24"/>
        </w:rPr>
        <w:t>. The shares of Series A Participating Preferred Stock will not be redeemable.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i/>
          <w:color w:val="000000"/>
          <w:sz w:val="24"/>
        </w:rPr>
        <w:t>Ranking</w:t>
      </w:r>
      <w:r>
        <w:rPr>
          <w:rFonts w:ascii="Times New Roman" w:hAnsi="Times New Roman"/>
          <w:color w:val="000000"/>
          <w:sz w:val="24"/>
        </w:rPr>
        <w:t>. The Series A Participating Preferred Stock will rank junior to all other series of the Preferred Stock as to the payment of dividends and the distribution of assets, unless the terms of any such series will provide otherwise, and will rank senior to the Common Stock as to such matters.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i/>
          <w:color w:val="000000"/>
          <w:sz w:val="24"/>
        </w:rPr>
        <w:t>Amendment</w:t>
      </w:r>
      <w:r>
        <w:rPr>
          <w:rFonts w:ascii="Times New Roman" w:hAnsi="Times New Roman"/>
          <w:color w:val="000000"/>
          <w:sz w:val="24"/>
        </w:rPr>
        <w:t>. At any time when any shares of Series A Participating Preferred Stock are outstanding, neither the Charter nor this Certificate of Designation will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i/>
          <w:color w:val="000000"/>
          <w:sz w:val="24"/>
        </w:rPr>
        <w:t>Fractional Shares of Preferred Stock</w:t>
      </w:r>
      <w:r>
        <w:rPr>
          <w:rFonts w:ascii="Times New Roman" w:hAnsi="Times New Roman"/>
          <w:color w:val="000000"/>
          <w:sz w:val="24"/>
        </w:rPr>
        <w:t>. Series A Participating Preferred Stock may be issued in fractions of a share that will entitle the holder, in proportion to such holder’s fractional shares, to exercise voting rights, receive dividends, participate in distributions and to have the benefit of all other rights of holders of Series A Participating Preferred Stock.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WITNESS WHEREOF, the undersigned has executed this Certificate as of the 26th day of February, 2026.</w:t>
      </w:r>
    </w:p>
    <w:p>
      <w:pPr>
        <w:pStyle w:val="TextBody"/>
        <w:bidi w:val="0"/>
        <w:spacing w:before="480" w:after="283"/>
        <w:jc w:val="left"/>
        <w:rPr>
          <w:rFonts w:ascii="Times New Roman" w:hAnsi="Times New Roman"/>
          <w:b/>
          <w:color w:val="000000"/>
          <w:sz w:val="24"/>
        </w:rPr>
      </w:pPr>
      <w:r>
        <w:rPr>
          <w:rFonts w:ascii="Times New Roman" w:hAnsi="Times New Roman"/>
          <w:b/>
          <w:color w:val="000000"/>
          <w:sz w:val="24"/>
        </w:rPr>
        <w:t>SEER, INC.</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w:t>
        <w:br/>
        <w:t>RIGHTS CERTIFICATE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Certificate No. R-[●] [●] Rights</w:t>
      </w:r>
    </w:p>
    <w:p>
      <w:pPr>
        <w:pStyle w:val="TextBody"/>
        <w:bidi w:val="0"/>
        <w:spacing w:before="240" w:after="283"/>
        <w:jc w:val="left"/>
        <w:rPr>
          <w:rFonts w:ascii="Times New Roman" w:hAnsi="Times New Roman"/>
          <w:sz w:val="20"/>
        </w:rPr>
      </w:pPr>
      <w:r>
        <w:rPr>
          <w:rFonts w:ascii="Times New Roman" w:hAnsi="Times New Roman"/>
          <w:color w:val="000000"/>
          <w:sz w:val="24"/>
        </w:rPr>
        <w:t>NOT EXERCISABLE AFTER FEBRUARY 25, 2029, OR SUCH EARLIER DATE AS THE RIGHTS ARE REDEEMED, EXCHANGED OR TERMINATED. THE RIGHTS ARE SUBJECT TO REDEMPTION, AT THE OPTION OF THE COMPANY (AS DEFINED BELOW), AT $0.001 PER RIGHT, AND EXCHANGE, IN EACH CASE PURSUANT TO THE TERMS SET FORTH IN THE PLAN (AS DEFINED BELOW). UNDER CERTAIN CIRCUMSTANCES, RIGHTS BENEFICIALLY OWNED BY AN ACQUIRING PERSON OR AN AFFILIATE OR ASSOCIATE OF AN ACQUIRING PERSON (AS SUCH TERMS ARE DEFINED IN THE PLAN)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THAT IT REPRESENTS MAY BECOME NULL AND VOID IN THE CIRCUMSTANCES SPECIFIED IN SECTION 7(e) OF THE PLAN.]</w:t>
      </w:r>
      <w:r>
        <w:rPr>
          <w:rFonts w:ascii="Times New Roman" w:hAnsi="Times New Roman"/>
          <w:color w:val="000000"/>
          <w:sz w:val="16"/>
        </w:rPr>
        <w:t>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RIGHTS CERTIFICATE</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SEER, INC.</w:t>
      </w:r>
    </w:p>
    <w:p>
      <w:pPr>
        <w:pStyle w:val="TextBody"/>
        <w:bidi w:val="0"/>
        <w:spacing w:before="240" w:after="283"/>
        <w:jc w:val="left"/>
        <w:rPr>
          <w:rFonts w:ascii="Times New Roman" w:hAnsi="Times New Roman"/>
          <w:sz w:val="20"/>
        </w:rPr>
      </w:pPr>
      <w:r>
        <w:rPr>
          <w:rFonts w:ascii="Times New Roman" w:hAnsi="Times New Roman"/>
          <w:color w:val="000000"/>
          <w:sz w:val="24"/>
        </w:rPr>
        <w:t>This certifies that ______________________________, or registered assigns, is the registered owner of the number of Rights set forth above, each of which entitles the owner thereof, subject to the terms, provisions and conditions of the Tax Benefit Preservation Plan, dated as of February 26, 2026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between Seer,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Computershare Trust Company, N.A., a federally chartered trust company (the “</w:t>
      </w:r>
      <w:r>
        <w:rPr>
          <w:rFonts w:ascii="Times New Roman" w:hAnsi="Times New Roman"/>
          <w:b/>
          <w:color w:val="000000"/>
          <w:sz w:val="24"/>
        </w:rPr>
        <w:t>Rights Agent</w:t>
      </w:r>
      <w:r>
        <w:rPr>
          <w:rFonts w:ascii="Times New Roman" w:hAnsi="Times New Roman"/>
          <w:color w:val="000000"/>
          <w:sz w:val="24"/>
        </w:rPr>
        <w:t>,” which term will include any successor Rights Agent pursuant to the Plan), to purchase from the Company at any time after the Distribution Date (as such term is defined in the Plan) and prior to the Expiration Date (as such term is defined in the Plan) at the office of the Rights Agent designated for such purpose, or at the office of its successor as Rights Agent, one one-thousandth of a fully paid and nonassessable share of Series A Participating Preferred Stock, par value $0.00001 per share (the “</w:t>
      </w:r>
      <w:r>
        <w:rPr>
          <w:rFonts w:ascii="Times New Roman" w:hAnsi="Times New Roman"/>
          <w:b/>
          <w:color w:val="000000"/>
          <w:sz w:val="24"/>
        </w:rPr>
        <w:t>Preferred Stock</w:t>
      </w:r>
      <w:r>
        <w:rPr>
          <w:rFonts w:ascii="Times New Roman" w:hAnsi="Times New Roman"/>
          <w:color w:val="000000"/>
          <w:sz w:val="20"/>
        </w:rPr>
        <w:t>”</w:t>
      </w:r>
      <w:r>
        <w:rPr>
          <w:rFonts w:ascii="Times New Roman" w:hAnsi="Times New Roman"/>
          <w:color w:val="000000"/>
          <w:sz w:val="24"/>
        </w:rPr>
        <w:t>), of the Company, at an exercise price of $11.00 per one one-thousandth of a share of Preferred Stock (the “</w:t>
      </w:r>
      <w:r>
        <w:rPr>
          <w:rFonts w:ascii="Times New Roman" w:hAnsi="Times New Roman"/>
          <w:b/>
          <w:color w:val="000000"/>
          <w:sz w:val="24"/>
        </w:rPr>
        <w:t>Exercise Price</w:t>
      </w:r>
      <w:r>
        <w:rPr>
          <w:rFonts w:ascii="Times New Roman" w:hAnsi="Times New Roman"/>
          <w:color w:val="000000"/>
          <w:sz w:val="20"/>
        </w:rPr>
        <w:t>”</w:t>
      </w:r>
      <w:r>
        <w:rPr>
          <w:rFonts w:ascii="Times New Roman" w:hAnsi="Times New Roman"/>
          <w:color w:val="000000"/>
          <w:sz w:val="24"/>
        </w:rPr>
        <w:t>), upon presentation and surrender of this Rights Certificate with the Form of Election to Purchase and related Certificate duly executed. The number of Rights evidenced by this Rights Certificate (and the number of one one-thousandths of a share of Preferred Stock that may be purchased upon exercise hereof) set forth above, and the Exercise Price per share set forth above, are the number and Exercise Price as of February 26, 2026, based on the Preferred Stock as constituted at such date. As provided in the Plan, the Exercise Price and the number and kind of Preferred Stock or other securities that may be purchased upon the exercise of the Rights evidenced by this Rights Certificate are subject to modification and adjustment upon the occurrence of certain events. The Company reserves the right to require prior to the occurrence of a Triggering Event (as such term is defined in the Plan) that a number of Rights be exercised so that only whole shares of Preferred Stock will be issued. Capitalized terms used in this Rights Certificate without definition will have the meanings ascribed to them in the Plan.</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portion of the legend in brackets is to be inserted only if applicable and will replace the preceding sentence.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Upon the occurrence of a Section 11(a)(ii) Event, if the Rights evidenced by this Rights Certificate are beneficially owned by an Acquiring Person, an Affiliate or Associate of an Acquiring Person, a Post-Event Transferee, a Pre-Event Transferee, a Subsequent Transferee or any nominee of any of the foregoing, such Rights will become null and void and no holder hereof will have any right with respect to such Rights from and after the occurrence of such Section 11(a)(ii) Event.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Rights Certificate is subject to all of the terms, provisions and conditions of the Plan, which terms, provisions and conditions are incorporated by reference and made a part of this Rights Certificate and to which reference is made for a full description of the rights, limitations of rights, obligations, duties and immunities of the Rights Agent, the Company and the holders of the Rights Certificates, which limitations of rights include the temporary suspension of the exercisability of such Rights under the specific circumstances set forth in the Plan. Copies of the Plan are on file at the principal executive offices of the Company and the above-mentioned office of the Rights Agent and are available without cost upon written request.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Subject to the provisions of the Plan, the Rights evidenced by this Rights Certificate may be redeemed by the Company, at its option, at a redemption price of $0.001 per Right at any time prior to the earlier of (i) the Distribution Date or (ii) the Close of Business on the Final Expiration Date. In addition, under certain circumstances after any Person becomes an Acquiring Person, the Rights may be exchanged, in whole or in part, for Common Stock,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Stock (or cash or other securities or assets of the Company) issuable upon such exchange.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share of Preferred Stock as the Rights evidenced by the Rights Certificate or Rights Certificates surrendered will have entitled such holder to purchase. If this Rights Certificate is exercised in part, then the holder will be entitled to receive upon surrender hereof another Rights Certificate or Rights Certificates for the number of whole Rights not exercised.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fractions of shares of Preferred Stock (other than fractions that are integral multiples of one one-thousandth of a share of Preferred Stock, which may, at the election of the Company, be evidenced by depositary receipts) will be issued upon the exercise of any Right. In lieu thereof, a cash payment will be made as provided in the Plan. The Company, at its election, may require that a number of Rights be exercised so that only whole shares of Preferred Stock would be issued.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holder of this Rights Certificate, as such, will be entitled to vote or receive dividends or be deemed for any purpose the holder of the number of one one-thousandths of a share of Preferred Stock or any other securities of the Company that may at any time be issuable on the exercise or exchange hereof, nor will anything contained in herein or in the Plan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Plan), or to receive dividends or subscription rights, or otherwise, until the Right or Rights evidenced by this Rights Certificate will have been exercised or exchange in accordance with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Rights Certificate will not be valid or obligatory for any purpose until it has been countersigned by the Rights Agent.</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WITNESS the signature of the proper officers of the Company and its corporate seal.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Dated as of _______________, 20[●].</w:t>
      </w:r>
    </w:p>
    <w:p>
      <w:pPr>
        <w:pStyle w:val="TextBody"/>
        <w:bidi w:val="0"/>
        <w:spacing w:before="480" w:after="283"/>
        <w:jc w:val="left"/>
        <w:rPr>
          <w:rFonts w:ascii="Times New Roman" w:hAnsi="Times New Roman"/>
          <w:sz w:val="20"/>
        </w:rPr>
      </w:pPr>
      <w:r>
        <w:rPr>
          <w:rFonts w:ascii="Times New Roman" w:hAnsi="Times New Roman"/>
          <w:color w:val="000000"/>
          <w:sz w:val="24"/>
        </w:rPr>
        <w:t xml:space="preserve">ATTEST: </w:t>
      </w:r>
      <w:r>
        <w:rPr>
          <w:rFonts w:ascii="Times New Roman" w:hAnsi="Times New Roman"/>
          <w:b/>
          <w:color w:val="000000"/>
          <w:sz w:val="24"/>
        </w:rPr>
        <w:t>SEER, INC.</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 xml:space="preserve">By: By: </w:t>
      </w:r>
    </w:p>
    <w:p>
      <w:pPr>
        <w:pStyle w:val="TextBody"/>
        <w:bidi w:val="0"/>
        <w:jc w:val="left"/>
        <w:rPr>
          <w:rFonts w:ascii="Times New Roman" w:hAnsi="Times New Roman"/>
          <w:color w:val="000000"/>
          <w:sz w:val="24"/>
        </w:rPr>
      </w:pPr>
      <w:r>
        <w:rPr>
          <w:rFonts w:ascii="Times New Roman" w:hAnsi="Times New Roman"/>
          <w:color w:val="000000"/>
          <w:sz w:val="24"/>
        </w:rPr>
        <w:t>Name: Name:</w:t>
      </w:r>
    </w:p>
    <w:p>
      <w:pPr>
        <w:pStyle w:val="TextBody"/>
        <w:bidi w:val="0"/>
        <w:jc w:val="left"/>
        <w:rPr>
          <w:rFonts w:ascii="Times New Roman" w:hAnsi="Times New Roman"/>
          <w:sz w:val="20"/>
        </w:rPr>
      </w:pPr>
      <w:r>
        <w:rPr>
          <w:rFonts w:ascii="Times New Roman" w:hAnsi="Times New Roman"/>
          <w:color w:val="000000"/>
          <w:sz w:val="24"/>
        </w:rPr>
        <w:t>Title: Title:</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Countersigned:</w:t>
      </w:r>
    </w:p>
    <w:p>
      <w:pPr>
        <w:pStyle w:val="TextBody"/>
        <w:bidi w:val="0"/>
        <w:spacing w:before="480" w:after="283"/>
        <w:jc w:val="left"/>
        <w:rPr>
          <w:rFonts w:ascii="Times New Roman" w:hAnsi="Times New Roman"/>
          <w:sz w:val="20"/>
        </w:rPr>
      </w:pPr>
      <w:r>
        <w:rPr>
          <w:rFonts w:ascii="Times New Roman" w:hAnsi="Times New Roman"/>
          <w:b/>
          <w:color w:val="000000"/>
          <w:sz w:val="24"/>
        </w:rPr>
        <w:t>COMPUTERSHARE TRUST COMPANY, N.A.</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as Rights Agent</w:t>
      </w:r>
    </w:p>
    <w:tbl>
      <w:tblPr>
        <w:tblW w:w="10677" w:type="dxa"/>
        <w:jc w:val="left"/>
        <w:tblInd w:w="0" w:type="dxa"/>
        <w:tblLayout w:type="fixed"/>
        <w:tblCellMar>
          <w:top w:w="28" w:type="dxa"/>
          <w:left w:w="28" w:type="dxa"/>
          <w:bottom w:w="28" w:type="dxa"/>
          <w:right w:w="28" w:type="dxa"/>
        </w:tblCellMar>
      </w:tblPr>
      <w:tblGrid>
        <w:gridCol w:w="5446"/>
        <w:gridCol w:w="5231"/>
      </w:tblGrid>
      <w:tr>
        <w:trPr/>
        <w:tc>
          <w:tcPr>
            <w:tcW w:w="5446" w:type="dxa"/>
            <w:tcBorders/>
            <w:vAlign w:val="center"/>
          </w:tcPr>
          <w:p>
            <w:pPr>
              <w:pStyle w:val="TableContents"/>
              <w:bidi w:val="0"/>
              <w:spacing w:before="0" w:after="283"/>
              <w:jc w:val="left"/>
              <w:rPr>
                <w:sz w:val="4"/>
                <w:szCs w:val="4"/>
              </w:rPr>
            </w:pPr>
            <w:r>
              <w:rPr>
                <w:sz w:val="4"/>
                <w:szCs w:val="4"/>
              </w:rPr>
            </w:r>
          </w:p>
        </w:tc>
        <w:tc>
          <w:tcPr>
            <w:tcW w:w="5231" w:type="dxa"/>
            <w:tcBorders/>
            <w:vAlign w:val="center"/>
          </w:tcPr>
          <w:p>
            <w:pPr>
              <w:pStyle w:val="TableContents"/>
              <w:bidi w:val="0"/>
              <w:spacing w:before="0" w:after="283"/>
              <w:jc w:val="left"/>
              <w:rPr>
                <w:sz w:val="4"/>
                <w:szCs w:val="4"/>
              </w:rPr>
            </w:pPr>
            <w:r>
              <w:rPr>
                <w:sz w:val="4"/>
                <w:szCs w:val="4"/>
              </w:rPr>
            </w:r>
          </w:p>
        </w:tc>
      </w:tr>
      <w:tr>
        <w:trPr/>
        <w:tc>
          <w:tcPr>
            <w:tcW w:w="5446" w:type="dxa"/>
            <w:tcBorders/>
            <w:tcMar>
              <w:top w:w="0" w:type="dxa"/>
              <w:left w:w="0" w:type="dxa"/>
              <w:bottom w:w="0" w:type="dxa"/>
              <w:right w:w="0" w:type="dxa"/>
            </w:tcMar>
            <w:vAlign w:val="center"/>
          </w:tcPr>
          <w:p>
            <w:pPr>
              <w:pStyle w:val="TableContents"/>
              <w:bidi w:val="0"/>
              <w:spacing w:before="0" w:after="283"/>
              <w:ind w:left="0" w:right="0" w:firstLine="5040"/>
              <w:jc w:val="left"/>
              <w:rPr>
                <w:rFonts w:ascii="Times New Roman" w:hAnsi="Times New Roman"/>
                <w:color w:val="000000"/>
                <w:sz w:val="24"/>
              </w:rPr>
            </w:pPr>
            <w:r>
              <w:rPr>
                <w:rFonts w:ascii="Times New Roman" w:hAnsi="Times New Roman"/>
                <w:color w:val="000000"/>
                <w:sz w:val="24"/>
              </w:rPr>
              <w:t>By:</w:t>
            </w:r>
          </w:p>
        </w:tc>
        <w:tc>
          <w:tcPr>
            <w:tcW w:w="5231" w:type="dxa"/>
            <w:tcBorders>
              <w:bottom w:val="single" w:sz="4" w:space="0" w:color="000000"/>
            </w:tcBorders>
            <w:tcMar>
              <w:top w:w="0" w:type="dxa"/>
              <w:left w:w="0" w:type="dxa"/>
              <w:right w:w="0" w:type="dxa"/>
            </w:tcMar>
            <w:vAlign w:val="center"/>
          </w:tcPr>
          <w:p>
            <w:pPr>
              <w:pStyle w:val="TableContents"/>
              <w:bidi w:val="0"/>
              <w:spacing w:before="0" w:after="283"/>
              <w:ind w:left="0" w:right="0" w:firstLine="5040"/>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of Reverse Side of Rights Certificate]</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 ASSIGNMENT</w:t>
      </w:r>
    </w:p>
    <w:p>
      <w:pPr>
        <w:pStyle w:val="TextBody"/>
        <w:bidi w:val="0"/>
        <w:spacing w:before="240" w:after="283"/>
        <w:jc w:val="center"/>
        <w:rPr>
          <w:rFonts w:ascii="Times New Roman" w:hAnsi="Times New Roman"/>
          <w:sz w:val="20"/>
        </w:rPr>
      </w:pPr>
      <w:r>
        <w:rPr>
          <w:rFonts w:ascii="Times New Roman" w:hAnsi="Times New Roman"/>
          <w:color w:val="000000"/>
          <w:sz w:val="24"/>
        </w:rPr>
        <w:t>(To be executed by the registered holder if such</w:t>
        <w:br/>
        <w:t>holder desires to transfer the Rights Certificate.)</w:t>
        <w:br/>
      </w:r>
      <w:r>
        <w:rPr>
          <w:rFonts w:ascii="Times New Roman" w:hAnsi="Times New Roman"/>
          <w:color w:val="000000"/>
          <w:sz w:val="20"/>
        </w:rPr>
        <w:t> </w:t>
      </w:r>
    </w:p>
    <w:p>
      <w:pPr>
        <w:pStyle w:val="TextBody"/>
        <w:bidi w:val="0"/>
        <w:spacing w:before="240" w:after="283"/>
        <w:jc w:val="left"/>
        <w:rPr>
          <w:rFonts w:ascii="Times New Roman" w:hAnsi="Times New Roman"/>
          <w:sz w:val="20"/>
        </w:rPr>
      </w:pPr>
      <w:r>
        <w:rPr>
          <w:rFonts w:ascii="Times New Roman" w:hAnsi="Times New Roman"/>
          <w:color w:val="000000"/>
          <w:sz w:val="24"/>
        </w:rPr>
        <w:t>FOR VALUE RECEIVED _____________________ sells, assigns and transfers unto</w:t>
        <w:br/>
      </w:r>
      <w:r>
        <w:rPr>
          <w:rFonts w:ascii="Times New Roman" w:hAnsi="Times New Roman"/>
          <w:color w:val="000000"/>
          <w:sz w:val="24"/>
          <w:u w:val="single"/>
        </w:rPr>
        <w:t>______________________________________________________________________________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(Please print name and address of transferee)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Rights Certificate, together with all right, title and interest therein, and irrevocably constitutes and appoints ______________________________ as attorney-in-fact to transfer this Rights Certificate on the books of the Company, with full power of substitution.</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 Medallion Guaranteed: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Signatures must be guaranteed by a member or participant in the Medallion Signature Guarantee Program at a guarantee level acceptable to the Company’s transfer agent. Guarantees by a notary public are not acceptable.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undersigned certifies, for the benefit of the Company and all holders of Rights and Common Stock, by checking the appropriate boxes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 the Right(s) evidenced by this Rights Certificate are not Beneficially Owned and</w:t>
      </w:r>
    </w:p>
    <w:p>
      <w:pPr>
        <w:pStyle w:val="TextBody"/>
        <w:bidi w:val="0"/>
        <w:spacing w:before="240" w:after="283"/>
        <w:jc w:val="left"/>
        <w:rPr>
          <w:color w:val="000000"/>
        </w:rPr>
      </w:pPr>
      <w:r>
        <w:rPr>
          <w:color w:val="000000"/>
        </w:rPr>
        <w:t xml:space="preserve">☐ </w:t>
      </w:r>
      <w:r>
        <w:rPr>
          <w:rFonts w:ascii="Times New Roman" w:hAnsi="Times New Roman"/>
          <w:color w:val="000000"/>
          <w:sz w:val="24"/>
        </w:rPr>
        <w:t>are</w:t>
      </w:r>
    </w:p>
    <w:p>
      <w:pPr>
        <w:pStyle w:val="TextBody"/>
        <w:bidi w:val="0"/>
        <w:spacing w:before="120" w:after="283"/>
        <w:jc w:val="left"/>
        <w:rPr>
          <w:color w:val="000000"/>
        </w:rPr>
      </w:pPr>
      <w:r>
        <w:rPr>
          <w:color w:val="000000"/>
        </w:rPr>
        <w:t xml:space="preserve">☐ </w:t>
      </w:r>
      <w:r>
        <w:rPr>
          <w:rFonts w:ascii="Times New Roman" w:hAnsi="Times New Roman"/>
          <w:color w:val="000000"/>
          <w:sz w:val="24"/>
        </w:rPr>
        <w:t>are not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 after due inquiry and to the best knowledge of the undersigned, it</w:t>
      </w:r>
    </w:p>
    <w:p>
      <w:pPr>
        <w:pStyle w:val="TextBody"/>
        <w:bidi w:val="0"/>
        <w:spacing w:before="240" w:after="283"/>
        <w:jc w:val="left"/>
        <w:rPr>
          <w:color w:val="000000"/>
        </w:rPr>
      </w:pPr>
      <w:r>
        <w:rPr>
          <w:color w:val="000000"/>
        </w:rPr>
        <w:t xml:space="preserve">☐ </w:t>
      </w:r>
      <w:r>
        <w:rPr>
          <w:rFonts w:ascii="Times New Roman" w:hAnsi="Times New Roman"/>
          <w:color w:val="000000"/>
          <w:sz w:val="24"/>
        </w:rPr>
        <w:t>did</w:t>
      </w:r>
    </w:p>
    <w:p>
      <w:pPr>
        <w:pStyle w:val="TextBody"/>
        <w:bidi w:val="0"/>
        <w:spacing w:before="120" w:after="283"/>
        <w:jc w:val="left"/>
        <w:rPr>
          <w:color w:val="000000"/>
        </w:rPr>
      </w:pPr>
      <w:r>
        <w:rPr>
          <w:color w:val="000000"/>
        </w:rPr>
        <w:t xml:space="preserve">☐ </w:t>
      </w:r>
      <w:r>
        <w:rPr>
          <w:rFonts w:ascii="Times New Roman" w:hAnsi="Times New Roman"/>
          <w:color w:val="000000"/>
          <w:sz w:val="24"/>
        </w:rPr>
        <w:t>did not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br/>
        <w:t>Dated: 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 Medallion Guaranteed: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Signatures must be guaranteed by a member or participant in the Medallion Signature Guarantee Program at a guarantee level acceptable to the Company’s transfer agent. Guarantees by a notary public are not acceptable.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of Reverse Side of Rights Certificate – continued]</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FORM OF ELECTION TO PURCHASE</w:t>
      </w:r>
    </w:p>
    <w:p>
      <w:pPr>
        <w:pStyle w:val="TextBody"/>
        <w:bidi w:val="0"/>
        <w:spacing w:before="160" w:after="283"/>
        <w:jc w:val="center"/>
        <w:rPr>
          <w:rFonts w:ascii="Times New Roman" w:hAnsi="Times New Roman"/>
          <w:color w:val="000000"/>
          <w:sz w:val="24"/>
        </w:rPr>
      </w:pPr>
      <w:r>
        <w:rPr>
          <w:rFonts w:ascii="Times New Roman" w:hAnsi="Times New Roman"/>
          <w:color w:val="000000"/>
          <w:sz w:val="24"/>
        </w:rPr>
        <w:t>(To be executed if holder desires to</w:t>
        <w:br/>
        <w:t>exercise Rights represented by the Rights Certificate.)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Seer, Inc.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undersigned irrevocably elects to exercise _________________________ Rights represented by this Rights Certificate to purchase the number of one one-thousandths of a share of Preferred Stock (or such other securities of the Company or of any other Person that may be issuable upon the exercise of the Rights) issuable upon the exercise of such Rights and requests that certificates for such shares be issued in the name of and delivered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Please insert social security or other identifying number: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r>
    </w:p>
    <w:p>
      <w:pPr>
        <w:pStyle w:val="TextBody"/>
        <w:bidi w:val="0"/>
        <w:jc w:val="center"/>
        <w:rPr>
          <w:rFonts w:ascii="Times New Roman" w:hAnsi="Times New Roman"/>
          <w:color w:val="000000"/>
          <w:sz w:val="20"/>
        </w:rPr>
      </w:pPr>
      <w:r>
        <w:rPr>
          <w:rFonts w:ascii="Times New Roman" w:hAnsi="Times New Roman"/>
          <w:color w:val="000000"/>
          <w:sz w:val="20"/>
        </w:rPr>
        <w:t>(Please print name and address)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such number of Rights is not all of the Rights evidenced by this Rights Certificate, a new Rights Certificate for the balance remaining of such Rights will be registered in the name of, and delivered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Please insert social security or other identifying number: </w:t>
      </w:r>
    </w:p>
    <w:p>
      <w:pPr>
        <w:pStyle w:val="TextBody"/>
        <w:bidi w:val="0"/>
        <w:jc w:val="center"/>
        <w:rPr>
          <w:rFonts w:ascii="Times New Roman" w:hAnsi="Times New Roman"/>
          <w:color w:val="000000"/>
          <w:sz w:val="20"/>
        </w:rPr>
      </w:pPr>
      <w:r>
        <w:rPr>
          <w:rFonts w:ascii="Times New Roman" w:hAnsi="Times New Roman"/>
          <w:color w:val="000000"/>
          <w:sz w:val="20"/>
        </w:rPr>
        <w:t>(Please print name and address)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Dated: 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 Medallion Guaranteed: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Signatures must be guaranteed by a member or participant in the Medallion Signature Guarantee Program at a guarantee level acceptable to the Company’s transfer agent. Guarantees by a notary public are not acceptable.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undersigned certifies, for the benefit of the Company and all holders of Rights and Common Stock, by checking the appropriate boxes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 the Right(s) evidenced by this Rights Certificate are not Beneficially Owned and</w:t>
      </w:r>
    </w:p>
    <w:p>
      <w:pPr>
        <w:pStyle w:val="TextBody"/>
        <w:bidi w:val="0"/>
        <w:spacing w:before="240" w:after="283"/>
        <w:jc w:val="left"/>
        <w:rPr>
          <w:color w:val="000000"/>
        </w:rPr>
      </w:pPr>
      <w:r>
        <w:rPr>
          <w:color w:val="000000"/>
        </w:rPr>
        <w:t xml:space="preserve">☐ </w:t>
      </w:r>
      <w:r>
        <w:rPr>
          <w:rFonts w:ascii="Times New Roman" w:hAnsi="Times New Roman"/>
          <w:color w:val="000000"/>
          <w:sz w:val="24"/>
        </w:rPr>
        <w:t>are</w:t>
      </w:r>
    </w:p>
    <w:p>
      <w:pPr>
        <w:pStyle w:val="TextBody"/>
        <w:bidi w:val="0"/>
        <w:spacing w:before="120" w:after="283"/>
        <w:jc w:val="left"/>
        <w:rPr>
          <w:color w:val="000000"/>
        </w:rPr>
      </w:pPr>
      <w:r>
        <w:rPr>
          <w:color w:val="000000"/>
        </w:rPr>
        <w:t xml:space="preserve">☐ </w:t>
      </w:r>
      <w:r>
        <w:rPr>
          <w:rFonts w:ascii="Times New Roman" w:hAnsi="Times New Roman"/>
          <w:color w:val="000000"/>
          <w:sz w:val="24"/>
        </w:rPr>
        <w:t>are not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 after due inquiry and to the best knowledge of the undersigned, it</w:t>
      </w:r>
    </w:p>
    <w:p>
      <w:pPr>
        <w:pStyle w:val="TextBody"/>
        <w:bidi w:val="0"/>
        <w:spacing w:before="240" w:after="283"/>
        <w:jc w:val="left"/>
        <w:rPr>
          <w:color w:val="000000"/>
        </w:rPr>
      </w:pPr>
      <w:r>
        <w:rPr>
          <w:color w:val="000000"/>
        </w:rPr>
        <w:t xml:space="preserve">☐ </w:t>
      </w:r>
      <w:r>
        <w:rPr>
          <w:rFonts w:ascii="Times New Roman" w:hAnsi="Times New Roman"/>
          <w:color w:val="000000"/>
          <w:sz w:val="24"/>
        </w:rPr>
        <w:t>did</w:t>
      </w:r>
    </w:p>
    <w:p>
      <w:pPr>
        <w:pStyle w:val="TextBody"/>
        <w:bidi w:val="0"/>
        <w:spacing w:before="120" w:after="283"/>
        <w:jc w:val="left"/>
        <w:rPr>
          <w:color w:val="000000"/>
        </w:rPr>
      </w:pPr>
      <w:r>
        <w:rPr>
          <w:color w:val="000000"/>
        </w:rPr>
        <w:t xml:space="preserve">☐ </w:t>
      </w:r>
      <w:r>
        <w:rPr>
          <w:rFonts w:ascii="Times New Roman" w:hAnsi="Times New Roman"/>
          <w:color w:val="000000"/>
          <w:sz w:val="24"/>
        </w:rPr>
        <w:t>did not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br/>
        <w:t>Dated: 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 Medallion Guaranteed: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Signatures must be guaranteed by a member or participant in the Medallion Signature Guarantee Program at a guarantee level acceptable to the Company’s transfer agent. Guarantees by a notary public are not acceptable.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of Reverse Side of Rights Certificate – continued]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signature in the foregoing Forms of Assignment and Election to Purchase, as the case may be, must conform to the name as written upon the face of this Rights Certificate in every particular, without alteration or enlargement or any change whatsoever.</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IF THE CERTIFICATIONS SET FORTH IN THE FOREGOING FORMS OF ASSIGNMENT AND ELECTION TO PURCHASE, AS THE CASE MAY BE, ARE NOT COMPLETED, THEN THE COMPANY AND THE RIGHTS AGENT WILL DEEM THE BENEFICIAL OWNER OF THE RIGHTS EVIDENCED BY THIS RIGHTS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w:t>
        <w:br/>
        <w:t>SUMMARY OF RIGHTS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SUMMARY OF</w:t>
      </w:r>
    </w:p>
    <w:p>
      <w:pPr>
        <w:pStyle w:val="TextBody"/>
        <w:bidi w:val="0"/>
        <w:jc w:val="center"/>
        <w:rPr>
          <w:rFonts w:ascii="Times New Roman" w:hAnsi="Times New Roman"/>
          <w:b/>
          <w:color w:val="000000"/>
          <w:sz w:val="24"/>
        </w:rPr>
      </w:pPr>
      <w:r>
        <w:rPr>
          <w:rFonts w:ascii="Times New Roman" w:hAnsi="Times New Roman"/>
          <w:b/>
          <w:color w:val="000000"/>
          <w:sz w:val="24"/>
        </w:rPr>
        <w:t>TAX BENEFIT PRESERVATION PLAN</w:t>
        <w:br/>
        <w:t>OF</w:t>
      </w:r>
    </w:p>
    <w:p>
      <w:pPr>
        <w:pStyle w:val="TextBody"/>
        <w:bidi w:val="0"/>
        <w:jc w:val="center"/>
        <w:rPr>
          <w:rFonts w:ascii="Times New Roman" w:hAnsi="Times New Roman"/>
          <w:b/>
          <w:color w:val="000000"/>
          <w:sz w:val="24"/>
        </w:rPr>
      </w:pPr>
      <w:r>
        <w:rPr>
          <w:rFonts w:ascii="Times New Roman" w:hAnsi="Times New Roman"/>
          <w:b/>
          <w:color w:val="000000"/>
          <w:sz w:val="24"/>
        </w:rPr>
        <w:t>SEER, INC.</w:t>
      </w:r>
    </w:p>
    <w:p>
      <w:pPr>
        <w:pStyle w:val="TextBody"/>
        <w:bidi w:val="0"/>
        <w:spacing w:before="240" w:after="283"/>
        <w:jc w:val="left"/>
        <w:rPr>
          <w:rFonts w:ascii="Times New Roman" w:hAnsi="Times New Roman"/>
          <w:sz w:val="20"/>
        </w:rPr>
      </w:pPr>
      <w:r>
        <w:rPr>
          <w:rFonts w:ascii="Times New Roman" w:hAnsi="Times New Roman"/>
          <w:color w:val="000000"/>
          <w:sz w:val="24"/>
        </w:rPr>
        <w:t>As of February 26, 2026, the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of Seer,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authorized and declared a dividend distribution of one right (a “</w:t>
      </w:r>
      <w:r>
        <w:rPr>
          <w:rFonts w:ascii="Times New Roman" w:hAnsi="Times New Roman"/>
          <w:b/>
          <w:color w:val="000000"/>
          <w:sz w:val="24"/>
        </w:rPr>
        <w:t>Right</w:t>
      </w:r>
      <w:r>
        <w:rPr>
          <w:rFonts w:ascii="Times New Roman" w:hAnsi="Times New Roman"/>
          <w:color w:val="000000"/>
          <w:sz w:val="20"/>
        </w:rPr>
        <w:t>”</w:t>
      </w:r>
      <w:r>
        <w:rPr>
          <w:rFonts w:ascii="Times New Roman" w:hAnsi="Times New Roman"/>
          <w:color w:val="000000"/>
          <w:sz w:val="24"/>
        </w:rPr>
        <w:t>) for each outstanding share of Class A Common Stock, par value $0.00001 per share (the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of the Company to stockholders of record as of the close of business on March 9, 2026 (the “</w:t>
      </w:r>
      <w:r>
        <w:rPr>
          <w:rFonts w:ascii="Times New Roman" w:hAnsi="Times New Roman"/>
          <w:b/>
          <w:color w:val="000000"/>
          <w:sz w:val="24"/>
        </w:rPr>
        <w:t>Record Date</w:t>
      </w:r>
      <w:r>
        <w:rPr>
          <w:rFonts w:ascii="Times New Roman" w:hAnsi="Times New Roman"/>
          <w:color w:val="000000"/>
          <w:sz w:val="20"/>
        </w:rPr>
        <w:t>”</w:t>
      </w:r>
      <w:r>
        <w:rPr>
          <w:rFonts w:ascii="Times New Roman" w:hAnsi="Times New Roman"/>
          <w:color w:val="000000"/>
          <w:sz w:val="24"/>
        </w:rPr>
        <w:t>). Each Right entitles the registered holder to purchase from the Company one one-thousandth of a share of Series A Participating Preferred Stock, par value $0.00001 per share (the “</w:t>
      </w:r>
      <w:r>
        <w:rPr>
          <w:rFonts w:ascii="Times New Roman" w:hAnsi="Times New Roman"/>
          <w:b/>
          <w:color w:val="000000"/>
          <w:sz w:val="24"/>
        </w:rPr>
        <w:t>Preferred Stock</w:t>
      </w:r>
      <w:r>
        <w:rPr>
          <w:rFonts w:ascii="Times New Roman" w:hAnsi="Times New Roman"/>
          <w:color w:val="000000"/>
          <w:sz w:val="20"/>
        </w:rPr>
        <w:t>”</w:t>
      </w:r>
      <w:r>
        <w:rPr>
          <w:rFonts w:ascii="Times New Roman" w:hAnsi="Times New Roman"/>
          <w:color w:val="000000"/>
          <w:sz w:val="24"/>
        </w:rPr>
        <w:t>), of the Company at an exercise price of $11.00 (the “</w:t>
      </w:r>
      <w:r>
        <w:rPr>
          <w:rFonts w:ascii="Times New Roman" w:hAnsi="Times New Roman"/>
          <w:b/>
          <w:color w:val="000000"/>
          <w:sz w:val="24"/>
        </w:rPr>
        <w:t>Exercise Price</w:t>
      </w:r>
      <w:r>
        <w:rPr>
          <w:rFonts w:ascii="Times New Roman" w:hAnsi="Times New Roman"/>
          <w:color w:val="000000"/>
          <w:sz w:val="20"/>
        </w:rPr>
        <w:t>”</w:t>
      </w:r>
      <w:r>
        <w:rPr>
          <w:rFonts w:ascii="Times New Roman" w:hAnsi="Times New Roman"/>
          <w:color w:val="000000"/>
          <w:sz w:val="24"/>
        </w:rPr>
        <w:t>), subject to adjustment. The complete terms of the Rights are set forth in a Tax Benefit Preservation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dated as of February 26, 2026, between the Company and Computershare Trust Company, N.A., as rights agent.</w:t>
      </w:r>
    </w:p>
    <w:p>
      <w:pPr>
        <w:pStyle w:val="TextBody"/>
        <w:bidi w:val="0"/>
        <w:spacing w:before="240" w:after="283"/>
        <w:jc w:val="left"/>
        <w:rPr>
          <w:rFonts w:ascii="Times New Roman" w:hAnsi="Times New Roman"/>
          <w:sz w:val="20"/>
        </w:rPr>
      </w:pPr>
      <w:r>
        <w:rPr>
          <w:rFonts w:ascii="Times New Roman" w:hAnsi="Times New Roman"/>
          <w:color w:val="000000"/>
          <w:sz w:val="24"/>
        </w:rPr>
        <w:t>By adopting the Plan, the Board is seeking to protect the Company’s ability to use its net operating losses and other tax attributes (collectively, “</w:t>
      </w:r>
      <w:r>
        <w:rPr>
          <w:rFonts w:ascii="Times New Roman" w:hAnsi="Times New Roman"/>
          <w:b/>
          <w:color w:val="000000"/>
          <w:sz w:val="24"/>
        </w:rPr>
        <w:t>Tax Benefits</w:t>
      </w:r>
      <w:r>
        <w:rPr>
          <w:rFonts w:ascii="Times New Roman" w:hAnsi="Times New Roman"/>
          <w:color w:val="000000"/>
          <w:sz w:val="20"/>
        </w:rPr>
        <w:t>”</w:t>
      </w:r>
      <w:r>
        <w:rPr>
          <w:rFonts w:ascii="Times New Roman" w:hAnsi="Times New Roman"/>
          <w:color w:val="000000"/>
          <w:sz w:val="24"/>
        </w:rPr>
        <w:t>). The Company views its Tax Benefits as highly valuable assets of the Company that are likely to inure to the benefit of the Company and its stockholders. However, if the Company experiences an “ownership change,” as defined in Section 382 of the Internal Revenue Code (the “</w:t>
      </w:r>
      <w:r>
        <w:rPr>
          <w:rFonts w:ascii="Times New Roman" w:hAnsi="Times New Roman"/>
          <w:b/>
          <w:color w:val="000000"/>
          <w:sz w:val="24"/>
        </w:rPr>
        <w:t>Code</w:t>
      </w:r>
      <w:r>
        <w:rPr>
          <w:rFonts w:ascii="Times New Roman" w:hAnsi="Times New Roman"/>
          <w:color w:val="000000"/>
          <w:sz w:val="20"/>
        </w:rPr>
        <w:t>”</w:t>
      </w:r>
      <w:r>
        <w:rPr>
          <w:rFonts w:ascii="Times New Roman" w:hAnsi="Times New Roman"/>
          <w:color w:val="000000"/>
          <w:sz w:val="24"/>
        </w:rPr>
        <w:t>), its ability to use the Tax Benefits could be substantially limited, and the timing of the usage of the Tax Benefits could be substantially delayed; these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deter acquisitions of 4.9 percent or more of the outstanding Common Stock by any person without the approval of the Board. This would protect the Tax Benefits because changes in ownership by a person owning less than 4.9 percent of the Common Stock are not included in the calculation of “ownership change” for purposes of Section 382 of the Code. The Board believes that it is in the best interests of the Company and its stockholders that the Company provide for the protection of the Tax Benefits by adopting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those interested in the specific terms of the Plan, the following is a summary description. Please note, however, that this description is only a summary and is not complete, and should be read together with the entire Plan, which has been filed by the Company with the United States Securities and Exchange Commission as an exhibit to a Registration Statement on Form 8-A and a Current Report on Form 8-K. A copy of the Plan is available free of charge from the Company.</w:t>
      </w:r>
    </w:p>
    <w:tbl>
      <w:tblPr>
        <w:tblW w:w="10205" w:type="dxa"/>
        <w:jc w:val="left"/>
        <w:tblInd w:w="0" w:type="dxa"/>
        <w:tblLayout w:type="fixed"/>
        <w:tblCellMar>
          <w:top w:w="28" w:type="dxa"/>
          <w:left w:w="28" w:type="dxa"/>
          <w:bottom w:w="28" w:type="dxa"/>
          <w:right w:w="28" w:type="dxa"/>
        </w:tblCellMar>
      </w:tblPr>
      <w:tblGrid>
        <w:gridCol w:w="2583"/>
        <w:gridCol w:w="7622"/>
      </w:tblGrid>
      <w:tr>
        <w:trPr/>
        <w:tc>
          <w:tcPr>
            <w:tcW w:w="2583" w:type="dxa"/>
            <w:tcBorders/>
            <w:vAlign w:val="center"/>
          </w:tcPr>
          <w:p>
            <w:pPr>
              <w:pStyle w:val="TableContents"/>
              <w:bidi w:val="0"/>
              <w:spacing w:before="0" w:after="283"/>
              <w:jc w:val="left"/>
              <w:rPr>
                <w:sz w:val="4"/>
                <w:szCs w:val="4"/>
              </w:rPr>
            </w:pPr>
            <w:r>
              <w:rPr>
                <w:sz w:val="4"/>
                <w:szCs w:val="4"/>
              </w:rPr>
            </w:r>
          </w:p>
        </w:tc>
        <w:tc>
          <w:tcPr>
            <w:tcW w:w="7622" w:type="dxa"/>
            <w:tcBorders/>
            <w:vAlign w:val="center"/>
          </w:tcPr>
          <w:p>
            <w:pPr>
              <w:pStyle w:val="TableContents"/>
              <w:bidi w:val="0"/>
              <w:spacing w:before="0" w:after="283"/>
              <w:jc w:val="left"/>
              <w:rPr>
                <w:sz w:val="4"/>
                <w:szCs w:val="4"/>
              </w:rPr>
            </w:pPr>
            <w:r>
              <w:rPr>
                <w:sz w:val="4"/>
                <w:szCs w:val="4"/>
              </w:rPr>
            </w:r>
          </w:p>
        </w:tc>
      </w:tr>
      <w:tr>
        <w:trPr/>
        <w:tc>
          <w:tcPr>
            <w:tcW w:w="258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Distribution and Transfer of Rights; Rights Certificates:</w:t>
            </w:r>
          </w:p>
        </w:tc>
        <w:tc>
          <w:tcPr>
            <w:tcW w:w="762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The Board has declared a dividend of one Right for each outstanding share of Common Stock. Prior to the Distribution Date referred to below:</w:t>
            </w:r>
          </w:p>
          <w:p>
            <w:pPr>
              <w:pStyle w:val="TableContents"/>
              <w:bidi w:val="0"/>
              <w:spacing w:before="240" w:after="283"/>
              <w:jc w:val="left"/>
              <w:rPr/>
            </w:pPr>
            <w:r>
              <w:rPr>
                <w:color w:val="000000"/>
              </w:rPr>
              <w:t xml:space="preserve"> </w:t>
            </w:r>
            <w:r>
              <w:rPr>
                <w:rFonts w:ascii="Times New Roman" w:hAnsi="Times New Roman"/>
                <w:color w:val="000000"/>
                <w:sz w:val="24"/>
              </w:rPr>
              <w:t>the Rights will be evidenced by and trade with the certificates for the Common Stock (or, with respect to any uncertificated Common Stock registered in book entry form, by notation in book entry), and no separate rights certificates will be distributed;</w:t>
            </w:r>
          </w:p>
          <w:p>
            <w:pPr>
              <w:pStyle w:val="TableContents"/>
              <w:bidi w:val="0"/>
              <w:spacing w:before="0" w:after="283"/>
              <w:jc w:val="left"/>
              <w:rPr/>
            </w:pPr>
            <w:r>
              <w:rPr>
                <w:color w:val="000000"/>
              </w:rPr>
              <w:t xml:space="preserve"> </w:t>
            </w:r>
            <w:r>
              <w:rPr>
                <w:rFonts w:ascii="Times New Roman" w:hAnsi="Times New Roman"/>
                <w:color w:val="000000"/>
                <w:sz w:val="24"/>
              </w:rPr>
              <w:t>new Common Stock certificates issued after the Record Date will contain a legend incorporating the Plan by reference (for uncertificated Common Stock registered in book entry form, this legend will be contained in a notation in book entry); and</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725"/>
        <w:gridCol w:w="8480"/>
      </w:tblGrid>
      <w:tr>
        <w:trPr/>
        <w:tc>
          <w:tcPr>
            <w:tcW w:w="1725" w:type="dxa"/>
            <w:tcBorders/>
            <w:vAlign w:val="center"/>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c>
          <w:tcPr>
            <w:tcW w:w="172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480" w:type="dxa"/>
            <w:tcBorders/>
            <w:tcMar>
              <w:top w:w="0" w:type="dxa"/>
              <w:left w:w="0" w:type="dxa"/>
              <w:bottom w:w="0" w:type="dxa"/>
              <w:right w:w="0" w:type="dxa"/>
            </w:tcMar>
            <w:vAlign w:val="center"/>
          </w:tcPr>
          <w:p>
            <w:pPr>
              <w:pStyle w:val="TableContents"/>
              <w:bidi w:val="0"/>
              <w:ind w:left="0" w:right="0" w:firstLine="720"/>
              <w:jc w:val="left"/>
              <w:rPr/>
            </w:pPr>
            <w:r>
              <w:rPr>
                <w:color w:val="000000"/>
              </w:rPr>
              <w:t xml:space="preserve"> </w:t>
            </w:r>
            <w:r>
              <w:rPr>
                <w:rFonts w:ascii="Times New Roman" w:hAnsi="Times New Roman"/>
                <w:color w:val="000000"/>
                <w:sz w:val="24"/>
              </w:rPr>
              <w:t xml:space="preserve">the surrender for transfer of any certificates for Common Stock (or the surrender for transfer of any uncertificated Common Stock registered in book entry form) will also constitute the transfer of the Rights associated with such Common Stock. </w:t>
            </w:r>
          </w:p>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Rights will accompany any new shares of Common Stock that are issued after the Record Date.</w:t>
            </w:r>
          </w:p>
        </w:tc>
      </w:tr>
      <w:tr>
        <w:trPr/>
        <w:tc>
          <w:tcPr>
            <w:tcW w:w="172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Distribution Date:</w:t>
            </w:r>
          </w:p>
        </w:tc>
        <w:tc>
          <w:tcPr>
            <w:tcW w:w="848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color w:val="000000"/>
                <w:sz w:val="24"/>
              </w:rPr>
              <w:t>Subject to certain exceptions specified in the Plan, the Rights will separate from the Common Stock and become exercisable following (1) the 10th business day (or such later date as may be determined by the Board) after the public announcement that a person or group of affiliated or associated persons (such person or group, an “</w:t>
            </w:r>
            <w:r>
              <w:rPr>
                <w:rFonts w:ascii="Times New Roman" w:hAnsi="Times New Roman"/>
                <w:b/>
                <w:color w:val="000000"/>
                <w:sz w:val="24"/>
              </w:rPr>
              <w:t>Acquiring Person</w:t>
            </w:r>
            <w:r>
              <w:rPr>
                <w:rFonts w:ascii="Times New Roman" w:hAnsi="Times New Roman"/>
                <w:color w:val="000000"/>
                <w:sz w:val="24"/>
              </w:rPr>
              <w:t>”) has acquired beneficial ownership of 4.9 percent or more of the Common Stock or (2) the 10th business day (or such later date as may be determined by the Board) after a person or group announces a tender or exchange offer that would result in ownership by a person or group of 4.9 percent or more of the Common Stock. For purposes of the Plan, beneficial ownership is defined to include the ownership of derivative securities as well as ownership of securities pursuant to Section 382 of the Code.</w:t>
            </w:r>
          </w:p>
          <w:p>
            <w:pPr>
              <w:pStyle w:val="TableContents"/>
              <w:bidi w:val="0"/>
              <w:spacing w:before="240" w:after="283"/>
              <w:jc w:val="left"/>
              <w:rPr>
                <w:rFonts w:ascii="Times New Roman" w:hAnsi="Times New Roman"/>
                <w:sz w:val="24"/>
              </w:rPr>
            </w:pPr>
            <w:r>
              <w:rPr>
                <w:rFonts w:ascii="Times New Roman" w:hAnsi="Times New Roman"/>
                <w:color w:val="000000"/>
                <w:sz w:val="24"/>
              </w:rPr>
              <w:t>The date on which the Rights separate from the Common Stock and become exercisable is referred to as the “</w:t>
            </w:r>
            <w:r>
              <w:rPr>
                <w:rFonts w:ascii="Times New Roman" w:hAnsi="Times New Roman"/>
                <w:b/>
                <w:color w:val="000000"/>
                <w:sz w:val="24"/>
              </w:rPr>
              <w:t>Distribution Date</w:t>
            </w:r>
            <w:r>
              <w:rPr>
                <w:rFonts w:ascii="Times New Roman" w:hAnsi="Times New Roman"/>
                <w:color w:val="000000"/>
                <w:sz w:val="24"/>
              </w:rPr>
              <w:t>.”</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tc>
      </w:tr>
      <w:tr>
        <w:trPr/>
        <w:tc>
          <w:tcPr>
            <w:tcW w:w="172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Preferred Stock Purchasable Upon Exercise of Rights:</w:t>
            </w:r>
          </w:p>
        </w:tc>
        <w:tc>
          <w:tcPr>
            <w:tcW w:w="848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More specifically, each one one-thousandth of a share of Preferred Stock, if issued, will:</w:t>
            </w:r>
          </w:p>
          <w:p>
            <w:pPr>
              <w:pStyle w:val="TableContents"/>
              <w:bidi w:val="0"/>
              <w:spacing w:before="240" w:after="283"/>
              <w:jc w:val="left"/>
              <w:rPr/>
            </w:pPr>
            <w:r>
              <w:rPr>
                <w:color w:val="000000"/>
              </w:rPr>
              <w:t xml:space="preserve"> </w:t>
            </w:r>
            <w:r>
              <w:rPr>
                <w:rFonts w:ascii="Times New Roman" w:hAnsi="Times New Roman"/>
                <w:color w:val="000000"/>
                <w:sz w:val="24"/>
              </w:rPr>
              <w:t>not be redeemable;</w:t>
            </w:r>
          </w:p>
          <w:p>
            <w:pPr>
              <w:pStyle w:val="TableContents"/>
              <w:bidi w:val="0"/>
              <w:jc w:val="left"/>
              <w:rPr/>
            </w:pPr>
            <w:r>
              <w:rPr>
                <w:color w:val="000000"/>
              </w:rPr>
              <w:t xml:space="preserve"> </w:t>
            </w:r>
            <w:r>
              <w:rPr>
                <w:rFonts w:ascii="Times New Roman" w:hAnsi="Times New Roman"/>
                <w:color w:val="000000"/>
                <w:sz w:val="24"/>
              </w:rPr>
              <w:t>entitle holders to quarterly dividend payments of $0.001 per one one-thousandth of a share of Preferred Stock, or an amount equal to the dividend paid on one share of Common Stock, whichever is greater;</w:t>
            </w:r>
          </w:p>
          <w:p>
            <w:pPr>
              <w:pStyle w:val="TableContents"/>
              <w:bidi w:val="0"/>
              <w:jc w:val="left"/>
              <w:rPr/>
            </w:pPr>
            <w:r>
              <w:rPr>
                <w:color w:val="000000"/>
              </w:rPr>
              <w:t xml:space="preserve"> </w:t>
            </w:r>
            <w:r>
              <w:rPr>
                <w:rFonts w:ascii="Times New Roman" w:hAnsi="Times New Roman"/>
                <w:color w:val="000000"/>
                <w:sz w:val="24"/>
              </w:rPr>
              <w:t>entitle holders upon liquidation either to receive $1 per one one-thousandth of a share of Preferred Stock or an amount equal to the payment made on one share of Common Stock, whichever is greater;</w:t>
            </w:r>
          </w:p>
          <w:p>
            <w:pPr>
              <w:pStyle w:val="TableContents"/>
              <w:bidi w:val="0"/>
              <w:jc w:val="left"/>
              <w:rPr/>
            </w:pPr>
            <w:r>
              <w:rPr>
                <w:color w:val="000000"/>
              </w:rPr>
              <w:t xml:space="preserve"> </w:t>
            </w:r>
            <w:r>
              <w:rPr>
                <w:rFonts w:ascii="Times New Roman" w:hAnsi="Times New Roman"/>
                <w:color w:val="000000"/>
                <w:sz w:val="24"/>
              </w:rPr>
              <w:t>have the same voting power as one share of Common Stock; and</w:t>
            </w:r>
          </w:p>
          <w:p>
            <w:pPr>
              <w:pStyle w:val="TableContents"/>
              <w:bidi w:val="0"/>
              <w:spacing w:before="0" w:after="283"/>
              <w:jc w:val="left"/>
              <w:rPr/>
            </w:pPr>
            <w:r>
              <w:rPr>
                <w:color w:val="000000"/>
              </w:rPr>
              <w:t xml:space="preserve"> </w:t>
            </w:r>
            <w:r>
              <w:rPr>
                <w:rFonts w:ascii="Times New Roman" w:hAnsi="Times New Roman"/>
                <w:color w:val="000000"/>
                <w:sz w:val="24"/>
              </w:rPr>
              <w:t>entitle holders to a payment per one one-thousandth of a share of Preferred Stock equal to the payment made on one share of Common Stock if the Common Stock is exchanged via merger, consolidation or a similar transaction.</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522"/>
        <w:gridCol w:w="8683"/>
      </w:tblGrid>
      <w:tr>
        <w:trPr/>
        <w:tc>
          <w:tcPr>
            <w:tcW w:w="1522" w:type="dxa"/>
            <w:tcBorders/>
            <w:vAlign w:val="center"/>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r>
      <w:tr>
        <w:trPr/>
        <w:tc>
          <w:tcPr>
            <w:tcW w:w="152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Flip-In Trigger:</w:t>
            </w:r>
          </w:p>
        </w:tc>
        <w:tc>
          <w:tcPr>
            <w:tcW w:w="868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color w:val="000000"/>
                <w:sz w:val="24"/>
              </w:rPr>
              <w:t xml:space="preserve">If an Acquiring Person obtains beneficial ownership of 4.9 percent or more of the Common Stock, </w:t>
            </w:r>
            <w:r>
              <w:rPr>
                <w:rFonts w:ascii="Times New Roman" w:hAnsi="Times New Roman"/>
                <w:i/>
                <w:color w:val="000000"/>
                <w:sz w:val="24"/>
              </w:rPr>
              <w:t>then</w:t>
            </w:r>
            <w:r>
              <w:rPr>
                <w:rFonts w:ascii="Times New Roman" w:hAnsi="Times New Roman"/>
                <w:color w:val="000000"/>
                <w:sz w:val="24"/>
              </w:rPr>
              <w:t>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Following the occurrence of an event set forth in preceding paragraph, all Rights that are or, under certain circumstances specified in the Plan, were beneficially owned by an Acquiring Person or certain of its transferees will be void.</w:t>
            </w:r>
          </w:p>
        </w:tc>
      </w:tr>
      <w:tr>
        <w:trPr/>
        <w:tc>
          <w:tcPr>
            <w:tcW w:w="152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Flip-Over Trigger:</w:t>
            </w:r>
          </w:p>
        </w:tc>
        <w:tc>
          <w:tcPr>
            <w:tcW w:w="868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color w:val="000000"/>
                <w:sz w:val="24"/>
              </w:rPr>
              <w:t xml:space="preserve">If, after an Acquiring Person obtains 4.9 percent or more of the Common Stock, (1) the Company merges into another entity, (2) an acquiring entity merges into the Company or (3) the Company sells or transfers 50 percent or more of its assets, cash flow or earning power, </w:t>
            </w:r>
            <w:r>
              <w:rPr>
                <w:rFonts w:ascii="Times New Roman" w:hAnsi="Times New Roman"/>
                <w:i/>
                <w:color w:val="000000"/>
                <w:sz w:val="24"/>
              </w:rPr>
              <w:t>then</w:t>
            </w:r>
            <w:r>
              <w:rPr>
                <w:rFonts w:ascii="Times New Roman" w:hAnsi="Times New Roman"/>
                <w:color w:val="000000"/>
                <w:sz w:val="24"/>
              </w:rPr>
              <w:t>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tc>
      </w:tr>
      <w:tr>
        <w:trPr/>
        <w:tc>
          <w:tcPr>
            <w:tcW w:w="152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Redemption of the Rights:</w:t>
            </w:r>
          </w:p>
        </w:tc>
        <w:tc>
          <w:tcPr>
            <w:tcW w:w="868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 Person has acquired beneficial ownership of 4.9 percent or more of the Common Stock. Immediately upon the action of the Board ordering redemption, the Rights will terminate and the only right of the holders of the Rights will be to receive the $0.001 redemption price. The redemption price will be adjusted if the Company undertakes a stock dividend or a stock split.</w:t>
            </w:r>
          </w:p>
        </w:tc>
      </w:tr>
      <w:tr>
        <w:trPr/>
        <w:tc>
          <w:tcPr>
            <w:tcW w:w="152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Exchange Provision:</w:t>
            </w:r>
          </w:p>
        </w:tc>
        <w:tc>
          <w:tcPr>
            <w:tcW w:w="868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At any time after the date on which an Acquiring Person beneficially owns 4.9 percent or more of the Common Stock and prior to the acquisition by the Acquiring Person of 50 percent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tc>
      </w:tr>
      <w:tr>
        <w:trPr/>
        <w:tc>
          <w:tcPr>
            <w:tcW w:w="152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Expiration of the Rights:</w:t>
            </w:r>
          </w:p>
        </w:tc>
        <w:tc>
          <w:tcPr>
            <w:tcW w:w="868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The Rights expire on the earliest of (1) 5:00 p.m., New York City time, on February 25, 2029 (unless such date is extended); (2) the redemption or exchange of the Rights as described above; (3) 5:00 p.m., New York City time, on February 25, 2027, if the Company’s stockholders do not ratify the Plan; or (4) when the Board, its sole discretion, determines that (a) the Plan is no longer necessary or desirable for the preservation of the Tax Benefits, (b) the Tax Benefits are fully utilized or no longer available pursuant to Section 382 or Section 383 of the Code, (c) no Tax Benefits may be carried forward or (d) the Plan and the Rights are no longer in the best interests of the Company and its stockholders.</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009"/>
        <w:gridCol w:w="8196"/>
      </w:tblGrid>
      <w:tr>
        <w:trPr/>
        <w:tc>
          <w:tcPr>
            <w:tcW w:w="2009" w:type="dxa"/>
            <w:tcBorders/>
            <w:vAlign w:val="center"/>
          </w:tcPr>
          <w:p>
            <w:pPr>
              <w:pStyle w:val="TableContents"/>
              <w:bidi w:val="0"/>
              <w:spacing w:before="0" w:after="283"/>
              <w:jc w:val="left"/>
              <w:rPr>
                <w:sz w:val="4"/>
                <w:szCs w:val="4"/>
              </w:rPr>
            </w:pPr>
            <w:r>
              <w:rPr>
                <w:sz w:val="4"/>
                <w:szCs w:val="4"/>
              </w:rPr>
            </w:r>
          </w:p>
        </w:tc>
        <w:tc>
          <w:tcPr>
            <w:tcW w:w="8196" w:type="dxa"/>
            <w:tcBorders/>
            <w:vAlign w:val="center"/>
          </w:tcPr>
          <w:p>
            <w:pPr>
              <w:pStyle w:val="TableContents"/>
              <w:bidi w:val="0"/>
              <w:spacing w:before="0" w:after="283"/>
              <w:jc w:val="left"/>
              <w:rPr>
                <w:sz w:val="4"/>
                <w:szCs w:val="4"/>
              </w:rPr>
            </w:pPr>
            <w:r>
              <w:rPr>
                <w:sz w:val="4"/>
                <w:szCs w:val="4"/>
              </w:rPr>
            </w:r>
          </w:p>
        </w:tc>
      </w:tr>
      <w:tr>
        <w:trPr/>
        <w:tc>
          <w:tcPr>
            <w:tcW w:w="200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Amendment of Terms of the Plan and Rights:</w:t>
            </w:r>
          </w:p>
        </w:tc>
        <w:tc>
          <w:tcPr>
            <w:tcW w:w="819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tc>
      </w:tr>
      <w:tr>
        <w:trPr/>
        <w:tc>
          <w:tcPr>
            <w:tcW w:w="200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Voting Rights; Other Stockholder Rights:</w:t>
            </w:r>
          </w:p>
        </w:tc>
        <w:tc>
          <w:tcPr>
            <w:tcW w:w="819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The Rights will not have any voting rights. Until a Right is exercised, the holder thereof, as such, will have no separate rights as stockholder of the Company.</w:t>
            </w:r>
          </w:p>
        </w:tc>
      </w:tr>
      <w:tr>
        <w:trPr/>
        <w:tc>
          <w:tcPr>
            <w:tcW w:w="200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Anti-Dilution Provisions:</w:t>
            </w:r>
          </w:p>
        </w:tc>
        <w:tc>
          <w:tcPr>
            <w:tcW w:w="819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The Board may adjust the Exercise Price, the number of shares of Preferred Stock issuable and the number of outstanding Rights to prevent dilution that may occur from a stock dividend, a stock split or a reclassification of the Preferred Stock or Common Stock.</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With certain exceptions, no adjustments to the Exercise Price will be made until the cumulative adjustments amount to at least one percent of the Exercise Price. No fractional shares of Preferred Stock will be issued and, in lieu thereof, an adjustment in cash will be made based on the current market price of the Preferred Stock.</w:t>
            </w:r>
          </w:p>
        </w:tc>
      </w:tr>
      <w:tr>
        <w:trPr/>
        <w:tc>
          <w:tcPr>
            <w:tcW w:w="200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Taxes:</w:t>
            </w:r>
          </w:p>
        </w:tc>
        <w:tc>
          <w:tcPr>
            <w:tcW w:w="819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The distribution of Rights should not be taxable for federal income tax purposes. However, following an event that renders the Rights exercisable or upon redemption of the Rights, stockholders may recognize taxable income.</w:t>
            </w:r>
          </w:p>
        </w:tc>
      </w:tr>
    </w:tbl>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AMENDMENT NO. 1 TO</w:t>
      </w:r>
    </w:p>
    <w:p>
      <w:pPr>
        <w:pStyle w:val="TextBody"/>
        <w:bidi w:val="0"/>
        <w:jc w:val="center"/>
        <w:rPr>
          <w:rFonts w:ascii="Times New Roman" w:hAnsi="Times New Roman"/>
          <w:b/>
          <w:color w:val="000000"/>
          <w:sz w:val="24"/>
        </w:rPr>
      </w:pPr>
      <w:r>
        <w:rPr>
          <w:rFonts w:ascii="Times New Roman" w:hAnsi="Times New Roman"/>
          <w:b/>
          <w:color w:val="000000"/>
          <w:sz w:val="24"/>
        </w:rPr>
        <w:t>TAX BENEFIT PRESERVATION PLAN</w:t>
      </w:r>
    </w:p>
    <w:p>
      <w:pPr>
        <w:pStyle w:val="TextBody"/>
        <w:bidi w:val="0"/>
        <w:spacing w:before="240" w:after="283"/>
        <w:jc w:val="left"/>
        <w:rPr>
          <w:rFonts w:ascii="Times New Roman" w:hAnsi="Times New Roman"/>
          <w:sz w:val="20"/>
        </w:rPr>
      </w:pPr>
      <w:r>
        <w:rPr>
          <w:rFonts w:ascii="Times New Roman" w:hAnsi="Times New Roman"/>
          <w:color w:val="000000"/>
          <w:sz w:val="24"/>
        </w:rPr>
        <w:t>This Amendment No. 1 to Tax Benefit Preservation Plan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dated as of March 13,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and amends the Tax Benefit Preservation Plan, dated as of February 26, 2026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between Seer,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Computershare Trust Company, N.A., a federally chartered trust company, as rights agent (the “</w:t>
      </w:r>
      <w:r>
        <w:rPr>
          <w:rFonts w:ascii="Times New Roman" w:hAnsi="Times New Roman"/>
          <w:b/>
          <w:color w:val="000000"/>
          <w:sz w:val="24"/>
        </w:rPr>
        <w:t>Rights Agent</w:t>
      </w:r>
      <w:r>
        <w:rPr>
          <w:rFonts w:ascii="Times New Roman" w:hAnsi="Times New Roman"/>
          <w:color w:val="000000"/>
          <w:sz w:val="20"/>
        </w:rPr>
        <w:t>”</w:t>
      </w:r>
      <w:r>
        <w:rPr>
          <w:rFonts w:ascii="Times New Roman" w:hAnsi="Times New Roman"/>
          <w:color w:val="000000"/>
          <w:sz w:val="24"/>
        </w:rPr>
        <w:t>). Capitalized terms used in this Amendment and not otherwise defined have the meaning given to them in the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The Company previously entered into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In accordance with Section 28 of the Plan, for so long as the Rights are redeemable, the Company may in its sole discretion supplement or amend the Plan in any respect without the approval of any holders of Rights Certificates, Preferred Stock or Common Stock, and the Rights Agent must, if the Company so directs, execute such supplement or amendment.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The Rights are currently redeemable and no person is an Acquiring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 The Company wishes to clarify certain terms in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 The Company has delivered to the Rights Agent a certificate stating that this Amendment complies with Section 28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 The Rights Agent is directed to join in this Amendment.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therefore agree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1.</w:t>
      </w:r>
    </w:p>
    <w:p>
      <w:pPr>
        <w:pStyle w:val="TextBody"/>
        <w:bidi w:val="0"/>
        <w:spacing w:before="240" w:after="283"/>
        <w:jc w:val="left"/>
        <w:rPr/>
      </w:pPr>
      <w:r>
        <w:rPr>
          <w:rFonts w:ascii="Times New Roman" w:hAnsi="Times New Roman"/>
          <w:i/>
          <w:color w:val="000000"/>
          <w:sz w:val="24"/>
        </w:rPr>
        <w:t>Amendment of the Plan</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1(e) of the Plan is amended and restated as follows:</w:t>
      </w:r>
    </w:p>
    <w:p>
      <w:pPr>
        <w:pStyle w:val="Heading2"/>
        <w:bidi w:val="0"/>
        <w:spacing w:before="240" w:after="283"/>
        <w:jc w:val="left"/>
        <w:rPr/>
      </w:pPr>
      <w:r>
        <w:rPr>
          <w:color w:val="000000"/>
        </w:rPr>
        <w:t>“</w:t>
      </w:r>
      <w:r>
        <w:rPr>
          <w:rFonts w:ascii="Times New Roman" w:hAnsi="Times New Roman"/>
          <w:b w:val="false"/>
          <w:color w:val="000000"/>
          <w:sz w:val="24"/>
        </w:rPr>
        <w:t>(e) A Person will be deemed to be the “</w:t>
      </w:r>
      <w:r>
        <w:rPr>
          <w:rFonts w:ascii="Times New Roman" w:hAnsi="Times New Roman"/>
          <w:color w:val="000000"/>
          <w:sz w:val="24"/>
        </w:rPr>
        <w:t>Beneficial Owner</w:t>
      </w:r>
      <w:r>
        <w:rPr>
          <w:rFonts w:ascii="Times New Roman" w:hAnsi="Times New Roman"/>
          <w:color w:val="000000"/>
          <w:sz w:val="20"/>
        </w:rPr>
        <w:t xml:space="preserve">” </w:t>
      </w:r>
      <w:r>
        <w:rPr>
          <w:rFonts w:ascii="Times New Roman" w:hAnsi="Times New Roman"/>
          <w:b w:val="false"/>
          <w:color w:val="000000"/>
          <w:sz w:val="24"/>
        </w:rPr>
        <w:t>of, and will be deemed to “</w:t>
      </w:r>
      <w:r>
        <w:rPr>
          <w:rFonts w:ascii="Times New Roman" w:hAnsi="Times New Roman"/>
          <w:color w:val="000000"/>
          <w:sz w:val="24"/>
        </w:rPr>
        <w:t>Beneficially Own</w:t>
      </w:r>
      <w:r>
        <w:rPr>
          <w:rFonts w:ascii="Times New Roman" w:hAnsi="Times New Roman"/>
          <w:color w:val="000000"/>
          <w:sz w:val="20"/>
        </w:rPr>
        <w:t xml:space="preserve">” </w:t>
      </w:r>
      <w:r>
        <w:rPr>
          <w:rFonts w:ascii="Times New Roman" w:hAnsi="Times New Roman"/>
          <w:b w:val="false"/>
          <w:color w:val="000000"/>
          <w:sz w:val="24"/>
        </w:rPr>
        <w:t>and have “</w:t>
      </w:r>
      <w:r>
        <w:rPr>
          <w:rFonts w:ascii="Times New Roman" w:hAnsi="Times New Roman"/>
          <w:color w:val="000000"/>
          <w:sz w:val="24"/>
        </w:rPr>
        <w:t>Beneficial Ownership</w:t>
      </w:r>
      <w:r>
        <w:rPr>
          <w:rFonts w:ascii="Times New Roman" w:hAnsi="Times New Roman"/>
          <w:color w:val="000000"/>
          <w:sz w:val="20"/>
        </w:rPr>
        <w:t xml:space="preserve">” </w:t>
      </w:r>
      <w:r>
        <w:rPr>
          <w:rFonts w:ascii="Times New Roman" w:hAnsi="Times New Roman"/>
          <w:b w:val="false"/>
          <w:color w:val="000000"/>
          <w:sz w:val="24"/>
        </w:rPr>
        <w:t>of, any securities: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(i) 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(ii) 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but only if the effect of such agreement, arrangement or understanding is to treat such Person, or any of such Person’s Affiliates or Associates, as an “entity” as defined in Treasury Regulation § 1.382-3(a)(1);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Stock but only at such time as such securities are converted, exchanged or exercised or are otherwise “beneficially owned” (as determined pursuant to Rule 13d-3 of the General Rules and Regulations promulgated under the Exchange Act, as in effect on the date of this Plan), except to the extent that the acquisition or transfer of any such security (including any rights, options or warrants) would be treated as exercised on the date of its acquisition or transfer pursuant to Treasury Regulations § 1.382-4(d), except, in each case, that that a Person will not be deemed pursuant to this Section 1(e)(ii)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Distribution Date or pursuant to Section 3(a) or Section 22 (the “Original Rights”)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(iii) 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 provided however that this Section 1(e)(iii) shall apply in respect of an agreement, arrangement or understanding only if the effect of such agreement, arrangement or understanding is to treat such Person, or any of such Person’s Affiliates or Associates, as an “entity” as defined in Treasury Regulation § 1.382-3(a)(1);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b w:val="false"/>
          <w:color w:val="000000"/>
          <w:sz w:val="24"/>
        </w:rPr>
      </w:pPr>
      <w:r>
        <w:rPr>
          <w:rFonts w:ascii="Times New Roman" w:hAnsi="Times New Roman"/>
          <w:b w:val="false"/>
          <w:color w:val="000000"/>
          <w:sz w:val="24"/>
        </w:rPr>
        <w:t>(iv) 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Section 1(e)(iii)) or disposing of any securities of the Company, but only if the effect of such agreement, arrangement or understanding is to treat such Person, or any of such Person’s Affiliates or Associates, as an “entity” as defined in Treasury Regulation § 1.382-3(a)(1),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such Persons to be treated as an “entity” as defined in Treasury Regulation § 1.382-3(a)(1); or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(v) 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 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2.</w:t>
      </w:r>
    </w:p>
    <w:p>
      <w:pPr>
        <w:pStyle w:val="TextBody"/>
        <w:bidi w:val="0"/>
        <w:spacing w:before="240" w:after="283"/>
        <w:jc w:val="left"/>
        <w:rPr/>
      </w:pPr>
      <w:r>
        <w:rPr>
          <w:rFonts w:ascii="Times New Roman" w:hAnsi="Times New Roman"/>
          <w:i/>
          <w:color w:val="000000"/>
          <w:sz w:val="24"/>
        </w:rPr>
        <w:t>No Other Amendment; Effect of Amendment</w:t>
      </w:r>
      <w:r>
        <w:rPr>
          <w:rFonts w:ascii="Times New Roman" w:hAnsi="Times New Roman"/>
          <w:color w:val="000000"/>
          <w:sz w:val="24"/>
        </w:rPr>
        <w:t>. Except as and to the extent expressly modified by this Amendment, the Plan and the exhibits thereto remain in full force and effect in all respects without any modification. This Amendment will be deemed an amendment to the Plan and will become effective on the Effective Date. In the event of a conflict or inconsistency between this Amendment, on the one hand, and the Plan and the exhibits thereto, on the other hand, the provisions of this Amendment will govern.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3.</w:t>
      </w:r>
    </w:p>
    <w:p>
      <w:pPr>
        <w:pStyle w:val="TextBody"/>
        <w:bidi w:val="0"/>
        <w:spacing w:before="240" w:after="283"/>
        <w:jc w:val="left"/>
        <w:rPr/>
      </w:pPr>
      <w:r>
        <w:rPr>
          <w:rFonts w:ascii="Times New Roman" w:hAnsi="Times New Roman"/>
          <w:i/>
          <w:color w:val="000000"/>
          <w:sz w:val="24"/>
        </w:rPr>
        <w:t>Further Assurances</w:t>
      </w:r>
      <w:r>
        <w:rPr>
          <w:rFonts w:ascii="Times New Roman" w:hAnsi="Times New Roman"/>
          <w:color w:val="000000"/>
          <w:sz w:val="24"/>
        </w:rPr>
        <w:t>. Each of the Parties will cooperate and take such action as may be reasonably requested by the other Party in order to carry out the provisions and purposes of this Amendment, the Plan and the transactions contemplated hereunder and thereunder.</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Section 4.</w:t>
      </w:r>
    </w:p>
    <w:p>
      <w:pPr>
        <w:pStyle w:val="TextBody"/>
        <w:bidi w:val="0"/>
        <w:spacing w:before="240" w:after="240"/>
        <w:jc w:val="left"/>
        <w:rPr/>
      </w:pPr>
      <w:r>
        <w:rPr>
          <w:rFonts w:ascii="Times New Roman" w:hAnsi="Times New Roman"/>
          <w:i/>
          <w:color w:val="000000"/>
          <w:sz w:val="24"/>
        </w:rPr>
        <w:t>Miscellaneous</w:t>
      </w:r>
      <w:r>
        <w:rPr>
          <w:rFonts w:ascii="Times New Roman" w:hAnsi="Times New Roman"/>
          <w:color w:val="000000"/>
          <w:sz w:val="24"/>
        </w:rPr>
        <w:t xml:space="preserve">. Section 28, Section 32, Section 33, Section 34 and Section 35 of the Plan apply to this Amendment, </w:t>
      </w:r>
      <w:r>
        <w:rPr>
          <w:rFonts w:ascii="Times New Roman" w:hAnsi="Times New Roman"/>
          <w:i/>
          <w:color w:val="000000"/>
          <w:sz w:val="24"/>
        </w:rPr>
        <w:t>mutatis mutandis</w:t>
      </w:r>
      <w:r>
        <w:rPr>
          <w:rFonts w:ascii="Times New Roman" w:hAnsi="Times New Roman"/>
          <w:color w:val="000000"/>
          <w:sz w:val="24"/>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are signing this Amendment on the Effective Date.</w:t>
      </w:r>
    </w:p>
    <w:p>
      <w:pPr>
        <w:pStyle w:val="TextBody"/>
        <w:bidi w:val="0"/>
        <w:jc w:val="left"/>
        <w:rPr/>
      </w:pPr>
      <w:r>
        <w:rPr/>
        <w:t> </w:t>
      </w:r>
    </w:p>
    <w:tbl>
      <w:tblPr>
        <w:tblW w:w="4988" w:type="dxa"/>
        <w:jc w:val="left"/>
        <w:tblInd w:w="0" w:type="dxa"/>
        <w:tblLayout w:type="fixed"/>
        <w:tblCellMar>
          <w:top w:w="28" w:type="dxa"/>
          <w:left w:w="28" w:type="dxa"/>
          <w:bottom w:w="28" w:type="dxa"/>
          <w:right w:w="28" w:type="dxa"/>
        </w:tblCellMar>
      </w:tblPr>
      <w:tblGrid>
        <w:gridCol w:w="161"/>
        <w:gridCol w:w="224"/>
        <w:gridCol w:w="226"/>
        <w:gridCol w:w="146"/>
        <w:gridCol w:w="4231"/>
      </w:tblGrid>
      <w:tr>
        <w:trPr/>
        <w:tc>
          <w:tcPr>
            <w:tcW w:w="1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46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SEER,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David Horn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David Horn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President and Chief Financial Officer</w:t>
            </w:r>
          </w:p>
        </w:tc>
      </w:tr>
    </w:tbl>
    <w:p>
      <w:pPr>
        <w:pStyle w:val="TextBody"/>
        <w:bidi w:val="0"/>
        <w:jc w:val="left"/>
        <w:rPr/>
      </w:pPr>
      <w:r>
        <w:rPr/>
        <w:t> </w:t>
      </w:r>
    </w:p>
    <w:p>
      <w:pPr>
        <w:pStyle w:val="TextBody"/>
        <w:bidi w:val="0"/>
        <w:jc w:val="left"/>
        <w:rPr/>
      </w:pPr>
      <w:r>
        <w:rPr/>
        <w:t> </w:t>
      </w:r>
    </w:p>
    <w:tbl>
      <w:tblPr>
        <w:tblW w:w="5813" w:type="dxa"/>
        <w:jc w:val="left"/>
        <w:tblInd w:w="0" w:type="dxa"/>
        <w:tblLayout w:type="fixed"/>
        <w:tblCellMar>
          <w:top w:w="28" w:type="dxa"/>
          <w:left w:w="28" w:type="dxa"/>
          <w:bottom w:w="28" w:type="dxa"/>
          <w:right w:w="28" w:type="dxa"/>
        </w:tblCellMar>
      </w:tblPr>
      <w:tblGrid>
        <w:gridCol w:w="161"/>
        <w:gridCol w:w="224"/>
        <w:gridCol w:w="226"/>
        <w:gridCol w:w="146"/>
        <w:gridCol w:w="5056"/>
      </w:tblGrid>
      <w:tr>
        <w:trPr/>
        <w:tc>
          <w:tcPr>
            <w:tcW w:w="1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5813"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COMPUTERSHARE TRUST COMPANY, N.A.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Albert Guinto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Albert Guinto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Manager, Client Management, Issuer Services</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k0001726445-ex31_1.htm"/>
      <w:bookmarkStart w:id="24" w:name="ksck0001726445ex31_1"/>
      <w:bookmarkEnd w:id="23"/>
      <w:bookmarkEnd w:id="24"/>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5" w:name="section1"/>
      <w:bookmarkEnd w:id="25"/>
      <w:r>
        <w:rPr>
          <w:rFonts w:ascii="Times New Roman" w:hAnsi="Times New Roman"/>
          <w:b/>
          <w:color w:val="000000"/>
          <w:sz w:val="20"/>
        </w:rPr>
        <w:t>Exhibit 31.1</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Omid Farokhzad,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9062" w:type="dxa"/>
        <w:jc w:val="left"/>
        <w:tblInd w:w="0" w:type="dxa"/>
        <w:tblLayout w:type="fixed"/>
        <w:tblCellMar>
          <w:top w:w="28" w:type="dxa"/>
          <w:left w:w="28" w:type="dxa"/>
          <w:bottom w:w="28" w:type="dxa"/>
          <w:right w:w="28" w:type="dxa"/>
        </w:tblCellMar>
      </w:tblPr>
      <w:tblGrid>
        <w:gridCol w:w="4111"/>
        <w:gridCol w:w="4951"/>
      </w:tblGrid>
      <w:tr>
        <w:trPr/>
        <w:tc>
          <w:tcPr>
            <w:tcW w:w="411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0"/>
              </w:rPr>
            </w:pPr>
            <w:r>
              <w:rPr>
                <w:rFonts w:ascii="Times New Roman" w:hAnsi="Times New Roman"/>
                <w:color w:val="000000"/>
                <w:sz w:val="20"/>
              </w:rPr>
              <w:t>Date: August 11, 2026</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k0001726445-ex31_2.htm"/>
      <w:bookmarkStart w:id="27" w:name="ksck0001726445ex31_2"/>
      <w:bookmarkEnd w:id="26"/>
      <w:bookmarkEnd w:id="27"/>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8" w:name="section11"/>
      <w:bookmarkEnd w:id="28"/>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Horn,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4111"/>
        <w:gridCol w:w="4366"/>
      </w:tblGrid>
      <w:tr>
        <w:trPr/>
        <w:tc>
          <w:tcPr>
            <w:tcW w:w="411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0"/>
              </w:rPr>
            </w:pPr>
            <w:r>
              <w:rPr>
                <w:rFonts w:ascii="Times New Roman" w:hAnsi="Times New Roman"/>
                <w:color w:val="000000"/>
                <w:sz w:val="20"/>
              </w:rPr>
              <w:t>Date: August 11, 2026</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k0001726445-ex32_1.htm"/>
      <w:bookmarkStart w:id="30" w:name="ksck0001726445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rFonts w:ascii="Times New Roman" w:hAnsi="Times New Roman"/>
          <w:b/>
          <w:color w:val="000000"/>
          <w:sz w:val="20"/>
        </w:rPr>
      </w:pPr>
      <w:bookmarkStart w:id="31" w:name="section12"/>
      <w:bookmarkEnd w:id="31"/>
      <w:r>
        <w:rPr>
          <w:rFonts w:ascii="Times New Roman" w:hAnsi="Times New Roman"/>
          <w:b/>
          <w:color w:val="000000"/>
          <w:sz w:val="20"/>
        </w:rPr>
        <w:t>CERTIFICATION OF PRINCIPAL EXECUTIVE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June 30, 2026 as filed with the Securities and Exchange Commission on the date hereof (the “Report”), I, Omid Farokhzad,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9062" w:type="dxa"/>
        <w:jc w:val="left"/>
        <w:tblInd w:w="0" w:type="dxa"/>
        <w:tblLayout w:type="fixed"/>
        <w:tblCellMar>
          <w:top w:w="28" w:type="dxa"/>
          <w:left w:w="28" w:type="dxa"/>
          <w:bottom w:w="28" w:type="dxa"/>
          <w:right w:w="28" w:type="dxa"/>
        </w:tblCellMar>
      </w:tblPr>
      <w:tblGrid>
        <w:gridCol w:w="4111"/>
        <w:gridCol w:w="4951"/>
      </w:tblGrid>
      <w:tr>
        <w:trPr/>
        <w:tc>
          <w:tcPr>
            <w:tcW w:w="411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0"/>
              </w:rPr>
            </w:pPr>
            <w:r>
              <w:rPr>
                <w:rFonts w:ascii="Times New Roman" w:hAnsi="Times New Roman"/>
                <w:color w:val="000000"/>
                <w:sz w:val="20"/>
              </w:rPr>
              <w:t>Date: August 11, 2026</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ck0001726445-ex32_2.htm"/>
      <w:bookmarkStart w:id="33" w:name="ksck0001726445ex32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rFonts w:ascii="Times New Roman" w:hAnsi="Times New Roman"/>
          <w:b/>
          <w:color w:val="000000"/>
          <w:sz w:val="20"/>
        </w:rPr>
      </w:pPr>
      <w:bookmarkStart w:id="34" w:name="section13"/>
      <w:bookmarkEnd w:id="34"/>
      <w:r>
        <w:rPr>
          <w:rFonts w:ascii="Times New Roman" w:hAnsi="Times New Roman"/>
          <w:b/>
          <w:color w:val="000000"/>
          <w:sz w:val="20"/>
        </w:rPr>
        <w:t>CERTIFICATION OF PRINCIPAL FINANCIAL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June 30, 2026 as filed with the Securities and Exchange Commission on the date hereof (the “Report”), I, David Horn,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4111"/>
        <w:gridCol w:w="4366"/>
      </w:tblGrid>
      <w:tr>
        <w:trPr/>
        <w:tc>
          <w:tcPr>
            <w:tcW w:w="411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0"/>
              </w:rPr>
            </w:pPr>
            <w:r>
              <w:rPr>
                <w:rFonts w:ascii="Times New Roman" w:hAnsi="Times New Roman"/>
                <w:color w:val="000000"/>
                <w:sz w:val="20"/>
              </w:rPr>
              <w:t>Date: August 11, 2026</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90554</Words>
  <Characters>480769</Characters>
  <CharactersWithSpaces>571826</CharactersWithSpaces>
  <Paragraphs>7867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