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SEER, INC.</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Class A Common Stock, $0.00001 par value per share</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(Title of Class of Securities)</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81578P106</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(CUSIP Number)</w:t>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Rule 13d-1(b)</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Rule 13d-1(c)</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08" w:lineRule="exact"/>
        <w:rPr>
          <w:sz w:val="24"/>
          <w:szCs w:val="24"/>
          <w:color w:val="auto"/>
        </w:rPr>
      </w:pPr>
    </w:p>
    <w:p>
      <w:pPr>
        <w:jc w:val="both"/>
        <w:ind w:firstLine="441"/>
        <w:spacing w:after="0" w:line="22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33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80" w:type="dxa"/>
            <w:vAlign w:val="bottom"/>
            <w:gridSpan w:val="4"/>
          </w:tcPr>
          <w:p>
            <w:pPr>
              <w:ind w:left="20"/>
              <w:spacing w:after="0"/>
              <w:rPr>
                <w:sz w:val="20"/>
                <w:szCs w:val="20"/>
                <w:color w:val="auto"/>
              </w:rPr>
            </w:pPr>
            <w:r>
              <w:rPr>
                <w:rFonts w:ascii="Arial" w:cs="Arial" w:eastAsia="Arial" w:hAnsi="Arial"/>
                <w:sz w:val="18"/>
                <w:szCs w:val="18"/>
                <w:color w:val="auto"/>
              </w:rPr>
              <w:t>CUSIP No. 81578P 106</w:t>
            </w:r>
          </w:p>
        </w:tc>
        <w:tc>
          <w:tcPr>
            <w:tcW w:w="340" w:type="dxa"/>
            <w:vAlign w:val="bottom"/>
          </w:tcPr>
          <w:p>
            <w:pPr>
              <w:spacing w:after="0"/>
              <w:rPr>
                <w:sz w:val="20"/>
                <w:szCs w:val="20"/>
                <w:color w:val="auto"/>
              </w:rPr>
            </w:pPr>
          </w:p>
        </w:tc>
        <w:tc>
          <w:tcPr>
            <w:tcW w:w="8520" w:type="dxa"/>
            <w:vAlign w:val="bottom"/>
          </w:tcPr>
          <w:p>
            <w:pPr>
              <w:ind w:left="8000"/>
              <w:spacing w:after="0"/>
              <w:rPr>
                <w:sz w:val="20"/>
                <w:szCs w:val="20"/>
                <w:color w:val="auto"/>
              </w:rPr>
            </w:pPr>
            <w:r>
              <w:rPr>
                <w:rFonts w:ascii="Arial" w:cs="Arial" w:eastAsia="Arial" w:hAnsi="Arial"/>
                <w:sz w:val="18"/>
                <w:szCs w:val="18"/>
                <w:color w:val="auto"/>
                <w:w w:val="84"/>
              </w:rPr>
              <w:t>Page 2</w:t>
            </w:r>
          </w:p>
        </w:tc>
        <w:tc>
          <w:tcPr>
            <w:tcW w:w="0" w:type="dxa"/>
            <w:vAlign w:val="bottom"/>
          </w:tcPr>
          <w:p>
            <w:pPr>
              <w:spacing w:after="0"/>
              <w:rPr>
                <w:sz w:val="1"/>
                <w:szCs w:val="1"/>
                <w:color w:val="auto"/>
              </w:rPr>
            </w:pPr>
          </w:p>
        </w:tc>
      </w:tr>
      <w:tr>
        <w:trPr>
          <w:trHeight w:val="432"/>
        </w:trPr>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620" w:type="dxa"/>
            <w:vAlign w:val="bottom"/>
            <w:tcBorders>
              <w:right w:val="single" w:sz="8" w:color="auto"/>
            </w:tcBorders>
          </w:tcPr>
          <w:p>
            <w:pPr>
              <w:spacing w:after="0"/>
              <w:rPr>
                <w:sz w:val="19"/>
                <w:szCs w:val="19"/>
                <w:color w:val="auto"/>
              </w:rPr>
            </w:pPr>
          </w:p>
        </w:tc>
        <w:tc>
          <w:tcPr>
            <w:tcW w:w="10240" w:type="dxa"/>
            <w:vAlign w:val="bottom"/>
            <w:tcBorders>
              <w:right w:val="single" w:sz="8" w:color="auto"/>
            </w:tcBorders>
            <w:gridSpan w:val="4"/>
          </w:tcPr>
          <w:p>
            <w:pPr>
              <w:ind w:left="34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340"/>
        </w:trPr>
        <w:tc>
          <w:tcPr>
            <w:tcW w:w="380" w:type="dxa"/>
            <w:vAlign w:val="bottom"/>
            <w:tcBorders>
              <w:lef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720" w:type="dxa"/>
            <w:vAlign w:val="bottom"/>
            <w:tcBorders>
              <w:bottom w:val="single" w:sz="8" w:color="auto"/>
            </w:tcBorders>
            <w:gridSpan w:val="3"/>
          </w:tcPr>
          <w:p>
            <w:pPr>
              <w:ind w:left="340"/>
              <w:spacing w:after="0"/>
              <w:rPr>
                <w:sz w:val="20"/>
                <w:szCs w:val="20"/>
                <w:color w:val="auto"/>
              </w:rPr>
            </w:pPr>
            <w:r>
              <w:rPr>
                <w:rFonts w:ascii="Arial" w:cs="Arial" w:eastAsia="Arial" w:hAnsi="Arial"/>
                <w:sz w:val="18"/>
                <w:szCs w:val="18"/>
                <w:color w:val="auto"/>
              </w:rPr>
              <w:t>Omid Farokhzad</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240" w:type="dxa"/>
            <w:vAlign w:val="bottom"/>
            <w:tcBorders>
              <w:bottom w:val="single" w:sz="8" w:color="auto"/>
              <w:right w:val="single" w:sz="8" w:color="auto"/>
            </w:tcBorders>
            <w:gridSpan w:val="4"/>
          </w:tcPr>
          <w:p>
            <w:pPr>
              <w:ind w:left="34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tcPr>
          <w:p>
            <w:pPr>
              <w:jc w:val="right"/>
              <w:ind w:right="10"/>
              <w:spacing w:after="0" w:line="176" w:lineRule="exact"/>
              <w:rPr>
                <w:sz w:val="20"/>
                <w:szCs w:val="20"/>
                <w:color w:val="auto"/>
              </w:rPr>
            </w:pPr>
            <w:r>
              <w:rPr>
                <w:rFonts w:ascii="Arial" w:cs="Arial" w:eastAsia="Arial" w:hAnsi="Arial"/>
                <w:sz w:val="18"/>
                <w:szCs w:val="18"/>
                <w:b w:val="1"/>
                <w:bCs w:val="1"/>
                <w:color w:val="auto"/>
              </w:rPr>
              <w:t>2</w:t>
            </w:r>
          </w:p>
        </w:tc>
        <w:tc>
          <w:tcPr>
            <w:tcW w:w="620" w:type="dxa"/>
            <w:vAlign w:val="bottom"/>
            <w:tcBorders>
              <w:right w:val="single" w:sz="8" w:color="auto"/>
            </w:tcBorders>
          </w:tcPr>
          <w:p>
            <w:pPr>
              <w:spacing w:after="0"/>
              <w:rPr>
                <w:sz w:val="15"/>
                <w:szCs w:val="15"/>
                <w:color w:val="auto"/>
              </w:rPr>
            </w:pPr>
          </w:p>
        </w:tc>
        <w:tc>
          <w:tcPr>
            <w:tcW w:w="10240" w:type="dxa"/>
            <w:vAlign w:val="bottom"/>
            <w:tcBorders>
              <w:right w:val="single" w:sz="8" w:color="auto"/>
            </w:tcBorders>
            <w:gridSpan w:val="4"/>
          </w:tcPr>
          <w:p>
            <w:pPr>
              <w:ind w:left="340"/>
              <w:spacing w:after="0" w:line="17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38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(a)</w:t>
            </w:r>
          </w:p>
        </w:tc>
        <w:tc>
          <w:tcPr>
            <w:tcW w:w="340" w:type="dxa"/>
            <w:vAlign w:val="bottom"/>
          </w:tcPr>
          <w:p>
            <w:pPr>
              <w:spacing w:after="0"/>
              <w:rPr>
                <w:sz w:val="15"/>
                <w:szCs w:val="15"/>
                <w:color w:val="auto"/>
              </w:rPr>
            </w:pPr>
          </w:p>
        </w:tc>
        <w:tc>
          <w:tcPr>
            <w:tcW w:w="8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(b)</w:t>
            </w:r>
          </w:p>
        </w:tc>
        <w:tc>
          <w:tcPr>
            <w:tcW w:w="340" w:type="dxa"/>
            <w:vAlign w:val="bottom"/>
            <w:tcBorders>
              <w:bottom w:val="single" w:sz="8" w:color="auto"/>
            </w:tcBorders>
          </w:tcPr>
          <w:p>
            <w:pPr>
              <w:spacing w:after="0"/>
              <w:rPr>
                <w:sz w:val="20"/>
                <w:szCs w:val="20"/>
                <w:color w:val="auto"/>
              </w:rPr>
            </w:pPr>
          </w:p>
        </w:tc>
        <w:tc>
          <w:tcPr>
            <w:tcW w:w="8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w:t>
            </w:r>
          </w:p>
        </w:tc>
        <w:tc>
          <w:tcPr>
            <w:tcW w:w="620" w:type="dxa"/>
            <w:vAlign w:val="bottom"/>
            <w:tcBorders>
              <w:right w:val="single" w:sz="8" w:color="auto"/>
            </w:tcBorders>
          </w:tcPr>
          <w:p>
            <w:pPr>
              <w:spacing w:after="0"/>
              <w:rPr>
                <w:sz w:val="20"/>
                <w:szCs w:val="20"/>
                <w:color w:val="auto"/>
              </w:rPr>
            </w:pPr>
          </w:p>
        </w:tc>
        <w:tc>
          <w:tcPr>
            <w:tcW w:w="1720" w:type="dxa"/>
            <w:vAlign w:val="bottom"/>
            <w:gridSpan w:val="3"/>
          </w:tcPr>
          <w:p>
            <w:pPr>
              <w:ind w:left="340"/>
              <w:spacing w:after="0"/>
              <w:rPr>
                <w:sz w:val="20"/>
                <w:szCs w:val="20"/>
                <w:color w:val="auto"/>
              </w:rPr>
            </w:pPr>
            <w:r>
              <w:rPr>
                <w:rFonts w:ascii="Arial" w:cs="Arial" w:eastAsia="Arial" w:hAnsi="Arial"/>
                <w:sz w:val="18"/>
                <w:szCs w:val="18"/>
                <w:color w:val="auto"/>
                <w:w w:val="97"/>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80" w:type="dxa"/>
            <w:vAlign w:val="bottom"/>
            <w:tcBorders>
              <w:left w:val="single" w:sz="8" w:color="auto"/>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10240" w:type="dxa"/>
            <w:vAlign w:val="bottom"/>
            <w:tcBorders>
              <w:bottom w:val="single" w:sz="8" w:color="auto"/>
              <w:right w:val="single" w:sz="8" w:color="auto"/>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w:t>
            </w:r>
          </w:p>
        </w:tc>
        <w:tc>
          <w:tcPr>
            <w:tcW w:w="620" w:type="dxa"/>
            <w:vAlign w:val="bottom"/>
            <w:tcBorders>
              <w:right w:val="single" w:sz="8" w:color="auto"/>
            </w:tcBorders>
          </w:tcPr>
          <w:p>
            <w:pPr>
              <w:spacing w:after="0"/>
              <w:rPr>
                <w:sz w:val="19"/>
                <w:szCs w:val="19"/>
                <w:color w:val="auto"/>
              </w:rPr>
            </w:pPr>
          </w:p>
        </w:tc>
        <w:tc>
          <w:tcPr>
            <w:tcW w:w="10240" w:type="dxa"/>
            <w:vAlign w:val="bottom"/>
            <w:tcBorders>
              <w:right w:val="single" w:sz="8" w:color="auto"/>
            </w:tcBorders>
            <w:gridSpan w:val="4"/>
          </w:tcPr>
          <w:p>
            <w:pPr>
              <w:ind w:left="3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38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w w:val="94"/>
              </w:rPr>
              <w:t>United States</w:t>
            </w:r>
          </w:p>
        </w:tc>
        <w:tc>
          <w:tcPr>
            <w:tcW w:w="3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5</w:t>
            </w:r>
          </w:p>
        </w:tc>
        <w:tc>
          <w:tcPr>
            <w:tcW w:w="8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46"/>
        </w:trPr>
        <w:tc>
          <w:tcPr>
            <w:tcW w:w="380" w:type="dxa"/>
            <w:vAlign w:val="bottom"/>
            <w:tcBorders>
              <w:left w:val="single" w:sz="8" w:color="auto"/>
            </w:tcBorders>
          </w:tcPr>
          <w:p>
            <w:pPr>
              <w:spacing w:after="0"/>
              <w:rPr>
                <w:sz w:val="24"/>
                <w:szCs w:val="24"/>
                <w:color w:val="auto"/>
              </w:rPr>
            </w:pPr>
          </w:p>
        </w:tc>
        <w:tc>
          <w:tcPr>
            <w:tcW w:w="1840" w:type="dxa"/>
            <w:vAlign w:val="bottom"/>
            <w:tcBorders>
              <w:right w:val="single" w:sz="8" w:color="auto"/>
            </w:tcBorders>
            <w:gridSpan w:val="2"/>
            <w:vMerge w:val="restart"/>
          </w:tcPr>
          <w:p>
            <w:pPr>
              <w:jc w:val="center"/>
              <w:ind w:right="293"/>
              <w:spacing w:after="0"/>
              <w:rPr>
                <w:sz w:val="20"/>
                <w:szCs w:val="20"/>
                <w:color w:val="auto"/>
              </w:rPr>
            </w:pPr>
            <w:r>
              <w:rPr>
                <w:rFonts w:ascii="Arial" w:cs="Arial" w:eastAsia="Arial" w:hAnsi="Arial"/>
                <w:sz w:val="18"/>
                <w:szCs w:val="18"/>
                <w:color w:val="auto"/>
                <w:w w:val="98"/>
              </w:rPr>
              <w:t>NUMBER OF</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xml:space="preserve">2,020,254 </w:t>
            </w:r>
            <w:r>
              <w:rPr>
                <w:rFonts w:ascii="Arial" w:cs="Arial" w:eastAsia="Arial" w:hAnsi="Arial"/>
                <w:sz w:val="23"/>
                <w:szCs w:val="23"/>
                <w:color w:val="auto"/>
                <w:vertAlign w:val="superscript"/>
              </w:rPr>
              <w:t>(1)(2)</w:t>
            </w:r>
          </w:p>
        </w:tc>
        <w:tc>
          <w:tcPr>
            <w:tcW w:w="0" w:type="dxa"/>
            <w:vAlign w:val="bottom"/>
          </w:tcPr>
          <w:p>
            <w:pPr>
              <w:spacing w:after="0"/>
              <w:rPr>
                <w:sz w:val="1"/>
                <w:szCs w:val="1"/>
                <w:color w:val="auto"/>
              </w:rPr>
            </w:pPr>
          </w:p>
        </w:tc>
      </w:tr>
      <w:tr>
        <w:trPr>
          <w:trHeight w:val="34"/>
        </w:trPr>
        <w:tc>
          <w:tcPr>
            <w:tcW w:w="380" w:type="dxa"/>
            <w:vAlign w:val="bottom"/>
            <w:tcBorders>
              <w:left w:val="single" w:sz="8" w:color="auto"/>
            </w:tcBorders>
          </w:tcPr>
          <w:p>
            <w:pPr>
              <w:spacing w:after="0"/>
              <w:rPr>
                <w:sz w:val="2"/>
                <w:szCs w:val="2"/>
                <w:color w:val="auto"/>
              </w:rPr>
            </w:pPr>
          </w:p>
        </w:tc>
        <w:tc>
          <w:tcPr>
            <w:tcW w:w="1840" w:type="dxa"/>
            <w:vAlign w:val="bottom"/>
            <w:tcBorders>
              <w:right w:val="single" w:sz="8" w:color="auto"/>
            </w:tcBorders>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6</w:t>
            </w:r>
          </w:p>
        </w:tc>
        <w:tc>
          <w:tcPr>
            <w:tcW w:w="8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line="20" w:lineRule="exact"/>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840" w:type="dxa"/>
            <w:vAlign w:val="bottom"/>
            <w:tcBorders>
              <w:right w:val="single" w:sz="8" w:color="auto"/>
            </w:tcBorders>
            <w:gridSpan w:val="2"/>
          </w:tcPr>
          <w:p>
            <w:pPr>
              <w:jc w:val="center"/>
              <w:ind w:right="293"/>
              <w:spacing w:after="0" w:line="176" w:lineRule="exact"/>
              <w:rPr>
                <w:sz w:val="20"/>
                <w:szCs w:val="20"/>
                <w:color w:val="auto"/>
              </w:rPr>
            </w:pPr>
            <w:r>
              <w:rPr>
                <w:rFonts w:ascii="Arial" w:cs="Arial" w:eastAsia="Arial" w:hAnsi="Arial"/>
                <w:sz w:val="18"/>
                <w:szCs w:val="18"/>
                <w:color w:val="auto"/>
                <w:w w:val="94"/>
              </w:rPr>
              <w:t>SHARES</w:t>
            </w:r>
          </w:p>
        </w:tc>
        <w:tc>
          <w:tcPr>
            <w:tcW w:w="160" w:type="dxa"/>
            <w:vAlign w:val="bottom"/>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8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 w:type="dxa"/>
            <w:vAlign w:val="bottom"/>
            <w:tcBorders>
              <w:left w:val="single" w:sz="8" w:color="auto"/>
            </w:tcBorders>
          </w:tcPr>
          <w:p>
            <w:pPr>
              <w:spacing w:after="0"/>
              <w:rPr>
                <w:sz w:val="15"/>
                <w:szCs w:val="15"/>
                <w:color w:val="auto"/>
              </w:rPr>
            </w:pPr>
          </w:p>
        </w:tc>
        <w:tc>
          <w:tcPr>
            <w:tcW w:w="1840" w:type="dxa"/>
            <w:vAlign w:val="bottom"/>
            <w:tcBorders>
              <w:right w:val="single" w:sz="8" w:color="auto"/>
            </w:tcBorders>
            <w:gridSpan w:val="2"/>
          </w:tcPr>
          <w:p>
            <w:pPr>
              <w:jc w:val="center"/>
              <w:ind w:right="293"/>
              <w:spacing w:after="0" w:line="176" w:lineRule="exact"/>
              <w:rPr>
                <w:sz w:val="20"/>
                <w:szCs w:val="20"/>
                <w:color w:val="auto"/>
              </w:rPr>
            </w:pPr>
            <w:r>
              <w:rPr>
                <w:rFonts w:ascii="Arial" w:cs="Arial" w:eastAsia="Arial" w:hAnsi="Arial"/>
                <w:sz w:val="18"/>
                <w:szCs w:val="18"/>
                <w:color w:val="auto"/>
                <w:w w:val="99"/>
              </w:rPr>
              <w:t>BENEFICIALLY</w:t>
            </w:r>
          </w:p>
        </w:tc>
        <w:tc>
          <w:tcPr>
            <w:tcW w:w="16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852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 xml:space="preserve">3,420,616 </w:t>
            </w:r>
            <w:r>
              <w:rPr>
                <w:rFonts w:ascii="Arial" w:cs="Arial" w:eastAsia="Arial" w:hAnsi="Arial"/>
                <w:sz w:val="23"/>
                <w:szCs w:val="23"/>
                <w:color w:val="auto"/>
                <w:vertAlign w:val="superscript"/>
              </w:rPr>
              <w:t>(2)(3)</w:t>
            </w:r>
          </w:p>
        </w:tc>
        <w:tc>
          <w:tcPr>
            <w:tcW w:w="0" w:type="dxa"/>
            <w:vAlign w:val="bottom"/>
          </w:tcPr>
          <w:p>
            <w:pPr>
              <w:spacing w:after="0"/>
              <w:rPr>
                <w:sz w:val="1"/>
                <w:szCs w:val="1"/>
                <w:color w:val="auto"/>
              </w:rPr>
            </w:pPr>
          </w:p>
        </w:tc>
      </w:tr>
      <w:tr>
        <w:trPr>
          <w:trHeight w:val="176"/>
        </w:trPr>
        <w:tc>
          <w:tcPr>
            <w:tcW w:w="380" w:type="dxa"/>
            <w:vAlign w:val="bottom"/>
            <w:tcBorders>
              <w:left w:val="single" w:sz="8" w:color="auto"/>
            </w:tcBorders>
          </w:tcPr>
          <w:p>
            <w:pPr>
              <w:spacing w:after="0"/>
              <w:rPr>
                <w:sz w:val="15"/>
                <w:szCs w:val="15"/>
                <w:color w:val="auto"/>
              </w:rPr>
            </w:pPr>
          </w:p>
        </w:tc>
        <w:tc>
          <w:tcPr>
            <w:tcW w:w="1840" w:type="dxa"/>
            <w:vAlign w:val="bottom"/>
            <w:tcBorders>
              <w:right w:val="single" w:sz="8" w:color="auto"/>
            </w:tcBorders>
            <w:gridSpan w:val="2"/>
          </w:tcPr>
          <w:p>
            <w:pPr>
              <w:jc w:val="center"/>
              <w:ind w:right="293"/>
              <w:spacing w:after="0" w:line="176" w:lineRule="exact"/>
              <w:rPr>
                <w:sz w:val="20"/>
                <w:szCs w:val="20"/>
                <w:color w:val="auto"/>
              </w:rPr>
            </w:pPr>
            <w:r>
              <w:rPr>
                <w:rFonts w:ascii="Arial" w:cs="Arial" w:eastAsia="Arial" w:hAnsi="Arial"/>
                <w:sz w:val="18"/>
                <w:szCs w:val="18"/>
                <w:color w:val="auto"/>
                <w:w w:val="99"/>
              </w:rPr>
              <w:t>OWNED BY</w:t>
            </w:r>
          </w:p>
        </w:tc>
        <w:tc>
          <w:tcPr>
            <w:tcW w:w="16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8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80" w:type="dxa"/>
            <w:vAlign w:val="bottom"/>
            <w:tcBorders>
              <w:left w:val="single" w:sz="8" w:color="auto"/>
            </w:tcBorders>
          </w:tcPr>
          <w:p>
            <w:pPr>
              <w:spacing w:after="0"/>
              <w:rPr>
                <w:sz w:val="2"/>
                <w:szCs w:val="2"/>
                <w:color w:val="auto"/>
              </w:rPr>
            </w:pPr>
          </w:p>
        </w:tc>
        <w:tc>
          <w:tcPr>
            <w:tcW w:w="1840" w:type="dxa"/>
            <w:vAlign w:val="bottom"/>
            <w:tcBorders>
              <w:right w:val="single" w:sz="8" w:color="auto"/>
            </w:tcBorders>
            <w:gridSpan w:val="2"/>
            <w:vMerge w:val="restart"/>
          </w:tcPr>
          <w:p>
            <w:pPr>
              <w:jc w:val="center"/>
              <w:ind w:right="293"/>
              <w:spacing w:after="0"/>
              <w:rPr>
                <w:sz w:val="20"/>
                <w:szCs w:val="20"/>
                <w:color w:val="auto"/>
              </w:rPr>
            </w:pPr>
            <w:r>
              <w:rPr>
                <w:rFonts w:ascii="Arial" w:cs="Arial" w:eastAsia="Arial" w:hAnsi="Arial"/>
                <w:sz w:val="18"/>
                <w:szCs w:val="18"/>
                <w:color w:val="auto"/>
                <w:w w:val="99"/>
              </w:rPr>
              <w:t>EACH</w:t>
            </w: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8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spacing w:after="0"/>
              <w:rPr>
                <w:sz w:val="14"/>
                <w:szCs w:val="14"/>
                <w:color w:val="auto"/>
              </w:rPr>
            </w:pPr>
          </w:p>
        </w:tc>
        <w:tc>
          <w:tcPr>
            <w:tcW w:w="1840" w:type="dxa"/>
            <w:vAlign w:val="bottom"/>
            <w:tcBorders>
              <w:right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right w:val="single" w:sz="8" w:color="auto"/>
            </w:tcBorders>
          </w:tcPr>
          <w:p>
            <w:pPr>
              <w:jc w:val="right"/>
              <w:ind w:right="90"/>
              <w:spacing w:after="0" w:line="169" w:lineRule="exact"/>
              <w:rPr>
                <w:sz w:val="20"/>
                <w:szCs w:val="20"/>
                <w:color w:val="auto"/>
              </w:rPr>
            </w:pPr>
            <w:r>
              <w:rPr>
                <w:rFonts w:ascii="Arial" w:cs="Arial" w:eastAsia="Arial" w:hAnsi="Arial"/>
                <w:sz w:val="18"/>
                <w:szCs w:val="18"/>
                <w:b w:val="1"/>
                <w:bCs w:val="1"/>
                <w:color w:val="auto"/>
              </w:rPr>
              <w:t>7</w:t>
            </w:r>
          </w:p>
        </w:tc>
        <w:tc>
          <w:tcPr>
            <w:tcW w:w="8520" w:type="dxa"/>
            <w:vAlign w:val="bottom"/>
            <w:tcBorders>
              <w:right w:val="single" w:sz="8" w:color="auto"/>
            </w:tcBorders>
          </w:tcPr>
          <w:p>
            <w:pPr>
              <w:ind w:left="160"/>
              <w:spacing w:after="0" w:line="16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840" w:type="dxa"/>
            <w:vAlign w:val="bottom"/>
            <w:tcBorders>
              <w:right w:val="single" w:sz="8" w:color="auto"/>
            </w:tcBorders>
            <w:gridSpan w:val="2"/>
          </w:tcPr>
          <w:p>
            <w:pPr>
              <w:jc w:val="center"/>
              <w:ind w:right="293"/>
              <w:spacing w:after="0" w:line="135" w:lineRule="exact"/>
              <w:rPr>
                <w:sz w:val="20"/>
                <w:szCs w:val="20"/>
                <w:color w:val="auto"/>
              </w:rPr>
            </w:pPr>
            <w:r>
              <w:rPr>
                <w:rFonts w:ascii="Arial" w:cs="Arial" w:eastAsia="Arial" w:hAnsi="Arial"/>
                <w:sz w:val="15"/>
                <w:szCs w:val="15"/>
                <w:color w:val="auto"/>
              </w:rPr>
              <w:t>REPORTING</w:t>
            </w: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8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 xml:space="preserve">2,020,254 </w:t>
            </w:r>
            <w:r>
              <w:rPr>
                <w:rFonts w:ascii="Arial" w:cs="Arial" w:eastAsia="Arial" w:hAnsi="Arial"/>
                <w:sz w:val="28"/>
                <w:szCs w:val="28"/>
                <w:color w:val="auto"/>
                <w:vertAlign w:val="superscript"/>
              </w:rPr>
              <w:t>(1)(2)</w:t>
            </w:r>
          </w:p>
        </w:tc>
        <w:tc>
          <w:tcPr>
            <w:tcW w:w="0" w:type="dxa"/>
            <w:vAlign w:val="bottom"/>
          </w:tcPr>
          <w:p>
            <w:pPr>
              <w:spacing w:after="0"/>
              <w:rPr>
                <w:sz w:val="1"/>
                <w:szCs w:val="1"/>
                <w:color w:val="auto"/>
              </w:rPr>
            </w:pPr>
          </w:p>
        </w:tc>
      </w:tr>
      <w:tr>
        <w:trPr>
          <w:trHeight w:val="203"/>
        </w:trPr>
        <w:tc>
          <w:tcPr>
            <w:tcW w:w="380" w:type="dxa"/>
            <w:vAlign w:val="bottom"/>
            <w:tcBorders>
              <w:left w:val="single" w:sz="8" w:color="auto"/>
            </w:tcBorders>
          </w:tcPr>
          <w:p>
            <w:pPr>
              <w:spacing w:after="0"/>
              <w:rPr>
                <w:sz w:val="17"/>
                <w:szCs w:val="17"/>
                <w:color w:val="auto"/>
              </w:rPr>
            </w:pPr>
          </w:p>
        </w:tc>
        <w:tc>
          <w:tcPr>
            <w:tcW w:w="1840" w:type="dxa"/>
            <w:vAlign w:val="bottom"/>
            <w:tcBorders>
              <w:right w:val="single" w:sz="8" w:color="auto"/>
            </w:tcBorders>
            <w:gridSpan w:val="2"/>
          </w:tcPr>
          <w:p>
            <w:pPr>
              <w:jc w:val="center"/>
              <w:ind w:right="293"/>
              <w:spacing w:after="0" w:line="202" w:lineRule="exact"/>
              <w:rPr>
                <w:sz w:val="20"/>
                <w:szCs w:val="20"/>
                <w:color w:val="auto"/>
              </w:rPr>
            </w:pPr>
            <w:r>
              <w:rPr>
                <w:rFonts w:ascii="Arial" w:cs="Arial" w:eastAsia="Arial" w:hAnsi="Arial"/>
                <w:sz w:val="18"/>
                <w:szCs w:val="18"/>
                <w:color w:val="auto"/>
                <w:w w:val="92"/>
              </w:rPr>
              <w:t>PERSON</w:t>
            </w:r>
          </w:p>
        </w:tc>
        <w:tc>
          <w:tcPr>
            <w:tcW w:w="1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85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840" w:type="dxa"/>
            <w:vAlign w:val="bottom"/>
            <w:tcBorders>
              <w:right w:val="single" w:sz="8" w:color="auto"/>
            </w:tcBorders>
            <w:gridSpan w:val="2"/>
            <w:vMerge w:val="restart"/>
          </w:tcPr>
          <w:p>
            <w:pPr>
              <w:jc w:val="center"/>
              <w:ind w:right="293"/>
              <w:spacing w:after="0"/>
              <w:rPr>
                <w:sz w:val="20"/>
                <w:szCs w:val="20"/>
                <w:color w:val="auto"/>
              </w:rPr>
            </w:pPr>
            <w:r>
              <w:rPr>
                <w:rFonts w:ascii="Arial" w:cs="Arial" w:eastAsia="Arial" w:hAnsi="Arial"/>
                <w:sz w:val="18"/>
                <w:szCs w:val="18"/>
                <w:color w:val="auto"/>
                <w:w w:val="99"/>
              </w:rPr>
              <w:t>WITH</w:t>
            </w:r>
          </w:p>
        </w:tc>
        <w:tc>
          <w:tcPr>
            <w:tcW w:w="16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80" w:type="dxa"/>
            <w:vAlign w:val="bottom"/>
            <w:tcBorders>
              <w:left w:val="single" w:sz="8" w:color="auto"/>
            </w:tcBorders>
          </w:tcPr>
          <w:p>
            <w:pPr>
              <w:spacing w:after="0"/>
              <w:rPr>
                <w:sz w:val="11"/>
                <w:szCs w:val="11"/>
                <w:color w:val="auto"/>
              </w:rPr>
            </w:pPr>
          </w:p>
        </w:tc>
        <w:tc>
          <w:tcPr>
            <w:tcW w:w="184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rPr>
              <w:t>8</w:t>
            </w:r>
          </w:p>
        </w:tc>
        <w:tc>
          <w:tcPr>
            <w:tcW w:w="85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9"/>
        </w:trPr>
        <w:tc>
          <w:tcPr>
            <w:tcW w:w="380" w:type="dxa"/>
            <w:vAlign w:val="bottom"/>
            <w:tcBorders>
              <w:lef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right w:val="single" w:sz="8" w:color="auto"/>
            </w:tcBorders>
            <w:vMerge w:val="continue"/>
          </w:tcPr>
          <w:p>
            <w:pPr>
              <w:spacing w:after="0"/>
              <w:rPr>
                <w:sz w:val="8"/>
                <w:szCs w:val="8"/>
                <w:color w:val="auto"/>
              </w:rPr>
            </w:pPr>
          </w:p>
        </w:tc>
        <w:tc>
          <w:tcPr>
            <w:tcW w:w="85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0"/>
        </w:trPr>
        <w:tc>
          <w:tcPr>
            <w:tcW w:w="38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xml:space="preserve">3,420,616 </w:t>
            </w:r>
            <w:r>
              <w:rPr>
                <w:rFonts w:ascii="Arial" w:cs="Arial" w:eastAsia="Arial" w:hAnsi="Arial"/>
                <w:sz w:val="23"/>
                <w:szCs w:val="23"/>
                <w:color w:val="auto"/>
                <w:vertAlign w:val="superscript"/>
              </w:rPr>
              <w:t>(2)(3)</w:t>
            </w: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9</w:t>
            </w:r>
          </w:p>
        </w:tc>
        <w:tc>
          <w:tcPr>
            <w:tcW w:w="620" w:type="dxa"/>
            <w:vAlign w:val="bottom"/>
            <w:tcBorders>
              <w:right w:val="single" w:sz="8" w:color="auto"/>
            </w:tcBorders>
          </w:tcPr>
          <w:p>
            <w:pPr>
              <w:spacing w:after="0"/>
              <w:rPr>
                <w:sz w:val="19"/>
                <w:szCs w:val="19"/>
                <w:color w:val="auto"/>
              </w:rPr>
            </w:pPr>
          </w:p>
        </w:tc>
        <w:tc>
          <w:tcPr>
            <w:tcW w:w="10240" w:type="dxa"/>
            <w:vAlign w:val="bottom"/>
            <w:tcBorders>
              <w:right w:val="single" w:sz="8" w:color="auto"/>
            </w:tcBorders>
            <w:gridSpan w:val="4"/>
          </w:tcPr>
          <w:p>
            <w:pPr>
              <w:ind w:left="3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vMerge w:val="continue"/>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720" w:type="dxa"/>
            <w:vAlign w:val="bottom"/>
            <w:gridSpan w:val="3"/>
            <w:vMerge w:val="restart"/>
          </w:tcPr>
          <w:p>
            <w:pPr>
              <w:ind w:left="340"/>
              <w:spacing w:after="0" w:line="336" w:lineRule="exact"/>
              <w:rPr>
                <w:sz w:val="20"/>
                <w:szCs w:val="20"/>
                <w:color w:val="auto"/>
              </w:rPr>
            </w:pPr>
            <w:r>
              <w:rPr>
                <w:rFonts w:ascii="Arial" w:cs="Arial" w:eastAsia="Arial" w:hAnsi="Arial"/>
                <w:sz w:val="35"/>
                <w:szCs w:val="35"/>
                <w:color w:val="auto"/>
                <w:w w:val="84"/>
                <w:vertAlign w:val="subscript"/>
              </w:rPr>
              <w:t>5,440,870</w:t>
            </w:r>
            <w:r>
              <w:rPr>
                <w:rFonts w:ascii="Arial" w:cs="Arial" w:eastAsia="Arial" w:hAnsi="Arial"/>
                <w:sz w:val="14"/>
                <w:szCs w:val="14"/>
                <w:color w:val="auto"/>
                <w:w w:val="84"/>
              </w:rPr>
              <w:t xml:space="preserve"> (1)(2)(3)</w:t>
            </w:r>
          </w:p>
        </w:tc>
        <w:tc>
          <w:tcPr>
            <w:tcW w:w="8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80" w:type="dxa"/>
            <w:vAlign w:val="bottom"/>
            <w:tcBorders>
              <w:left w:val="single" w:sz="8" w:color="auto"/>
              <w:bottom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tcBorders>
            <w:gridSpan w:val="3"/>
            <w:vMerge w:val="continue"/>
          </w:tcPr>
          <w:p>
            <w:pPr>
              <w:spacing w:after="0"/>
              <w:rPr>
                <w:sz w:val="22"/>
                <w:szCs w:val="22"/>
                <w:color w:val="auto"/>
              </w:rPr>
            </w:pPr>
          </w:p>
        </w:tc>
        <w:tc>
          <w:tcPr>
            <w:tcW w:w="85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10</w:t>
            </w:r>
          </w:p>
        </w:tc>
        <w:tc>
          <w:tcPr>
            <w:tcW w:w="620" w:type="dxa"/>
            <w:vAlign w:val="bottom"/>
            <w:tcBorders>
              <w:right w:val="single" w:sz="8" w:color="auto"/>
            </w:tcBorders>
          </w:tcPr>
          <w:p>
            <w:pPr>
              <w:spacing w:after="0"/>
              <w:rPr>
                <w:sz w:val="19"/>
                <w:szCs w:val="19"/>
                <w:color w:val="auto"/>
              </w:rPr>
            </w:pPr>
          </w:p>
        </w:tc>
        <w:tc>
          <w:tcPr>
            <w:tcW w:w="10240" w:type="dxa"/>
            <w:vAlign w:val="bottom"/>
            <w:tcBorders>
              <w:right w:val="single" w:sz="8" w:color="auto"/>
            </w:tcBorders>
            <w:gridSpan w:val="4"/>
          </w:tcPr>
          <w:p>
            <w:pPr>
              <w:ind w:left="3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vMerge w:val="continue"/>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80" w:type="dxa"/>
            <w:vAlign w:val="bottom"/>
            <w:tcBorders>
              <w:left w:val="single" w:sz="8" w:color="auto"/>
              <w:bottom w:val="single" w:sz="8" w:color="auto"/>
            </w:tcBorders>
          </w:tcPr>
          <w:p>
            <w:pPr>
              <w:spacing w:after="0"/>
              <w:rPr>
                <w:sz w:val="8"/>
                <w:szCs w:val="8"/>
                <w:color w:val="auto"/>
              </w:rPr>
            </w:pPr>
          </w:p>
        </w:tc>
        <w:tc>
          <w:tcPr>
            <w:tcW w:w="620" w:type="dxa"/>
            <w:vAlign w:val="bottom"/>
            <w:tcBorders>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85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ind w:left="100"/>
              <w:spacing w:after="0"/>
              <w:rPr>
                <w:sz w:val="20"/>
                <w:szCs w:val="20"/>
                <w:color w:val="auto"/>
              </w:rPr>
            </w:pPr>
            <w:r>
              <w:rPr>
                <w:rFonts w:ascii="Arial" w:cs="Arial" w:eastAsia="Arial" w:hAnsi="Arial"/>
                <w:sz w:val="18"/>
                <w:szCs w:val="18"/>
                <w:b w:val="1"/>
                <w:bCs w:val="1"/>
                <w:color w:val="auto"/>
              </w:rPr>
              <w:t>11</w:t>
            </w:r>
          </w:p>
        </w:tc>
        <w:tc>
          <w:tcPr>
            <w:tcW w:w="620" w:type="dxa"/>
            <w:vAlign w:val="bottom"/>
            <w:tcBorders>
              <w:right w:val="single" w:sz="8" w:color="auto"/>
            </w:tcBorders>
          </w:tcPr>
          <w:p>
            <w:pPr>
              <w:spacing w:after="0"/>
              <w:rPr>
                <w:sz w:val="19"/>
                <w:szCs w:val="19"/>
                <w:color w:val="auto"/>
              </w:rPr>
            </w:pPr>
          </w:p>
        </w:tc>
        <w:tc>
          <w:tcPr>
            <w:tcW w:w="10240" w:type="dxa"/>
            <w:vAlign w:val="bottom"/>
            <w:tcBorders>
              <w:right w:val="single" w:sz="8" w:color="auto"/>
            </w:tcBorders>
            <w:gridSpan w:val="4"/>
          </w:tcPr>
          <w:p>
            <w:pPr>
              <w:ind w:left="34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vMerge w:val="continue"/>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20" w:type="dxa"/>
            <w:vAlign w:val="bottom"/>
            <w:vMerge w:val="restart"/>
          </w:tcPr>
          <w:p>
            <w:pPr>
              <w:ind w:left="360"/>
              <w:spacing w:after="0" w:line="349" w:lineRule="exact"/>
              <w:rPr>
                <w:sz w:val="20"/>
                <w:szCs w:val="20"/>
                <w:color w:val="auto"/>
              </w:rPr>
            </w:pPr>
            <w:r>
              <w:rPr>
                <w:rFonts w:ascii="Arial" w:cs="Arial" w:eastAsia="Arial" w:hAnsi="Arial"/>
                <w:sz w:val="35"/>
                <w:szCs w:val="35"/>
                <w:color w:val="auto"/>
                <w:w w:val="94"/>
                <w:vertAlign w:val="subscript"/>
              </w:rPr>
              <w:t>8.7</w:t>
            </w:r>
            <w:r>
              <w:rPr>
                <w:rFonts w:ascii="Arial" w:cs="Arial" w:eastAsia="Arial" w:hAnsi="Arial"/>
                <w:sz w:val="12"/>
                <w:szCs w:val="12"/>
                <w:color w:val="auto"/>
                <w:w w:val="94"/>
              </w:rPr>
              <w:t xml:space="preserve"> (</w:t>
            </w:r>
            <w:r>
              <w:rPr>
                <w:rFonts w:ascii="Arial" w:cs="Arial" w:eastAsia="Arial" w:hAnsi="Arial"/>
                <w:sz w:val="14"/>
                <w:szCs w:val="14"/>
                <w:color w:val="auto"/>
                <w:w w:val="94"/>
              </w:rPr>
              <w:t>2)(4)(5)</w:t>
            </w: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80" w:type="dxa"/>
            <w:vAlign w:val="bottom"/>
            <w:tcBorders>
              <w:left w:val="single" w:sz="8" w:color="auto"/>
              <w:bottom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c>
          <w:tcPr>
            <w:tcW w:w="1220" w:type="dxa"/>
            <w:vAlign w:val="bottom"/>
            <w:tcBorders>
              <w:bottom w:val="single" w:sz="8" w:color="auto"/>
            </w:tcBorders>
            <w:vMerge w:val="continue"/>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5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rPr>
              <w:t>12</w:t>
            </w:r>
          </w:p>
        </w:tc>
        <w:tc>
          <w:tcPr>
            <w:tcW w:w="620" w:type="dxa"/>
            <w:vAlign w:val="bottom"/>
            <w:tcBorders>
              <w:right w:val="single" w:sz="8" w:color="auto"/>
            </w:tcBorders>
          </w:tcPr>
          <w:p>
            <w:pPr>
              <w:spacing w:after="0"/>
              <w:rPr>
                <w:sz w:val="19"/>
                <w:szCs w:val="19"/>
                <w:color w:val="auto"/>
              </w:rPr>
            </w:pPr>
          </w:p>
        </w:tc>
        <w:tc>
          <w:tcPr>
            <w:tcW w:w="10240" w:type="dxa"/>
            <w:vAlign w:val="bottom"/>
            <w:tcBorders>
              <w:right w:val="single" w:sz="8" w:color="auto"/>
            </w:tcBorders>
            <w:gridSpan w:val="4"/>
          </w:tcPr>
          <w:p>
            <w:pPr>
              <w:ind w:left="3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80"/>
        </w:trPr>
        <w:tc>
          <w:tcPr>
            <w:tcW w:w="380" w:type="dxa"/>
            <w:vAlign w:val="bottom"/>
            <w:tcBorders>
              <w:left w:val="single" w:sz="8" w:color="auto"/>
            </w:tcBorders>
            <w:vMerge w:val="continue"/>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380" w:type="dxa"/>
            <w:vAlign w:val="bottom"/>
            <w:tcBorders>
              <w:left w:val="single" w:sz="8" w:color="auto"/>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IN</w:t>
            </w:r>
          </w:p>
        </w:tc>
        <w:tc>
          <w:tcPr>
            <w:tcW w:w="34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jc w:val="both"/>
        <w:ind w:left="340" w:hanging="251"/>
        <w:spacing w:after="0" w:line="194" w:lineRule="auto"/>
        <w:tabs>
          <w:tab w:leader="none" w:pos="289" w:val="left"/>
        </w:tabs>
        <w:numPr>
          <w:ilvl w:val="0"/>
          <w:numId w:val="1"/>
        </w:numPr>
        <w:rPr>
          <w:rFonts w:ascii="Arial" w:cs="Arial" w:eastAsia="Arial" w:hAnsi="Arial"/>
          <w:sz w:val="23"/>
          <w:szCs w:val="23"/>
          <w:color w:val="auto"/>
          <w:vertAlign w:val="superscript"/>
        </w:rPr>
      </w:pPr>
      <w:r>
        <w:rPr>
          <w:rFonts w:ascii="Arial" w:cs="Arial" w:eastAsia="Arial" w:hAnsi="Arial"/>
          <w:sz w:val="18"/>
          <w:szCs w:val="18"/>
          <w:color w:val="auto"/>
        </w:rPr>
        <w:t>Consists of (i) 69,272 shares of Class A common stock and 134,579 shares of Class B common stock held of record by Omid Farokhzad (the “Reporting Person”); (ii) 1,805,243 shares of Class A common stock subject to options exercisable within 60 days of December 31, 2021 and (iii) 11,160 shares of Class A common stock issuable upon vesting of RSUs within 60 days of December 31, 2021. Of the reported shares, 3,522 shares are subject to the Issuer’s repurchase right as of December 31, 2021.</w:t>
      </w:r>
    </w:p>
    <w:p>
      <w:pPr>
        <w:spacing w:after="0" w:line="2" w:lineRule="exact"/>
        <w:rPr>
          <w:rFonts w:ascii="Arial" w:cs="Arial" w:eastAsia="Arial" w:hAnsi="Arial"/>
          <w:sz w:val="23"/>
          <w:szCs w:val="23"/>
          <w:color w:val="auto"/>
          <w:vertAlign w:val="superscript"/>
        </w:rPr>
      </w:pPr>
    </w:p>
    <w:p>
      <w:pPr>
        <w:ind w:left="260" w:hanging="171"/>
        <w:spacing w:after="0" w:line="183" w:lineRule="auto"/>
        <w:tabs>
          <w:tab w:leader="none" w:pos="26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Each share of Class B common stock is convertible at any time into one share of Class A common stock.</w:t>
      </w:r>
    </w:p>
    <w:p>
      <w:pPr>
        <w:ind w:left="340" w:hanging="251"/>
        <w:spacing w:after="0" w:line="207" w:lineRule="auto"/>
        <w:tabs>
          <w:tab w:leader="none" w:pos="262" w:val="left"/>
        </w:tabs>
        <w:numPr>
          <w:ilvl w:val="0"/>
          <w:numId w:val="1"/>
        </w:numPr>
        <w:rPr>
          <w:rFonts w:ascii="Arial" w:cs="Arial" w:eastAsia="Arial" w:hAnsi="Arial"/>
          <w:sz w:val="21"/>
          <w:szCs w:val="21"/>
          <w:color w:val="auto"/>
          <w:vertAlign w:val="superscript"/>
        </w:rPr>
      </w:pPr>
      <w:r>
        <w:rPr>
          <w:rFonts w:ascii="Arial" w:cs="Arial" w:eastAsia="Arial" w:hAnsi="Arial"/>
          <w:sz w:val="16"/>
          <w:szCs w:val="16"/>
          <w:color w:val="auto"/>
        </w:rPr>
        <w:t>Consists of (i) 1,303,478 shares of Class B common stock held of record by Dynamics Group LLC for which the Reporting Person serves as the sole member and (ii) 2,117,138 shares of Class B common stock held of record by SAF-BND Trust for which the Reporting Person’s spouse serves as trustee. The Reporting Person disclaims beneficial ownership of the shares held by the SAF-BND Trust.</w:t>
      </w:r>
    </w:p>
    <w:p>
      <w:pPr>
        <w:ind w:left="260" w:hanging="171"/>
        <w:spacing w:after="0" w:line="183" w:lineRule="auto"/>
        <w:tabs>
          <w:tab w:leader="none" w:pos="260" w:val="left"/>
        </w:tabs>
        <w:numPr>
          <w:ilvl w:val="0"/>
          <w:numId w:val="1"/>
        </w:numPr>
        <w:rPr>
          <w:rFonts w:ascii="Arial" w:cs="Arial" w:eastAsia="Arial" w:hAnsi="Arial"/>
          <w:sz w:val="20"/>
          <w:szCs w:val="20"/>
          <w:color w:val="auto"/>
          <w:vertAlign w:val="superscript"/>
        </w:rPr>
      </w:pPr>
      <w:r>
        <w:rPr>
          <w:rFonts w:ascii="Arial" w:cs="Arial" w:eastAsia="Arial" w:hAnsi="Arial"/>
          <w:sz w:val="16"/>
          <w:szCs w:val="16"/>
          <w:color w:val="auto"/>
        </w:rPr>
        <w:t>Based on the quotient obtained by dividing (a) the aggregate amount beneficially owned by the Reporting Person as set forth in Row 9 by (b) the sum of</w:t>
      </w:r>
    </w:p>
    <w:p>
      <w:pPr>
        <w:jc w:val="both"/>
        <w:ind w:left="340" w:hanging="8"/>
        <w:spacing w:after="0" w:line="248" w:lineRule="auto"/>
        <w:tabs>
          <w:tab w:leader="none" w:pos="555" w:val="left"/>
        </w:tabs>
        <w:numPr>
          <w:ilvl w:val="1"/>
          <w:numId w:val="1"/>
        </w:numPr>
        <w:rPr>
          <w:rFonts w:ascii="Arial" w:cs="Arial" w:eastAsia="Arial" w:hAnsi="Arial"/>
          <w:sz w:val="16"/>
          <w:szCs w:val="16"/>
          <w:color w:val="auto"/>
        </w:rPr>
      </w:pPr>
      <w:r>
        <w:rPr>
          <w:rFonts w:ascii="Arial" w:cs="Arial" w:eastAsia="Arial" w:hAnsi="Arial"/>
          <w:sz w:val="16"/>
          <w:szCs w:val="16"/>
          <w:color w:val="212529"/>
        </w:rPr>
        <w:t xml:space="preserve">57,022,436 </w:t>
      </w:r>
      <w:r>
        <w:rPr>
          <w:rFonts w:ascii="Arial" w:cs="Arial" w:eastAsia="Arial" w:hAnsi="Arial"/>
          <w:sz w:val="16"/>
          <w:szCs w:val="16"/>
          <w:color w:val="000000"/>
        </w:rPr>
        <w:t>shares of Class A common stock outstanding as of November 5, 2021, as reported in the Issuer’s Quarterly Report on Form 10-Q for the</w:t>
      </w:r>
      <w:r>
        <w:rPr>
          <w:rFonts w:ascii="Arial" w:cs="Arial" w:eastAsia="Arial" w:hAnsi="Arial"/>
          <w:sz w:val="16"/>
          <w:szCs w:val="16"/>
          <w:color w:val="212529"/>
        </w:rPr>
        <w:t xml:space="preserve"> </w:t>
      </w:r>
      <w:r>
        <w:rPr>
          <w:rFonts w:ascii="Arial" w:cs="Arial" w:eastAsia="Arial" w:hAnsi="Arial"/>
          <w:sz w:val="16"/>
          <w:szCs w:val="16"/>
          <w:color w:val="000000"/>
        </w:rPr>
        <w:t>quarterly period ended September 30, 2021, filed with the Securities and Exchange Commission on November 9, 2021 (the “Form 10-Q”) ; (ii) 3,555,195 shares of Class B common stock beneficially owned by the Reporting Person; (iii) 1,805,243 shares of Class A common stock subject to</w:t>
      </w:r>
    </w:p>
    <w:p>
      <w:pPr>
        <w:sectPr>
          <w:pgSz w:w="11900" w:h="16838" w:orient="portrait"/>
          <w:cols w:equalWidth="0" w:num="1">
            <w:col w:w="11240"/>
          </w:cols>
          <w:pgMar w:left="320" w:top="1440" w:right="339" w:bottom="1440" w:gutter="0" w:footer="0" w:header="0"/>
        </w:sectPr>
      </w:pPr>
    </w:p>
    <w:bookmarkStart w:id="2" w:name="page3"/>
    <w:bookmarkEnd w:id="2"/>
    <w:p>
      <w:pPr>
        <w:jc w:val="both"/>
        <w:ind w:left="251"/>
        <w:spacing w:after="0" w:line="204" w:lineRule="auto"/>
        <w:rPr>
          <w:sz w:val="20"/>
          <w:szCs w:val="20"/>
          <w:color w:val="auto"/>
        </w:rPr>
      </w:pPr>
      <w:r>
        <w:rPr>
          <w:rFonts w:ascii="Arial" w:cs="Arial" w:eastAsia="Arial" w:hAnsi="Arial"/>
          <w:sz w:val="18"/>
          <w:szCs w:val="18"/>
          <w:color w:val="auto"/>
        </w:rPr>
        <w:t>options exercisable within 60 days of December 31, 2021 and (iv) 11,160 shares of Class A common stock issuable upon vesting of RSUs within 60 days of December 31, 2021. The aggregate number of shares of Class B common stock beneficially owned by the Reporting Person as set forth in clause “(a)” of this footnote are treated as converted into Class A common stock only for the purpose of computing the percentage ownership of the Reporting Person.</w:t>
      </w:r>
    </w:p>
    <w:p>
      <w:pPr>
        <w:spacing w:after="0" w:line="3" w:lineRule="exact"/>
        <w:rPr>
          <w:sz w:val="20"/>
          <w:szCs w:val="20"/>
          <w:color w:val="auto"/>
        </w:rPr>
      </w:pPr>
    </w:p>
    <w:p>
      <w:pPr>
        <w:ind w:left="251" w:hanging="251"/>
        <w:spacing w:after="0" w:line="227" w:lineRule="auto"/>
        <w:tabs>
          <w:tab w:leader="none" w:pos="187" w:val="left"/>
        </w:tabs>
        <w:numPr>
          <w:ilvl w:val="0"/>
          <w:numId w:val="2"/>
        </w:numPr>
        <w:rPr>
          <w:rFonts w:ascii="Arial" w:cs="Arial" w:eastAsia="Arial" w:hAnsi="Arial"/>
          <w:sz w:val="21"/>
          <w:szCs w:val="21"/>
          <w:color w:val="auto"/>
          <w:vertAlign w:val="superscript"/>
        </w:rPr>
      </w:pPr>
      <w:r>
        <w:rPr>
          <w:rFonts w:ascii="Arial" w:cs="Arial" w:eastAsia="Arial" w:hAnsi="Arial"/>
          <w:sz w:val="16"/>
          <w:szCs w:val="16"/>
          <w:color w:val="auto"/>
        </w:rPr>
        <w:t xml:space="preserve">Each share of Class A common stock is entitled to one vote and each share of Class B common stock is entitled to ten votes. There were </w:t>
      </w:r>
      <w:r>
        <w:rPr>
          <w:rFonts w:ascii="Arial" w:cs="Arial" w:eastAsia="Arial" w:hAnsi="Arial"/>
          <w:sz w:val="16"/>
          <w:szCs w:val="16"/>
          <w:color w:val="212529"/>
        </w:rPr>
        <w:t>4,686,028</w:t>
      </w:r>
      <w:r>
        <w:rPr>
          <w:rFonts w:ascii="Arial" w:cs="Arial" w:eastAsia="Arial" w:hAnsi="Arial"/>
          <w:sz w:val="16"/>
          <w:szCs w:val="16"/>
          <w:color w:val="auto"/>
        </w:rPr>
        <w:t xml:space="preserve"> shares of Class B common stock outstanding as of November 5, 2021, as reported in the Form 10-Q, including the 3,555,195 shares of Class B common stock beneficially owned by the Reporting Person as set forth in footnote “(4)” above. The percentage reported does not reflect the ten for one voting power of the Class B common stock because these shares are treated as converted into Class A common stock for the purpose of this report.</w:t>
      </w:r>
    </w:p>
    <w:p>
      <w:pPr>
        <w:sectPr>
          <w:pgSz w:w="11900" w:h="16838" w:orient="portrait"/>
          <w:cols w:equalWidth="0" w:num="1">
            <w:col w:w="11151"/>
          </w:cols>
          <w:pgMar w:left="409" w:top="1408" w:right="339" w:bottom="1440" w:gutter="0" w:footer="0" w:header="0"/>
        </w:sectPr>
      </w:pPr>
    </w:p>
    <w:bookmarkStart w:id="3" w:name="page4"/>
    <w:bookmarkEnd w:id="3"/>
    <w:p>
      <w:pPr>
        <w:spacing w:after="0" w:line="227" w:lineRule="auto"/>
        <w:tabs>
          <w:tab w:leader="none" w:pos="187"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12" w:lineRule="exact"/>
        <w:rPr>
          <w:sz w:val="20"/>
          <w:szCs w:val="20"/>
          <w:color w:val="auto"/>
        </w:rPr>
      </w:pPr>
    </w:p>
    <w:p>
      <w:pPr>
        <w:ind w:left="340" w:right="9120" w:hanging="8"/>
        <w:spacing w:after="0" w:line="297" w:lineRule="auto"/>
        <w:tabs>
          <w:tab w:leader="none" w:pos="658"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 Name of Issuer: </w:t>
      </w:r>
      <w:r>
        <w:rPr>
          <w:rFonts w:ascii="Arial" w:cs="Arial" w:eastAsia="Arial" w:hAnsi="Arial"/>
          <w:sz w:val="18"/>
          <w:szCs w:val="18"/>
          <w:color w:val="auto"/>
        </w:rPr>
        <w:t>Seer, Inc.</w:t>
      </w:r>
    </w:p>
    <w:p>
      <w:pPr>
        <w:ind w:left="340"/>
        <w:spacing w:after="0"/>
        <w:rPr>
          <w:rFonts w:ascii="Arial" w:cs="Arial" w:eastAsia="Arial" w:hAnsi="Arial"/>
          <w:sz w:val="18"/>
          <w:szCs w:val="18"/>
          <w:color w:val="auto"/>
        </w:rPr>
      </w:pPr>
      <w:r>
        <w:rPr>
          <w:rFonts w:ascii="Arial" w:cs="Arial" w:eastAsia="Arial" w:hAnsi="Arial"/>
          <w:sz w:val="18"/>
          <w:szCs w:val="18"/>
          <w:b w:val="1"/>
          <w:bCs w:val="1"/>
          <w:color w:val="auto"/>
        </w:rPr>
        <w:t>(b) Address of Issuer’s Principal Executive Offices:</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3800 Bridge Parkway, Suite 102</w:t>
      </w:r>
    </w:p>
    <w:p>
      <w:pPr>
        <w:ind w:left="660"/>
        <w:spacing w:after="0"/>
        <w:rPr>
          <w:sz w:val="20"/>
          <w:szCs w:val="20"/>
          <w:color w:val="auto"/>
        </w:rPr>
      </w:pPr>
      <w:r>
        <w:rPr>
          <w:rFonts w:ascii="Arial" w:cs="Arial" w:eastAsia="Arial" w:hAnsi="Arial"/>
          <w:sz w:val="18"/>
          <w:szCs w:val="18"/>
          <w:color w:val="auto"/>
        </w:rPr>
        <w:t>Redwood City, California 94065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50" w:lineRule="exact"/>
        <w:rPr>
          <w:sz w:val="20"/>
          <w:szCs w:val="20"/>
          <w:color w:val="auto"/>
        </w:rPr>
      </w:pPr>
    </w:p>
    <w:p>
      <w:pPr>
        <w:ind w:left="360" w:right="8500" w:hanging="28"/>
        <w:spacing w:after="0" w:line="344" w:lineRule="auto"/>
        <w:tabs>
          <w:tab w:leader="none" w:pos="642" w:val="left"/>
        </w:tabs>
        <w:numPr>
          <w:ilvl w:val="1"/>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 Names of Person Filing: </w:t>
      </w:r>
      <w:r>
        <w:rPr>
          <w:rFonts w:ascii="Arial" w:cs="Arial" w:eastAsia="Arial" w:hAnsi="Arial"/>
          <w:sz w:val="18"/>
          <w:szCs w:val="18"/>
          <w:color w:val="auto"/>
        </w:rPr>
        <w:t>Omid Farokhzad</w:t>
      </w:r>
    </w:p>
    <w:p>
      <w:pPr>
        <w:spacing w:after="0" w:line="95" w:lineRule="exact"/>
        <w:rPr>
          <w:rFonts w:ascii="Arial" w:cs="Arial" w:eastAsia="Arial" w:hAnsi="Arial"/>
          <w:sz w:val="18"/>
          <w:szCs w:val="18"/>
          <w:color w:val="auto"/>
        </w:rPr>
      </w:pPr>
    </w:p>
    <w:p>
      <w:pPr>
        <w:ind w:left="480" w:hanging="2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address for the principal business office of Dr. Farokhzad is: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Seer, Inc.</w:t>
      </w:r>
    </w:p>
    <w:p>
      <w:pPr>
        <w:ind w:left="660"/>
        <w:spacing w:after="0" w:line="203" w:lineRule="auto"/>
        <w:rPr>
          <w:sz w:val="20"/>
          <w:szCs w:val="20"/>
          <w:color w:val="auto"/>
        </w:rPr>
      </w:pPr>
      <w:r>
        <w:rPr>
          <w:rFonts w:ascii="Arial" w:cs="Arial" w:eastAsia="Arial" w:hAnsi="Arial"/>
          <w:sz w:val="18"/>
          <w:szCs w:val="18"/>
          <w:color w:val="auto"/>
        </w:rPr>
        <w:t>3800 Bridge Parkway, Suite 102</w:t>
      </w:r>
    </w:p>
    <w:p>
      <w:pPr>
        <w:ind w:left="660"/>
        <w:spacing w:after="0"/>
        <w:rPr>
          <w:sz w:val="20"/>
          <w:szCs w:val="20"/>
          <w:color w:val="auto"/>
        </w:rPr>
      </w:pPr>
      <w:r>
        <w:rPr>
          <w:rFonts w:ascii="Arial" w:cs="Arial" w:eastAsia="Arial" w:hAnsi="Arial"/>
          <w:sz w:val="18"/>
          <w:szCs w:val="18"/>
          <w:color w:val="auto"/>
        </w:rPr>
        <w:t>Redwood City, California 94065</w:t>
      </w:r>
    </w:p>
    <w:p>
      <w:pPr>
        <w:spacing w:after="0" w:line="124" w:lineRule="exact"/>
        <w:rPr>
          <w:sz w:val="20"/>
          <w:szCs w:val="20"/>
          <w:color w:val="auto"/>
        </w:rPr>
      </w:pPr>
    </w:p>
    <w:p>
      <w:pPr>
        <w:ind w:left="660" w:right="9620" w:hanging="328"/>
        <w:spacing w:after="0" w:line="469" w:lineRule="auto"/>
        <w:tabs>
          <w:tab w:leader="none" w:pos="581"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Citizenship: </w:t>
      </w:r>
      <w:r>
        <w:rPr>
          <w:rFonts w:ascii="Arial" w:cs="Arial" w:eastAsia="Arial" w:hAnsi="Arial"/>
          <w:sz w:val="15"/>
          <w:szCs w:val="15"/>
          <w:color w:val="auto"/>
        </w:rPr>
        <w:t>United States</w:t>
      </w:r>
    </w:p>
    <w:p>
      <w:pPr>
        <w:ind w:left="600" w:hanging="268"/>
        <w:spacing w:after="0"/>
        <w:tabs>
          <w:tab w:leader="none" w:pos="6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Class A common stock, par value, $0.00001 per share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 CUSIP No.:</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81578P106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rFonts w:ascii="Arial" w:cs="Arial" w:eastAsia="Arial" w:hAnsi="Arial"/>
          <w:sz w:val="18"/>
          <w:szCs w:val="18"/>
          <w:b w:val="1"/>
          <w:bCs w:val="1"/>
          <w:color w:val="auto"/>
        </w:rPr>
        <w:t xml:space="preserve"> If this statement is filed pursuant to Rules 13d-1(b) or 13d-2(b) or (c), check whether the person filing is a:</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w:t>
      </w: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 Amount beneficially owned: </w:t>
      </w:r>
      <w:r>
        <w:rPr>
          <w:rFonts w:ascii="Arial" w:cs="Arial" w:eastAsia="Arial" w:hAnsi="Arial"/>
          <w:sz w:val="18"/>
          <w:szCs w:val="18"/>
          <w:color w:val="auto"/>
        </w:rPr>
        <w:t>5,440,870</w:t>
      </w:r>
    </w:p>
    <w:p>
      <w:pPr>
        <w:spacing w:after="0" w:line="192" w:lineRule="exact"/>
        <w:rPr>
          <w:sz w:val="20"/>
          <w:szCs w:val="20"/>
          <w:color w:val="auto"/>
        </w:rPr>
      </w:pPr>
    </w:p>
    <w:p>
      <w:pPr>
        <w:ind w:left="600" w:hanging="268"/>
        <w:spacing w:after="0"/>
        <w:tabs>
          <w:tab w:leader="none" w:pos="6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8.7</w:t>
      </w:r>
    </w:p>
    <w:p>
      <w:pPr>
        <w:spacing w:after="0" w:line="154" w:lineRule="exact"/>
        <w:rPr>
          <w:rFonts w:ascii="Arial" w:cs="Arial" w:eastAsia="Arial" w:hAnsi="Arial"/>
          <w:sz w:val="18"/>
          <w:szCs w:val="18"/>
          <w:b w:val="1"/>
          <w:bCs w:val="1"/>
          <w:color w:val="auto"/>
        </w:rPr>
      </w:pPr>
    </w:p>
    <w:p>
      <w:pPr>
        <w:ind w:left="580" w:hanging="248"/>
        <w:spacing w:after="0"/>
        <w:tabs>
          <w:tab w:leader="none" w:pos="5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w:t>
      </w:r>
    </w:p>
    <w:p>
      <w:pPr>
        <w:ind w:left="880" w:hanging="224"/>
        <w:spacing w:after="0"/>
        <w:tabs>
          <w:tab w:leader="none" w:pos="88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Sole power to direct the vote: 2,020,254 </w:t>
      </w:r>
      <w:r>
        <w:rPr>
          <w:rFonts w:ascii="Arial" w:cs="Arial" w:eastAsia="Arial" w:hAnsi="Arial"/>
          <w:sz w:val="28"/>
          <w:szCs w:val="28"/>
          <w:color w:val="auto"/>
          <w:vertAlign w:val="superscript"/>
        </w:rPr>
        <w:t>(1)(2)</w:t>
      </w:r>
    </w:p>
    <w:p>
      <w:pPr>
        <w:spacing w:after="0" w:line="85" w:lineRule="exact"/>
        <w:rPr>
          <w:sz w:val="20"/>
          <w:szCs w:val="20"/>
          <w:color w:val="auto"/>
        </w:rPr>
      </w:pPr>
    </w:p>
    <w:p>
      <w:pPr>
        <w:ind w:left="600" w:hanging="268"/>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Shared power to direct the vote: 3,420,616 </w:t>
      </w:r>
      <w:r>
        <w:rPr>
          <w:rFonts w:ascii="Arial" w:cs="Arial" w:eastAsia="Arial" w:hAnsi="Arial"/>
          <w:sz w:val="23"/>
          <w:szCs w:val="23"/>
          <w:color w:val="auto"/>
          <w:vertAlign w:val="superscript"/>
        </w:rPr>
        <w:t>(</w:t>
      </w:r>
      <w:r>
        <w:rPr>
          <w:rFonts w:ascii="Arial" w:cs="Arial" w:eastAsia="Arial" w:hAnsi="Arial"/>
          <w:sz w:val="28"/>
          <w:szCs w:val="28"/>
          <w:color w:val="auto"/>
          <w:vertAlign w:val="superscript"/>
        </w:rPr>
        <w:t>2)(3)</w:t>
      </w:r>
    </w:p>
    <w:p>
      <w:pPr>
        <w:spacing w:after="0" w:line="132"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2,020,254 </w:t>
      </w:r>
      <w:r>
        <w:rPr>
          <w:rFonts w:ascii="Arial" w:cs="Arial" w:eastAsia="Arial" w:hAnsi="Arial"/>
          <w:sz w:val="23"/>
          <w:szCs w:val="23"/>
          <w:color w:val="auto"/>
          <w:vertAlign w:val="superscript"/>
        </w:rPr>
        <w:t>(1)(2)</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3,420,616 </w:t>
      </w:r>
      <w:r>
        <w:rPr>
          <w:rFonts w:ascii="Arial" w:cs="Arial" w:eastAsia="Arial" w:hAnsi="Arial"/>
          <w:sz w:val="28"/>
          <w:szCs w:val="28"/>
          <w:color w:val="auto"/>
          <w:vertAlign w:val="superscript"/>
        </w:rPr>
        <w:t>(2)(3)</w:t>
      </w:r>
    </w:p>
    <w:p>
      <w:pPr>
        <w:spacing w:after="0" w:line="138" w:lineRule="exact"/>
        <w:rPr>
          <w:rFonts w:ascii="Arial" w:cs="Arial" w:eastAsia="Arial" w:hAnsi="Arial"/>
          <w:sz w:val="18"/>
          <w:szCs w:val="18"/>
          <w:color w:val="auto"/>
        </w:rPr>
      </w:pPr>
    </w:p>
    <w:p>
      <w:pPr>
        <w:jc w:val="both"/>
        <w:ind w:left="660" w:hanging="247"/>
        <w:spacing w:after="0" w:line="205" w:lineRule="auto"/>
        <w:tabs>
          <w:tab w:leader="none" w:pos="618" w:val="left"/>
        </w:tabs>
        <w:numPr>
          <w:ilvl w:val="1"/>
          <w:numId w:val="9"/>
        </w:numPr>
        <w:rPr>
          <w:rFonts w:ascii="Arial" w:cs="Arial" w:eastAsia="Arial" w:hAnsi="Arial"/>
          <w:sz w:val="23"/>
          <w:szCs w:val="23"/>
          <w:color w:val="auto"/>
          <w:vertAlign w:val="superscript"/>
        </w:rPr>
      </w:pPr>
      <w:r>
        <w:rPr>
          <w:rFonts w:ascii="Arial" w:cs="Arial" w:eastAsia="Arial" w:hAnsi="Arial"/>
          <w:sz w:val="18"/>
          <w:szCs w:val="18"/>
          <w:color w:val="auto"/>
        </w:rPr>
        <w:t>Consists of (i) 69,272 shares of Class A common stock and 134,579 shares of Class B common stock held of record by Omid Farokhzad (the “Reporting Person”); (ii) 1,805,243 shares of Class A common stock subject to options exercisable within 60 days of December 31, 2021 and (iii) 11,160 shares of Class A common stock issuable upon vesting of RSUs within 60 days of December 31, 2021. Of the reported shares, 3,522 shares are subject to the Issuer’s repurchase right as of December 31, 2021.</w:t>
      </w:r>
    </w:p>
    <w:p>
      <w:pPr>
        <w:spacing w:after="0" w:line="188" w:lineRule="exact"/>
        <w:rPr>
          <w:rFonts w:ascii="Arial" w:cs="Arial" w:eastAsia="Arial" w:hAnsi="Arial"/>
          <w:sz w:val="23"/>
          <w:szCs w:val="23"/>
          <w:color w:val="auto"/>
          <w:vertAlign w:val="superscript"/>
        </w:rPr>
      </w:pPr>
    </w:p>
    <w:p>
      <w:pPr>
        <w:ind w:left="580" w:hanging="167"/>
        <w:spacing w:after="0"/>
        <w:tabs>
          <w:tab w:leader="none" w:pos="580" w:val="left"/>
        </w:tabs>
        <w:numPr>
          <w:ilvl w:val="1"/>
          <w:numId w:val="9"/>
        </w:numPr>
        <w:rPr>
          <w:rFonts w:ascii="Arial" w:cs="Arial" w:eastAsia="Arial" w:hAnsi="Arial"/>
          <w:sz w:val="20"/>
          <w:szCs w:val="20"/>
          <w:color w:val="auto"/>
          <w:vertAlign w:val="superscript"/>
        </w:rPr>
      </w:pPr>
      <w:r>
        <w:rPr>
          <w:rFonts w:ascii="Arial" w:cs="Arial" w:eastAsia="Arial" w:hAnsi="Arial"/>
          <w:sz w:val="16"/>
          <w:szCs w:val="16"/>
          <w:color w:val="auto"/>
        </w:rPr>
        <w:t>Each share of Class B common stock is convertible at any time into one share of Class A common stock.</w:t>
      </w:r>
    </w:p>
    <w:p>
      <w:pPr>
        <w:spacing w:after="0" w:line="188" w:lineRule="exact"/>
        <w:rPr>
          <w:rFonts w:ascii="Arial" w:cs="Arial" w:eastAsia="Arial" w:hAnsi="Arial"/>
          <w:sz w:val="20"/>
          <w:szCs w:val="20"/>
          <w:color w:val="auto"/>
          <w:vertAlign w:val="superscript"/>
        </w:rPr>
      </w:pPr>
    </w:p>
    <w:p>
      <w:pPr>
        <w:ind w:left="660" w:hanging="247"/>
        <w:spacing w:after="0" w:line="233" w:lineRule="auto"/>
        <w:tabs>
          <w:tab w:leader="none" w:pos="582" w:val="left"/>
        </w:tabs>
        <w:numPr>
          <w:ilvl w:val="1"/>
          <w:numId w:val="9"/>
        </w:numPr>
        <w:rPr>
          <w:rFonts w:ascii="Arial" w:cs="Arial" w:eastAsia="Arial" w:hAnsi="Arial"/>
          <w:sz w:val="20"/>
          <w:szCs w:val="20"/>
          <w:color w:val="auto"/>
          <w:vertAlign w:val="superscript"/>
        </w:rPr>
      </w:pPr>
      <w:r>
        <w:rPr>
          <w:rFonts w:ascii="Arial" w:cs="Arial" w:eastAsia="Arial" w:hAnsi="Arial"/>
          <w:sz w:val="16"/>
          <w:szCs w:val="16"/>
          <w:color w:val="auto"/>
        </w:rPr>
        <w:t>Based on the quotient obtained by dividing (a) the aggregate amount beneficially owned by the Reporting Consists of (i) 1,303,478 shares of Class B common stock held of record by Dynamics Group LLC for which the Reporting Person serves as the sole member and (ii) 2,117,138 shares of Class B common stock</w:t>
      </w:r>
    </w:p>
    <w:p>
      <w:pPr>
        <w:sectPr>
          <w:pgSz w:w="11900" w:h="16838" w:orient="portrait"/>
          <w:cols w:equalWidth="0" w:num="1">
            <w:col w:w="11240"/>
          </w:cols>
          <w:pgMar w:left="320" w:top="1440" w:right="339" w:bottom="1440" w:gutter="0" w:footer="0" w:header="0"/>
        </w:sectPr>
      </w:pPr>
    </w:p>
    <w:bookmarkStart w:id="5" w:name="page6"/>
    <w:bookmarkEnd w:id="5"/>
    <w:p>
      <w:pPr>
        <w:ind w:left="660"/>
        <w:spacing w:after="0" w:line="235" w:lineRule="auto"/>
        <w:rPr>
          <w:sz w:val="20"/>
          <w:szCs w:val="20"/>
          <w:color w:val="auto"/>
        </w:rPr>
      </w:pPr>
      <w:r>
        <w:rPr>
          <w:rFonts w:ascii="Arial" w:cs="Arial" w:eastAsia="Arial" w:hAnsi="Arial"/>
          <w:sz w:val="18"/>
          <w:szCs w:val="18"/>
          <w:color w:val="auto"/>
        </w:rPr>
        <w:t>held of record by SAF-BND Trust for which the Reporting Person’s spouse serves as trustee. The Reporting Person disclaims beneficial ownership of the shares held by the SAF-BND Trust.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jc w:val="center"/>
        <w:ind w:right="9500"/>
        <w:spacing w:after="0"/>
        <w:rPr>
          <w:sz w:val="20"/>
          <w:szCs w:val="20"/>
          <w:color w:val="auto"/>
        </w:rPr>
      </w:pPr>
      <w:r>
        <w:rPr>
          <w:rFonts w:ascii="Arial" w:cs="Arial" w:eastAsia="Arial" w:hAnsi="Arial"/>
          <w:sz w:val="16"/>
          <w:szCs w:val="16"/>
          <w:b w:val="1"/>
          <w:bCs w:val="1"/>
          <w:color w:val="auto"/>
        </w:rPr>
        <w:t>Item 10. Certifications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408" w:right="339" w:bottom="1440" w:gutter="0" w:footer="0" w:header="0"/>
        </w:sectPr>
      </w:pPr>
    </w:p>
    <w:bookmarkStart w:id="6" w:name="page7"/>
    <w:bookmarkEnd w:id="6"/>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135"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14,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1136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6015" cy="825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Omid Farokhzad</w:t>
      </w:r>
    </w:p>
    <w:sectPr>
      <w:pgSz w:w="11900" w:h="16838" w:orient="portrait"/>
      <w:cols w:equalWidth="0" w:num="1">
        <w:col w:w="10900"/>
      </w:cols>
      <w:pgMar w:left="320" w:top="1404"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Roman"/>
      <w:start w:val="1"/>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lowerLetter"/>
      <w:start w:val="1"/>
    </w:lvl>
    <w:lvl w:ilvl="1">
      <w:lvlJc w:val="left"/>
      <w:lvlText w:val="(%2)"/>
      <w:numFmt w:val="decimal"/>
      <w:start w:val="1"/>
    </w:lvl>
  </w:abstractNum>
  <w:abstractNum w:abstractNumId="4">
    <w:nsid w:val="41B71EFB"/>
    <w:multiLevelType w:val="hybridMultilevel"/>
    <w:lvl w:ilvl="0">
      <w:lvlJc w:val="left"/>
      <w:lvlText w:val="(%1)"/>
      <w:numFmt w:val="lowerLetter"/>
      <w:start w:val="2"/>
    </w:lvl>
    <w:lvl w:ilvl="1">
      <w:lvlJc w:val="left"/>
      <w:lvlText w:val="%2"/>
      <w:numFmt w:val="decimal"/>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lowerLetter"/>
      <w:start w:val="2"/>
    </w:lvl>
    <w:lvl w:ilvl="1">
      <w:lvlJc w:val="left"/>
      <w:lvlText w:val="(%2)"/>
      <w:numFmt w:val="lowerLetter"/>
      <w:start w:val="9"/>
    </w:lvl>
  </w:abstractNum>
  <w:abstractNum w:abstractNumId="8">
    <w:nsid w:val="5BD062C2"/>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2022-02-14T17:16:41Z</dcterms:created>
  <dcterms:modified xsi:type="dcterms:W3CDTF">2022-02-14T17:16:41Z</dcterms:modified>
</cp:coreProperties>
</file>