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SINGER DAVID B</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right="20"/>
        <w:spacing w:after="0" w:line="314" w:lineRule="auto"/>
        <w:rPr>
          <w:sz w:val="20"/>
          <w:szCs w:val="20"/>
          <w:color w:val="auto"/>
        </w:rPr>
      </w:pPr>
      <w:r>
        <w:rPr>
          <w:rFonts w:ascii="Times New Roman" w:cs="Times New Roman" w:eastAsia="Times New Roman" w:hAnsi="Times New Roman"/>
          <w:sz w:val="17"/>
          <w:szCs w:val="17"/>
          <w:color w:val="0000FF"/>
        </w:rPr>
        <w:t>ONE LETTERMAN DRIVE, BUILDING D, SUITE DM100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12/03/2020</w:t>
      </w:r>
    </w:p>
    <w:p>
      <w:pPr>
        <w:spacing w:after="0" w:line="20" w:lineRule="exact"/>
        <w:rPr>
          <w:sz w:val="24"/>
          <w:szCs w:val="24"/>
          <w:color w:val="auto"/>
        </w:rPr>
      </w:pPr>
      <w:r>
        <w:rPr>
          <w:sz w:val="24"/>
          <w:szCs w:val="24"/>
          <w:color w:val="auto"/>
        </w:rPr>
        <w:br w:type="column"/>
      </w:r>
    </w:p>
    <w:p>
      <w:pPr>
        <w:ind w:right="620"/>
        <w:spacing w:after="0" w:line="262"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173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58"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8"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8"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8"/>
          </w:tcPr>
          <w:p>
            <w:pPr>
              <w:jc w:val="center"/>
              <w:ind w:right="40"/>
              <w:spacing w:after="0" w:line="113"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1"/>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37,383</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ind w:left="260"/>
              <w:spacing w:after="0" w:line="207"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12/03/2020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37,383</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12/03/2020</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37,383</w:t>
            </w: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-2930525</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in 36 equal monthly installments beginning on January 3, 2021.</w:t>
      </w:r>
    </w:p>
    <w:p>
      <w:pPr>
        <w:spacing w:after="0" w:line="43" w:lineRule="exact"/>
        <w:rPr>
          <w:rFonts w:ascii="Times New Roman" w:cs="Times New Roman" w:eastAsia="Times New Roman" w:hAnsi="Times New Roman"/>
          <w:sz w:val="13"/>
          <w:szCs w:val="13"/>
          <w:color w:val="008000"/>
        </w:rPr>
      </w:pPr>
    </w:p>
    <w:p>
      <w:pPr>
        <w:jc w:val="both"/>
        <w:ind w:left="40" w:right="32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Partner of Maverick Capital Ventures, LLC (Maverick Ventures), the general partner of Maverick Ventures Investment Fund, L.P. and Maverick Advisors Fund, L.P. The reporting person is deemed to hold the reported stock option for the benefit of the Maverick Ventures, which entity is entitled to the shares of Class A Common Stock issued upon exercise. Maverick Ventures may be deemed the indirect beneficial owner of this stock option, and the reporting person may be deemed the indirect beneficial owner of the option through his indirect interest in Maverick Ventures. The reporting person disclaims beneficial ownership of the stock option except to the extent of his pecuniary interest therein.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David Singer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12/11/2020</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0366"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2020-12-11T20:29:54Z</dcterms:created>
  <dcterms:modified xsi:type="dcterms:W3CDTF">2020-12-11T20:29:54Z</dcterms:modified>
</cp:coreProperties>
</file>