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0" w:type="dxa"/>
            <w:vAlign w:val="bottom"/>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Horn David R.</w:t>
              </w:r>
            </w:hyperlink>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(Last)</w:t>
            </w:r>
          </w:p>
        </w:tc>
        <w:tc>
          <w:tcPr>
            <w:tcW w:w="1100" w:type="dxa"/>
            <w:vAlign w:val="bottom"/>
          </w:tcPr>
          <w:p>
            <w:pPr>
              <w:ind w:left="6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 SEER, INC.</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96"/>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REDWOOD CITY CA</w:t>
            </w:r>
          </w:p>
        </w:tc>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120" w:type="dxa"/>
            <w:vAlign w:val="bottom"/>
            <w:gridSpan w:val="3"/>
          </w:tcPr>
          <w:p>
            <w:pPr>
              <w:ind w:left="60"/>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Seer,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3"/>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5"/>
        </w:trPr>
        <w:tc>
          <w:tcPr>
            <w:tcW w:w="212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tcPr>
          <w:p>
            <w:pPr>
              <w:ind w:left="120"/>
              <w:spacing w:after="0" w:line="88" w:lineRule="exact"/>
              <w:rPr>
                <w:sz w:val="20"/>
                <w:szCs w:val="20"/>
                <w:color w:val="auto"/>
              </w:rPr>
            </w:pPr>
            <w:r>
              <w:rPr>
                <w:rFonts w:ascii="Arial" w:cs="Arial" w:eastAsia="Arial" w:hAnsi="Arial"/>
                <w:sz w:val="10"/>
                <w:szCs w:val="10"/>
                <w:color w:val="auto"/>
              </w:rPr>
              <w:t>Director</w:t>
            </w:r>
          </w:p>
        </w:tc>
        <w:tc>
          <w:tcPr>
            <w:tcW w:w="1180" w:type="dxa"/>
            <w:vAlign w:val="bottom"/>
          </w:tcPr>
          <w:p>
            <w:pPr>
              <w:ind w:left="40"/>
              <w:spacing w:after="0" w:line="88"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X</w:t>
            </w:r>
          </w:p>
        </w:tc>
        <w:tc>
          <w:tcPr>
            <w:tcW w:w="1660" w:type="dxa"/>
            <w:vAlign w:val="bottom"/>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1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X</w:t>
            </w:r>
          </w:p>
        </w:tc>
        <w:tc>
          <w:tcPr>
            <w:tcW w:w="2360" w:type="dxa"/>
            <w:vAlign w:val="bottom"/>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6"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41"/>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84,112</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80" w:type="dxa"/>
            <w:vAlign w:val="bottom"/>
            <w:gridSpan w:val="5"/>
          </w:tcPr>
          <w:p>
            <w:pPr>
              <w:jc w:val="right"/>
              <w:ind w:right="40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2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tcBorders>
              <w:bottom w:val="single" w:sz="8" w:color="2C2C2C"/>
            </w:tcBorders>
            <w:vMerge w:val="continue"/>
          </w:tcPr>
          <w:p>
            <w:pPr>
              <w:spacing w:after="0"/>
              <w:rPr>
                <w:sz w:val="13"/>
                <w:szCs w:val="13"/>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04/01/2030</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626,547</w:t>
            </w:r>
          </w:p>
        </w:tc>
        <w:tc>
          <w:tcPr>
            <w:tcW w:w="720" w:type="dxa"/>
            <w:vAlign w:val="bottom"/>
          </w:tcPr>
          <w:p>
            <w:pPr>
              <w:jc w:val="right"/>
              <w:ind w:right="206"/>
              <w:spacing w:after="0"/>
              <w:rPr>
                <w:sz w:val="20"/>
                <w:szCs w:val="20"/>
                <w:color w:val="auto"/>
              </w:rPr>
            </w:pPr>
            <w:r>
              <w:rPr>
                <w:rFonts w:ascii="Times New Roman" w:cs="Times New Roman" w:eastAsia="Times New Roman" w:hAnsi="Times New Roman"/>
                <w:sz w:val="13"/>
                <w:szCs w:val="13"/>
                <w:color w:val="0000FF"/>
              </w:rPr>
              <w:t>2.7</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w w:val="96"/>
              </w:rPr>
              <w:t>07/28/2030</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169,500</w:t>
            </w: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color w:val="0000FF"/>
              </w:rPr>
              <w:t>3.47</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-1242695</wp:posOffset>
            </wp:positionV>
            <wp:extent cx="6997700" cy="1144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144270"/>
                    </a:xfrm>
                    <a:prstGeom prst="rect">
                      <a:avLst/>
                    </a:prstGeom>
                    <a:noFill/>
                  </pic:spPr>
                </pic:pic>
              </a:graphicData>
            </a:graphic>
          </wp:anchor>
        </w:drawing>
      </w:r>
    </w:p>
    <w:p>
      <w:pPr>
        <w:ind w:left="40" w:right="2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underlying the option are subject to an early exercise provision and are immediately exercisable. An option to purchase 84,112 shares was granted on April 1, 2020 and was exercised in part prior to the date on which the reporting person became subject to Section 16. One-fourth of the shares underlying the option vest on April 1, 2021 and 1/48th of the shares vest monthly thereafter.</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underlying the option are subject to an early exercise provision and are immediately exercisable. One-fourth of the shares underlying the option vest on July 28, 2021 and and 1/48th of the shares vest monthly thereafter.</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Elona Kogan, by power of attorney</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12/03/2020</w:t>
            </w:r>
          </w:p>
        </w:tc>
      </w:tr>
      <w:tr>
        <w:trPr>
          <w:trHeight w:val="172"/>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Elona Kogan and Jennifer Magg</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David R. Horn</w:t>
      </w:r>
    </w:p>
    <w:p>
      <w:pPr>
        <w:spacing w:after="0" w:line="27"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__________________</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David R. Horn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2020-12-03T18:51:39Z</dcterms:created>
  <dcterms:modified xsi:type="dcterms:W3CDTF">2020-12-03T18:51:39Z</dcterms:modified>
</cp:coreProperties>
</file>