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bookmarkStart w:id="0" w:name="ck0001726445-20251231.htm"/>
      <w:bookmarkStart w:id="1" w:name="ksck000172644520251231"/>
      <w:bookmarkEnd w:id="0"/>
      <w:bookmarkEnd w:id="1"/>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80"/>
        <w:jc w:val="center"/>
        <w:rPr>
          <w:rFonts w:ascii="Times New Roman" w:hAnsi="Times New Roman"/>
          <w:b/>
          <w:color w:val="000000"/>
          <w:sz w:val="30"/>
        </w:rPr>
      </w:pPr>
      <w:r>
        <w:rPr>
          <w:rFonts w:ascii="Times New Roman" w:hAnsi="Times New Roman"/>
          <w:b/>
          <w:color w:val="000000"/>
          <w:sz w:val="30"/>
        </w:rPr>
        <w:t>FORM 10-K/A</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20" w:after="283"/>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ANNUAL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fiscal year ended December 31, 2025</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pBdr>
          <w:bottom w:val="single" w:sz="6" w:space="1" w:color="000000"/>
        </w:pBdr>
        <w:bidi w:val="0"/>
        <w:jc w:val="center"/>
        <w:rPr/>
      </w:pPr>
      <w:r>
        <w:rPr/>
        <w:t> </w:t>
      </w:r>
    </w:p>
    <w:p>
      <w:pPr>
        <w:pStyle w:val="TextBody"/>
        <w:bidi w:val="0"/>
        <w:spacing w:before="120" w:after="283"/>
        <w:jc w:val="center"/>
        <w:rPr/>
      </w:pPr>
      <w:r>
        <w:rPr/>
        <w:t> </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based on the closing price of the shares of Class A common stock on The Nasdaq Stock Market on June 30, 2025, was approximately $113.8</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As of February 23, 2026, the registrant had 56,420,772</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outstanding.</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None.</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9393" w:type="dxa"/>
        <w:jc w:val="left"/>
        <w:tblInd w:w="0" w:type="dxa"/>
        <w:tblLayout w:type="fixed"/>
        <w:tblCellMar>
          <w:top w:w="28" w:type="dxa"/>
          <w:left w:w="28" w:type="dxa"/>
          <w:bottom w:w="28" w:type="dxa"/>
          <w:right w:w="28" w:type="dxa"/>
        </w:tblCellMar>
      </w:tblPr>
      <w:tblGrid>
        <w:gridCol w:w="781"/>
        <w:gridCol w:w="8251"/>
        <w:gridCol w:w="361"/>
      </w:tblGrid>
      <w:tr>
        <w:trPr/>
        <w:tc>
          <w:tcPr>
            <w:tcW w:w="781"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93" w:type="dxa"/>
            <w:gridSpan w:val="3"/>
            <w:tcBorders/>
            <w:tcMar>
              <w:top w:w="0" w:type="dxa"/>
              <w:left w:w="0" w:type="dxa"/>
              <w:bottom w:w="0" w:type="dxa"/>
              <w:right w:w="0" w:type="dxa"/>
            </w:tcMar>
            <w:vAlign w:val="center"/>
          </w:tcPr>
          <w:p>
            <w:pPr>
              <w:pStyle w:val="TableContents"/>
              <w:bidi w:val="0"/>
              <w:spacing w:before="53" w:after="30"/>
              <w:jc w:val="center"/>
              <w:rPr/>
            </w:pPr>
            <w:hyperlink w:anchor="part_iii">
              <w:r>
                <w:rPr>
                  <w:rStyle w:val="InternetLink"/>
                  <w:rFonts w:ascii="Times New Roman" w:hAnsi="Times New Roman"/>
                  <w:color w:val="0000FF"/>
                  <w:sz w:val="20"/>
                  <w:u w:val="single"/>
                </w:rPr>
                <w:t>Part III.</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10.</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item_10_directors_executive">
              <w:r>
                <w:rPr>
                  <w:rStyle w:val="InternetLink"/>
                  <w:rFonts w:ascii="Times New Roman" w:hAnsi="Times New Roman"/>
                  <w:color w:val="0000FF"/>
                  <w:sz w:val="20"/>
                  <w:u w:val="single"/>
                </w:rPr>
                <w:t>Directors, Executive Officers and Corporate Governance</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item_10_directors_executive">
              <w:r>
                <w:rPr>
                  <w:rStyle w:val="InternetLink"/>
                  <w:rFonts w:ascii="Times New Roman" w:hAnsi="Times New Roman"/>
                  <w:color w:val="0000FF"/>
                  <w:sz w:val="20"/>
                  <w:u w:val="single"/>
                </w:rPr>
                <w:t>4</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11.</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item_11_executive_compensation">
              <w:r>
                <w:rPr>
                  <w:rStyle w:val="InternetLink"/>
                  <w:rFonts w:ascii="Times New Roman" w:hAnsi="Times New Roman"/>
                  <w:color w:val="0000FF"/>
                  <w:sz w:val="20"/>
                  <w:u w:val="single"/>
                </w:rPr>
                <w:t>Executive Compensation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item_11_executive_compensation">
              <w:r>
                <w:rPr>
                  <w:rStyle w:val="InternetLink"/>
                  <w:rFonts w:ascii="Times New Roman" w:hAnsi="Times New Roman"/>
                  <w:color w:val="0000FF"/>
                  <w:sz w:val="20"/>
                  <w:u w:val="single"/>
                </w:rPr>
                <w:t>20</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12.</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item_12_security_ownership_of_certain">
              <w:r>
                <w:rPr>
                  <w:rStyle w:val="InternetLink"/>
                  <w:rFonts w:ascii="Times New Roman" w:hAnsi="Times New Roman"/>
                  <w:color w:val="0000FF"/>
                  <w:sz w:val="20"/>
                  <w:u w:val="single"/>
                </w:rPr>
                <w:t>48</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13.</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item_13_certain_relationships">
              <w:r>
                <w:rPr>
                  <w:rStyle w:val="InternetLink"/>
                  <w:rFonts w:ascii="Times New Roman" w:hAnsi="Times New Roman"/>
                  <w:color w:val="0000FF"/>
                  <w:sz w:val="20"/>
                  <w:u w:val="single"/>
                </w:rPr>
                <w:t>52</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14.</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item_14_principal_accounting">
              <w:r>
                <w:rPr>
                  <w:rStyle w:val="InternetLink"/>
                  <w:rFonts w:ascii="Times New Roman" w:hAnsi="Times New Roman"/>
                  <w:color w:val="0000FF"/>
                  <w:sz w:val="20"/>
                  <w:u w:val="single"/>
                </w:rPr>
                <w:t>Principal Accounting Fees and Services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item_14_principal_accounting">
              <w:r>
                <w:rPr>
                  <w:rStyle w:val="InternetLink"/>
                  <w:rFonts w:ascii="Times New Roman" w:hAnsi="Times New Roman"/>
                  <w:color w:val="0000FF"/>
                  <w:sz w:val="20"/>
                  <w:u w:val="single"/>
                </w:rPr>
                <w:t>53</w:t>
              </w:r>
            </w:hyperlink>
          </w:p>
        </w:tc>
      </w:tr>
      <w:tr>
        <w:trPr/>
        <w:tc>
          <w:tcPr>
            <w:tcW w:w="9393" w:type="dxa"/>
            <w:gridSpan w:val="3"/>
            <w:tcBorders/>
            <w:tcMar>
              <w:top w:w="0" w:type="dxa"/>
              <w:left w:w="0" w:type="dxa"/>
              <w:bottom w:w="0" w:type="dxa"/>
              <w:right w:w="0" w:type="dxa"/>
            </w:tcMar>
            <w:vAlign w:val="center"/>
          </w:tcPr>
          <w:p>
            <w:pPr>
              <w:pStyle w:val="TableContents"/>
              <w:bidi w:val="0"/>
              <w:spacing w:before="53" w:after="30"/>
              <w:jc w:val="center"/>
              <w:rPr/>
            </w:pPr>
            <w:hyperlink w:anchor="part_iv">
              <w:r>
                <w:rPr>
                  <w:rStyle w:val="InternetLink"/>
                  <w:rFonts w:ascii="Times New Roman" w:hAnsi="Times New Roman"/>
                  <w:color w:val="0000FF"/>
                  <w:sz w:val="20"/>
                  <w:u w:val="single"/>
                </w:rPr>
                <w:t>Part IV.</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Item 15.</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item_15_exhibits_and_financial">
              <w:r>
                <w:rPr>
                  <w:rStyle w:val="InternetLink"/>
                  <w:rFonts w:ascii="Times New Roman" w:hAnsi="Times New Roman"/>
                  <w:color w:val="0000FF"/>
                  <w:sz w:val="20"/>
                  <w:u w:val="single"/>
                </w:rPr>
                <w:t>Exhibits and Financial Statement Schedules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item_15_exhibits_and_financial">
              <w:r>
                <w:rPr>
                  <w:rStyle w:val="InternetLink"/>
                  <w:rFonts w:ascii="Times New Roman" w:hAnsi="Times New Roman"/>
                  <w:color w:val="0000FF"/>
                  <w:sz w:val="20"/>
                  <w:u w:val="single"/>
                </w:rPr>
                <w:t>54</w:t>
              </w:r>
            </w:hyperlink>
          </w:p>
        </w:tc>
      </w:tr>
      <w:tr>
        <w:trPr/>
        <w:tc>
          <w:tcPr>
            <w:tcW w:w="781" w:type="dxa"/>
            <w:tcBorders/>
            <w:tcMar>
              <w:top w:w="0" w:type="dxa"/>
              <w:left w:w="0" w:type="dxa"/>
              <w:bottom w:w="0" w:type="dxa"/>
              <w:right w:w="0" w:type="dxa"/>
            </w:tcMar>
            <w:vAlign w:val="center"/>
          </w:tcPr>
          <w:p>
            <w:pPr>
              <w:pStyle w:val="TableContents"/>
              <w:bidi w:val="0"/>
              <w:spacing w:before="53" w:after="30"/>
              <w:jc w:val="left"/>
              <w:rPr/>
            </w:pPr>
            <w:r>
              <w:rPr/>
              <w:t> </w:t>
            </w:r>
          </w:p>
        </w:tc>
        <w:tc>
          <w:tcPr>
            <w:tcW w:w="8251" w:type="dxa"/>
            <w:tcBorders/>
            <w:tcMar>
              <w:top w:w="0" w:type="dxa"/>
              <w:left w:w="0" w:type="dxa"/>
              <w:bottom w:w="0" w:type="dxa"/>
              <w:right w:w="0" w:type="dxa"/>
            </w:tcMar>
            <w:vAlign w:val="center"/>
          </w:tcPr>
          <w:p>
            <w:pPr>
              <w:pStyle w:val="TableContents"/>
              <w:bidi w:val="0"/>
              <w:spacing w:before="53" w:after="30"/>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Times New Roman" w:hAnsi="Times New Roman"/>
                  <w:color w:val="0000FF"/>
                  <w:sz w:val="20"/>
                  <w:u w:val="single"/>
                </w:rPr>
                <w:t>55</w:t>
              </w:r>
            </w:hyperlink>
          </w:p>
        </w:tc>
      </w:tr>
    </w:tbl>
    <w:p>
      <w:pPr>
        <w:pStyle w:val="TextBody"/>
        <w:bidi w:val="0"/>
        <w:spacing w:before="180" w:after="180"/>
        <w:jc w:val="left"/>
        <w:rPr/>
      </w:pPr>
      <w:r>
        <w:rPr/>
        <w:t> </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Amendment No. 1 on Form 10-K/A (this “Amendment” or “Form 10-K/A”) to amend the Annual Report on Form 10-K of Seer, Inc., a Delaware corporation (referred to as “Seer,” the “Company,” “we,” “us,” or “our”) for the fiscal year ended December 31, 2025, originally filed with the Securities and Exchange Commission (the “SEC”) on March 2, 2026 (the “Original Report”), is being filed for the purpose of including the information required to be disclosed by Part III of Form 10-K. This information was previously omitted from the Original Report in reliance on General Instruction G(3) to Form 10-K, which permits the information in the above referenced items to be incorporated in the Form 10-K by reference from our definitive proxy statement if such proxy statement is filed no later than 120 days after our fiscal year-end. The reference on the cover page of the Original Report to the incorporation by reference to portions of our definitive proxy statement into Part III of the Original Report has been deleted. This Amendment No. 1 hereby amends and restates in their entirety the cover page and Items 10 through 14 of Part III of the Original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required by Rule 12b-15 under the Securities Exchange Act of 1934, as amended, in connection with this Form 10-K/A, our Chief Executive Officer and Chief Financial Officer and President are providing Rule 13a-14(a) certifications as included herein. We are amending Item 15 of Part IV solely to reflect the inclusion of these certifications.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Except as described above, this Form 10-K/A does not modify or update disclosure in, or exhibits to, the Original Report. Furthermore, this Form 10-K/A does not change any previously reported financial results, nor does it reflect events occurring after the filing date of the Original Report. Information not affected by this Form 10-K/A remains unchanged and reflects the disclosures made at the time the Original Report was filed.</w:t>
        <w:b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3" w:name="part_iii"/>
      <w:bookmarkEnd w:id="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180" w:after="283"/>
        <w:jc w:val="left"/>
        <w:rPr>
          <w:rFonts w:ascii="Times New Roman" w:hAnsi="Times New Roman"/>
          <w:sz w:val="20"/>
        </w:rPr>
      </w:pPr>
      <w:bookmarkStart w:id="4" w:name="item_10_directors_executive"/>
      <w:bookmarkEnd w:id="4"/>
      <w:r>
        <w:rPr>
          <w:rFonts w:ascii="Times New Roman" w:hAnsi="Times New Roman"/>
          <w:b/>
          <w:color w:val="000000"/>
          <w:sz w:val="20"/>
        </w:rPr>
        <w:t>Item 10. Directors, Executive</w:t>
      </w:r>
      <w:r>
        <w:rPr>
          <w:rFonts w:ascii="Times New Roman" w:hAnsi="Times New Roman"/>
          <w:color w:val="000000"/>
          <w:sz w:val="20"/>
        </w:rPr>
        <w:t xml:space="preserve"> </w:t>
      </w:r>
      <w:r>
        <w:rPr>
          <w:rFonts w:ascii="Times New Roman" w:hAnsi="Times New Roman"/>
          <w:b/>
          <w:color w:val="000000"/>
          <w:sz w:val="20"/>
        </w:rPr>
        <w:t>Officers and Corporate Governance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Composition of the Board of Directors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manage our business affairs under the direction of our board of directors, which currently consists of seven members. Our board of directors has affirmatively determined that five of our seven directors qualify as “independent” within the meaning of the listing standards of the Nasdaq Stock Market LLC (Nasdaq).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the names and ages as of March 31, 2026 and certain other information for each of the directors:</w:t>
      </w:r>
    </w:p>
    <w:tbl>
      <w:tblPr>
        <w:tblW w:w="8929" w:type="dxa"/>
        <w:jc w:val="left"/>
        <w:tblInd w:w="0" w:type="dxa"/>
        <w:tblLayout w:type="fixed"/>
        <w:tblCellMar>
          <w:top w:w="28" w:type="dxa"/>
          <w:left w:w="28" w:type="dxa"/>
          <w:bottom w:w="28" w:type="dxa"/>
          <w:right w:w="28" w:type="dxa"/>
        </w:tblCellMar>
      </w:tblPr>
      <w:tblGrid>
        <w:gridCol w:w="2446"/>
        <w:gridCol w:w="391"/>
        <w:gridCol w:w="4906"/>
        <w:gridCol w:w="1186"/>
      </w:tblGrid>
      <w:tr>
        <w:trPr/>
        <w:tc>
          <w:tcPr>
            <w:tcW w:w="2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Meeta Gulyani </w:t>
            </w:r>
            <w:r>
              <w:rPr>
                <w:rFonts w:ascii="Times New Roman" w:hAnsi="Times New Roman"/>
                <w:color w:val="000000"/>
                <w:sz w:val="13"/>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Langer, Sc.D.</w:t>
            </w:r>
            <w:r>
              <w:rPr>
                <w:rFonts w:ascii="Times New Roman" w:hAnsi="Times New Roman"/>
                <w:color w:val="000000"/>
                <w:sz w:val="13"/>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Terrance McGuire </w:t>
            </w:r>
            <w:r>
              <w:rPr>
                <w:rFonts w:ascii="Times New Roman" w:hAnsi="Times New Roman"/>
                <w:color w:val="000000"/>
                <w:sz w:val="13"/>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Dipchand (Deep) Nishar </w:t>
            </w:r>
            <w:r>
              <w:rPr>
                <w:rFonts w:ascii="Times New Roman" w:hAnsi="Times New Roman"/>
                <w:color w:val="000000"/>
                <w:sz w:val="13"/>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Isaac Ro</w:t>
            </w:r>
            <w:r>
              <w:rPr>
                <w:rFonts w:ascii="Times New Roman" w:hAnsi="Times New Roman"/>
                <w:color w:val="000000"/>
                <w:sz w:val="13"/>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Nicolas Roelofs, Ph.D.</w:t>
            </w:r>
            <w:r>
              <w:rPr>
                <w:rFonts w:ascii="Times New Roman" w:hAnsi="Times New Roman"/>
                <w:color w:val="000000"/>
                <w:sz w:val="13"/>
              </w:rPr>
              <w:t>(2)(3)(4)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Member of our audit committee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Member of our talent and compensation committee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Member of our corporate governance and nominating committee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 xml:space="preserve">Member of our science and technology committee </w:t>
      </w:r>
    </w:p>
    <w:p>
      <w:pPr>
        <w:pStyle w:val="TextBody"/>
        <w:bidi w:val="0"/>
        <w:spacing w:before="180" w:after="283"/>
        <w:jc w:val="left"/>
        <w:rPr>
          <w:rFonts w:ascii="Times New Roman" w:hAnsi="Times New Roman"/>
          <w:sz w:val="20"/>
        </w:rPr>
      </w:pPr>
      <w:r>
        <w:rPr>
          <w:rFonts w:ascii="Times New Roman" w:hAnsi="Times New Roman"/>
          <w:b/>
          <w:i/>
          <w:color w:val="000000"/>
          <w:sz w:val="20"/>
        </w:rPr>
        <w:t>Omid Farokhzad, M.D.</w:t>
      </w:r>
      <w:r>
        <w:rPr>
          <w:rFonts w:ascii="Times New Roman" w:hAnsi="Times New Roman"/>
          <w:color w:val="000000"/>
          <w:sz w:val="20"/>
        </w:rPr>
        <w:t xml:space="preserve"> co-founded our Company and has served as our Chief Executive Officer since February 2018, as a member of our board of directors since March 2017, serving as Chair since September 2020, and as President of the Company from September 2022 until November 2023. He served as the executive chair of Dynamics Special Purpose Corp., a blank check company, from May 2021 until June 2022. From September 2004 to February 2018, he was a Professor at Harvard Medical School and directed the Center for Nanomedicine at Brigham and Women’s Hospital. Dr. Farokhzad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Senti Biosciences, Selecta Biosciences and BIND Therapeutics. Dr. Farokhzad holds an M.A. and M.D. from Boston University and an M.B.A. from Massachusetts Institute of Technology Sloan School of Management.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sz w:val="20"/>
        </w:rPr>
      </w:pPr>
      <w:r>
        <w:rPr>
          <w:rFonts w:ascii="Times New Roman" w:hAnsi="Times New Roman"/>
          <w:b/>
          <w:i/>
          <w:color w:val="000000"/>
          <w:sz w:val="20"/>
        </w:rPr>
        <w:t>Meeta Gulyani</w:t>
      </w:r>
      <w:r>
        <w:rPr>
          <w:rFonts w:ascii="Times New Roman" w:hAnsi="Times New Roman"/>
          <w:color w:val="000000"/>
          <w:sz w:val="20"/>
        </w:rPr>
        <w:t xml:space="preserve"> has served as a member of our board of directors since November 2021. Ms. Gulyani has served as Senior Vice President, General Manager, Bioprocessing and Head of Life Science Strategy of Ecolab, since December 2024. From October 2023 to February 2024, she was a member of Novo Advisory Group at Novo Holdings, the holding and investment company of the Novo Nordisk Foundation, supporting its life science investments. From January 2016 to August 2023, Ms. Gulyani served as Executive Vice President, Head of Strategy, Business Development and Transformation at the Life Science division of Merck KGaA, Darmstadt, Germany, a global life science and technology company (the Life Science business operates as Millipore Sigma in U.S. and Canada).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currently serves as an advisory board member of Single Use Support GmbH. Ms. Gulyani holds an M.B.A. from the Asian Institute of Management, Philippines, accompanied by an exchange program at the Wharton School of the University of Pennsylvania. She earned a bachelor’s degree in economics from the Shri Ram College of Commerce at Delhi University in India.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believe Ms. Gulyani is qualified to serve on our board of directors because of her extensive experience in the life sciences industry and experience across markets, including Asia. </w:t>
      </w:r>
    </w:p>
    <w:p>
      <w:pPr>
        <w:pStyle w:val="TextBody"/>
        <w:bidi w:val="0"/>
        <w:spacing w:before="180" w:after="283"/>
        <w:jc w:val="left"/>
        <w:rPr>
          <w:rFonts w:ascii="Times New Roman" w:hAnsi="Times New Roman"/>
          <w:sz w:val="20"/>
        </w:rPr>
      </w:pPr>
      <w:r>
        <w:rPr>
          <w:rFonts w:ascii="Times New Roman" w:hAnsi="Times New Roman"/>
          <w:b/>
          <w:i/>
          <w:color w:val="000000"/>
          <w:sz w:val="20"/>
        </w:rPr>
        <w:t>Robert Langer, Sc.D.</w:t>
      </w:r>
      <w:r>
        <w:rPr>
          <w:rFonts w:ascii="Times New Roman" w:hAnsi="Times New Roman"/>
          <w:color w:val="000000"/>
          <w:sz w:val="20"/>
        </w:rPr>
        <w:t xml:space="preserve"> has served as a member of our board of directors since December 2017. Dr. Langer has served as an Institute Professor at the Massachusetts Institute of Technology since July 2005. He currently serves on the board of directors of Abpro Bio Co. Ltd. and Puretech Health plc, and previously served on the board of directors of Alkermes, Inc., Frequency Therapeutics, Inc., Lyra Therapeutics, Inc., Kala Pharmaceuticals, Inc., Moderna, Inc., Momenta Pharmaceuticals, Inc., Millipore Corp., Rubius Therapeutics and Wyeth. Dr. Langer currently serves on the Board of Trustees at Boston Children’s Hospital. Dr. Langer holds a B.S. in Chemical Engineering from Cornell University and an Sc.D. in Chemical Engineering from Massachusetts Institute of Technology.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Dr. Langer is qualified to serve on our board of directors because of his pioneering academic work, extensive medical and scientific knowledge, and experience serving on public company boards of directors.</w:t>
      </w:r>
    </w:p>
    <w:p>
      <w:pPr>
        <w:pStyle w:val="TextBody"/>
        <w:bidi w:val="0"/>
        <w:spacing w:before="180" w:after="283"/>
        <w:jc w:val="left"/>
        <w:rPr>
          <w:rFonts w:ascii="Times New Roman" w:hAnsi="Times New Roman"/>
          <w:sz w:val="20"/>
        </w:rPr>
      </w:pPr>
      <w:r>
        <w:rPr>
          <w:rFonts w:ascii="Times New Roman" w:hAnsi="Times New Roman"/>
          <w:b/>
          <w:i/>
          <w:color w:val="000000"/>
          <w:sz w:val="20"/>
        </w:rPr>
        <w:t>Terrance McGuire</w:t>
      </w:r>
      <w:r>
        <w:rPr>
          <w:rFonts w:ascii="Times New Roman" w:hAnsi="Times New Roman"/>
          <w:color w:val="000000"/>
          <w:sz w:val="20"/>
        </w:rPr>
        <w:t xml:space="preserve"> has served as a member of our board of directors since December 2017. Mr. McGuire is a founding partner of Polaris Partners. Prior to starting Polaris Partners in 1996, Mr. McGuire spent seven years at Burr, Egan, Deleage &amp; Co., investing in early stage medical and information technology companies. He currently serves on the board of directors of Invivyd, Inc. (formerly Adagio Therapeutics, Inc.), Tectonic Therapeutic, Inc., and Whitehead Institute, and previously served on the board of directors of Acceleron Pharma, Inc., Alector, Inc., Arsanis, Inc., Cyclerion Therapeutics,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He holds a B.S. in Physics and Economics from Hobart College, an M.S. in Engineering from the Thayer School at Dartmouth College and an M.B.A. from Harvard Business School.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Mr. McGuire is qualified to serve on our board of directors because of his substantial corporate development and business strategy expertise gained in the venture capital industry.</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sz w:val="20"/>
        </w:rPr>
      </w:pPr>
      <w:r>
        <w:rPr>
          <w:rFonts w:ascii="Times New Roman" w:hAnsi="Times New Roman"/>
          <w:b/>
          <w:i/>
          <w:color w:val="000000"/>
          <w:sz w:val="20"/>
        </w:rPr>
        <w:t>Dipchand (Deep) Nishar</w:t>
      </w:r>
      <w:r>
        <w:rPr>
          <w:rFonts w:ascii="Times New Roman" w:hAnsi="Times New Roman"/>
          <w:color w:val="000000"/>
          <w:sz w:val="20"/>
        </w:rPr>
        <w:t xml:space="preserve"> has served as a member of our board of directors since February 2021. From January 2022 to March 2025, Mr. Nishar was a Managing Director at General Catalyst.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He currently serves as a member of the board of directors of several privately-held companies. Mr. Nishar previously served on the board of directors of Dynamics Special Purpose Corp., Guardant Health, Inc., Relay Therapeutics, Inc., TripAdvisor, Inc., Vir Biotechnology, Inc., and Zymergen Inc. Mr. Nishar holds a B. Tech from the Indian Institute of Technology, an M.S. in Electrical Engineering from the University of Illinois, Urbana-Champaign and an M.B.A. from Harvard Business School.</w:t>
      </w:r>
    </w:p>
    <w:p>
      <w:pPr>
        <w:pStyle w:val="TextBody"/>
        <w:bidi w:val="0"/>
        <w:spacing w:before="180" w:after="283"/>
        <w:jc w:val="left"/>
        <w:rPr>
          <w:rFonts w:ascii="Times New Roman" w:hAnsi="Times New Roman"/>
          <w:sz w:val="20"/>
        </w:rPr>
      </w:pPr>
      <w:r>
        <w:rPr>
          <w:rFonts w:ascii="Times New Roman" w:hAnsi="Times New Roman"/>
          <w:color w:val="000000"/>
          <w:sz w:val="20"/>
        </w:rPr>
        <w:t>We believe Mr. Nishar is qualified to serve on our board of directors due to his extensive background in the technology industry and his investment activities in the life science sector</w:t>
      </w:r>
      <w:r>
        <w:rPr>
          <w:rFonts w:ascii="Arial" w:hAnsi="Arial"/>
          <w:color w:val="000000"/>
          <w:sz w:val="20"/>
        </w:rPr>
        <w:t>.</w:t>
      </w:r>
    </w:p>
    <w:p>
      <w:pPr>
        <w:pStyle w:val="TextBody"/>
        <w:bidi w:val="0"/>
        <w:spacing w:before="180" w:after="283"/>
        <w:jc w:val="left"/>
        <w:rPr>
          <w:rFonts w:ascii="Times New Roman" w:hAnsi="Times New Roman"/>
          <w:sz w:val="20"/>
        </w:rPr>
      </w:pPr>
      <w:r>
        <w:rPr>
          <w:rFonts w:ascii="Times New Roman" w:hAnsi="Times New Roman"/>
          <w:b/>
          <w:i/>
          <w:color w:val="000000"/>
          <w:sz w:val="20"/>
        </w:rPr>
        <w:t>Isaac Ro</w:t>
      </w:r>
      <w:r>
        <w:rPr>
          <w:rFonts w:ascii="Times New Roman" w:hAnsi="Times New Roman"/>
          <w:color w:val="000000"/>
          <w:sz w:val="20"/>
        </w:rPr>
        <w:t xml:space="preserve"> has served as a member of our board of directors since September 2025. Mr. Ro has served as a Partner at Catalio Capital Management since April 2023. Mr. Ro has led multiple venture and private credit investments in breakthrough life science companies. He currently serves as a member of the board of directors of PinkDx and PrognomiQ. Mr. Ro was previously the Executive Chairman of Haystack Oncology, where he led the company through its successful acquisition by Quest Diagnostics in 2023. Mr. Ro served as Chief Financial Officer of Sema4 Holdings Corp. from July 2021 to July 2022 when it was acquired by GeneDx. He also held the role of Chief Financial Officer of Thrive Earlier Detection, where he led the company’s launch and subsequent sale to Exact Sciences in 2020. Prior to Thrive, Mr. Ro led the U.S. Medical Technology and Life Science Tools equity research teams at Goldman Sachs from 2010 to 2019, and held a similar role at Leerink Partners prior to that. Mr. Ro holds a B.A. in History and was Pre-Med at Middlebury College.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Mr. Ro is qualified to serve on our board of directors due to his deep sector experience across life science tools, diagnostics, and the broader healthcare ecosystem and his financial leadership.</w:t>
      </w:r>
    </w:p>
    <w:p>
      <w:pPr>
        <w:pStyle w:val="TextBody"/>
        <w:bidi w:val="0"/>
        <w:spacing w:before="180" w:after="283"/>
        <w:jc w:val="left"/>
        <w:rPr>
          <w:rFonts w:ascii="Times New Roman" w:hAnsi="Times New Roman"/>
          <w:sz w:val="20"/>
        </w:rPr>
      </w:pPr>
      <w:r>
        <w:rPr>
          <w:rFonts w:ascii="Times New Roman" w:hAnsi="Times New Roman"/>
          <w:b/>
          <w:i/>
          <w:color w:val="000000"/>
          <w:sz w:val="20"/>
        </w:rPr>
        <w:t>Nicolas Roelofs, Ph.D.</w:t>
      </w:r>
      <w:r>
        <w:rPr>
          <w:rFonts w:ascii="Times New Roman" w:hAnsi="Times New Roman"/>
          <w:color w:val="000000"/>
          <w:sz w:val="20"/>
        </w:rPr>
        <w:t xml:space="preserve"> has served as a member of our board of directors and as Lead Independent Director since August 2024. Dr. Roelofs has served as a Principal of Summa Equity AB since July 2019. Dr. Roelofs has also served as Industrial Advisor of Nordic Capital since 2014. Dr. Roelofs has served on the board of directors of Olink Holding AB, a Swedish publicly limited liability company that trades on the Nasdaq Global Market. From March 2020 to November 2024, Dr. Roelofs has served as chairman of the board of directors of multiple privately-held companies, including Sengenics Corporation Pte Ltd., One BioMed Pte Ltd. and ScaleBio Ltd. Dr. Roelofs also serves as a member of the board of directors of multiple privately-held companies, including LGC Group. Dr. Roelofs previously served as the President of the Life Sciences Group at Agilent Technologies, Group Operations Officer for the Life Sciences Division of Bio-Rad Inc., and Chief Operating Officer of Stratagene Inc. He holds a B.S. in Chemistry, Biology and German from Simpson College, an M.S. in Organic Chemistry from Iowa State University, and his doctorate in organic chemistry from University of Nevada, Reno.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Dr. Roelofs is qualified to serve on our board of directors due to his extensive business experience of company operations in the life science sector, extensive scientific knowledge, and experience serving on public company board of directors.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sets forth certain information about our executive officers as of March 31, 2026. Officers are elected by our board of directors to hold office until their successors are elected and qualified.</w:t>
      </w:r>
    </w:p>
    <w:tbl>
      <w:tblPr>
        <w:tblW w:w="7660" w:type="dxa"/>
        <w:jc w:val="left"/>
        <w:tblInd w:w="0" w:type="dxa"/>
        <w:tblLayout w:type="fixed"/>
        <w:tblCellMar>
          <w:top w:w="28" w:type="dxa"/>
          <w:left w:w="28" w:type="dxa"/>
          <w:bottom w:w="28" w:type="dxa"/>
          <w:right w:w="28" w:type="dxa"/>
        </w:tblCellMar>
      </w:tblPr>
      <w:tblGrid>
        <w:gridCol w:w="1966"/>
        <w:gridCol w:w="146"/>
        <w:gridCol w:w="391"/>
        <w:gridCol w:w="146"/>
        <w:gridCol w:w="50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 and Chair of the Board of Directors</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Chief Financial Officer and Treasurer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For the biography of Omid Farokhzad, M.D., please see “Board of Directors and Corporate Governance.”</w:t>
      </w:r>
    </w:p>
    <w:p>
      <w:pPr>
        <w:pStyle w:val="TextBody"/>
        <w:bidi w:val="0"/>
        <w:spacing w:before="0" w:after="180"/>
        <w:jc w:val="left"/>
        <w:rPr>
          <w:rFonts w:ascii="Times New Roman" w:hAnsi="Times New Roman"/>
          <w:sz w:val="20"/>
        </w:rPr>
      </w:pPr>
      <w:r>
        <w:rPr>
          <w:rFonts w:ascii="Times New Roman" w:hAnsi="Times New Roman"/>
          <w:b/>
          <w:i/>
          <w:color w:val="000000"/>
          <w:sz w:val="20"/>
        </w:rPr>
        <w:t>David Horn</w:t>
      </w:r>
      <w:r>
        <w:rPr>
          <w:rFonts w:ascii="Times New Roman" w:hAnsi="Times New Roman"/>
          <w:color w:val="000000"/>
          <w:sz w:val="20"/>
        </w:rPr>
        <w:t xml:space="preserve"> has served as our Chief Financial Officer and Treasurer since May 2020 and as President since November 2023. Prior to joining us, Mr. Horn was with Morgan Stanley, 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pStyle w:val="TextBody"/>
        <w:bidi w:val="0"/>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There are no family relationships among any of our directors or executive officers.</w:t>
      </w:r>
    </w:p>
    <w:p>
      <w:pPr>
        <w:pStyle w:val="TextBody"/>
        <w:bidi w:val="0"/>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Class A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talent and compensation and corporate governance and nominating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be considered independent for purposes of Rule 10C-1 and under the listing standards of Nasdaq, the board of directors must affirmatively determine that each member of the talent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talent and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each of Meeta Gulyani, Terrance McGuire, Dipchand (Deep) Nishar, Isaac Ro, and Nicolas Roelofs, Ph.D., representing five of our seven directors, does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talent and compensation and corporate governance and nominating committees satisfy the independence standards for committee members established by applicable SEC rules and regulations and the listing standards of Nasdaq. Additionally, former director David Hallal, who served on the board until July 2025, was independent during the period he served on our board of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Transactions, and Director Independence.”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Board Leadership Structure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board of directors has appointed Nicolas Roelofs, Ph.D. to serve as our Lead Independent Director beginning August 13, 2024. Prior to Dr. Roelofs’ appointment, Mr. Hallal served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Dr. Roelofs will preside over periodic meetings of our independent directors, serve as a liaison between our Chair and Chief Executive Officer, and our independent directors and perform such additional duties as our board of directors may otherwise determine and delegate.</w:t>
      </w:r>
    </w:p>
    <w:p>
      <w:pPr>
        <w:pStyle w:val="TextBody"/>
        <w:bidi w:val="0"/>
        <w:jc w:val="left"/>
        <w:rPr>
          <w:rFonts w:ascii="Times New Roman" w:hAnsi="Times New Roman"/>
          <w:b/>
          <w:color w:val="000000"/>
          <w:sz w:val="20"/>
        </w:rPr>
      </w:pPr>
      <w:r>
        <w:rPr>
          <w:rFonts w:ascii="Times New Roman" w:hAnsi="Times New Roman"/>
          <w:b/>
          <w:color w:val="000000"/>
          <w:sz w:val="20"/>
        </w:rPr>
        <w:t>Committees of our Board of Directors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board of directors has established an audit committee, a talent and compensation committee, a corporate governance and nominating committee, and a science and technology committee. The composition, responsibilities and the number of meetings held during 2025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Audit Committee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 committee consists of Meeta Gulyani, Terrance McGuire, and Isaac Ro, with Ms. Gulyani serving as Chair. Our former director, David Hallal, also served on our audit committee until July 2025. Our board of directors has determined that each of the members of our audit committee, as well as Mr. Hallal at the time he was serving on our audit committee, satisfies the independence requirements under the listing standards of Nasdaq and Rule 10A-3 of the Exchange Act. Our board of directors has determined that Mr. Ro is an “audit committee financial expert” within the meaning of SEC rules and regulations.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 committee oversees our corporate accounting and financial reporting process and assists our board of directors in monitoring our financial systems. Our audit committee is also responsible for,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selecting and hiring the independent registered public accounting firm to audit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helping to ensure the independence and performance of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audit and non-audit services and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audit committee report that the SEC requires to be included in our annual proxy statement;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reports and communications from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adequacy and effectiveness of our internal controls and disclosure controls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policies on risk assessment and risk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monitoring conflicts of interest situations, and approving or prohibiting any involvement in matters that may involve a conflict of interest or taking of a corporate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related party transactions;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overseeing procedures for the receipt, retention and treatment of accounting related complaints and the confidential submission by our employees of concerns regarding questionable accounting or auditing matters.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audit committee operates under a written charter that satisfies the applicable rules and regulations of the SEC and the listing standards of Nasdaq. A copy of the charter for our audit committee is available on our investor relations website at investor.seer.bio. In 2025, our audit committee held four meetings and acted by unanimous written consent once.</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Talent and Compensation Committee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talent and compensation committee consists of Terrance McGuire and Nicolas Roelofs, Ph.D, with Mr. McGuire serving as Chair. Our former director, David Hallal, also served on our talent and compensation committee until July 2025. Our board of directors has determined that each of the members of our talent and compensation committee, as well as Mr. Hallal at the time he was serving on our talent and compensation committee, is independent under the listing standards of Nasdaq and a “non-employee director” as defined in Rule 16b-3 under the Exchange Act.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Our talent and compensation committee oversees our compensation policies, plans, and benefits programs. The compensation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our overall compensation philosophy and compensation policies, plans and benefit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recommending to the board of directors for approval, the compensation of our executive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talent and compensation committee report that the SEC requires to be included in our annual proxy statement,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our equity compensation plans.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2025, our talent and compensation committee held four meetings and acted by unanimous written consent once.</w:t>
      </w:r>
    </w:p>
    <w:p>
      <w:pPr>
        <w:pStyle w:val="TextBody"/>
        <w:bidi w:val="0"/>
        <w:jc w:val="left"/>
        <w:rPr>
          <w:rFonts w:ascii="Times New Roman" w:hAnsi="Times New Roman"/>
          <w:i/>
          <w:color w:val="000000"/>
          <w:sz w:val="20"/>
        </w:rPr>
      </w:pPr>
      <w:r>
        <w:rPr>
          <w:rFonts w:ascii="Times New Roman" w:hAnsi="Times New Roman"/>
          <w:i/>
          <w:color w:val="000000"/>
          <w:sz w:val="20"/>
        </w:rPr>
        <w:t>Corporate Governance and Nominating Committee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corporate governance and nominating committee consists of Dipchand (Deep) Nishar and Nicolas Roelofs, Ph.D., with Dr. Roelofs serving as Chair. Our former director, David Hallal, also served on our corporate governance and nominating committee until July 2025. Our board of directors has determined that each of the members of our corporate governance and nominating committee, as well as Mr. Hallal at the time he was serving on our corporate governance and nominating committee, is independent under the listing standards of Nasdaq.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corporate governance and nominating committee oversees and assists our board of directors in reviewing and recommending nominees for election as directors. The corporate governance and nominating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evaluating, and making recommendations to our board of directors regarding nominees for election to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and making recommendations to our board of directors regarding the composition of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developments in corporate governance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adequacy of our corporate governance practices and reporting;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performance of our board of directors and of individual directors.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2025, our corporate governance and nominating committee held four meetings and acted by unanimous written consent two times.</w:t>
      </w:r>
    </w:p>
    <w:p>
      <w:pPr>
        <w:pStyle w:val="TextBody"/>
        <w:bidi w:val="0"/>
        <w:spacing w:before="180" w:after="283"/>
        <w:jc w:val="left"/>
        <w:rPr>
          <w:rFonts w:ascii="Times New Roman" w:hAnsi="Times New Roman"/>
          <w:sz w:val="20"/>
        </w:rPr>
      </w:pPr>
      <w:r>
        <w:rPr>
          <w:rFonts w:ascii="Times New Roman" w:hAnsi="Times New Roman"/>
          <w:i/>
          <w:color w:val="000000"/>
          <w:sz w:val="20"/>
        </w:rPr>
        <w:t>Science and Technology Committee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science and technology committee consists of Robert Langer, Sc.D., Dipchand (Deep) Nishar and Nicolas Roelofs, Ph.D., with Dr. Langer serving as Chair. Our science and technology committee oversees and assists our board of directors in its oversight of our scientific and technological strategies and research and development plans and goals. In 2025, our science and technology committee held one meeting. The science and technology committee is also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our performance relating to our research and development plans and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evaluating our scientific and technological strategies and research and development plans, and goals, including the competitive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discussing significant emerging science and technology issues and trends, including their potential impact on our scientific and technological strategies and research and development plans and goals;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conducting a periodic review of our intellectual property portfolio and strategy, including our overall competitiveness.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Attendance at Board and Stockholder Meetings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our fiscal year ended December 31, 2025, our board of directors held six meetings (including regularly scheduled and special meetings) and acted by unanimous written consent four times, and each director attended at least 85%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Although we do not have a formal policy regarding attendance by members of our board of directors at annual meetings of stockholders, we strongly encourage, but do not require, our directors to attend. Four members of our board of directors (in addition to our Chief Executive Officer) attended our annual meeting of stockholders in 2025.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Talent and Compensation Committee Interlocks and Insider Participation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2025, Terrance McGuire, David Hallal, who served on the board until July 2025, and Nicolas Roelofs, Ph.D. served on our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and compensation committee.</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Considerations in Evaluating Director Nominees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Stockholder Recommendations for Nominations to the Board of Directors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corporate governance and nominating committee will consider director candidates recommended by stockholders holding continuously (i) at least $2,000 in market value of the outstanding shares of our Class A common stock for at least three years prior to the date of the submission of the recommendation or nomination, (ii) at least $15,000 in market value of the outstanding shares of our Class A common stock for at least two years prior to the date of the submission of the recommendation or nomination, or (iii) at least $25,000 in market value of the outstanding shares of our Class A common stock for at least one year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President and Chief Financial Officer in writing.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corporate governance and nominating committee has discretion to decide which individuals to recommend for nomination as directors.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our amended and restated bylaws, stockholders may also directly nominate persons for election to our board of directors. Any nomination must comply with the requirements set forth in our amended and restated bylaws and should be sent in writing to our President and Chief Financial Officer at Seer, Inc., 3800 Bridge Parkway, Suite 102, Redwood City, California 94065. To be timely for an annual meeting of stockholders, nominations must be received by our President and Chief Financial Officer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25 days from the one-year anniversary of the date of the previous year’s annual meeting, then notice by the stockholder to be timely must be so received by our President and Chief Financial Officer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Communications with the Board of Directors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Interested parties wishing to communicate with non-management members of our board of directors may do so by writing and mailing the correspondence to our President and Chief Financial Officer at Seer, Inc., 3800 Bridge Parkway, Suite 102, Redwood City, California 94065. Our President and Chief Financial Officer monitors these communications and will provide a summary of all received bona fide messages to our board of directors at each regularly scheduled meeting of our board of directors. Where the nature of a communication warrants, our President and Chief Financial Officer may determine, in his judgment, to obtain the more immediate attention of the appropriate committee of the board of directors or non-management director, of independent advisors or of our management.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Corporate Governance Guidelines and Code of Business Conduct and Ethics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President and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Role of the Board in Risk Oversight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potential conflicts of interest, and cybersecurity. The audit committee oversees management’s implementation of the cybersecurity risk management program and reports to the board of directors regarding its activities related to cybersecurity. The board of directors also receives periodic briefings from the audit committee on our cybersecurity risk management program.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the board of directors.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connection with our initial public offering, our board of directors adopted, and our stockholders approved, a compensation policy for our non-employee directors, which has since been amended from time to time, including most recently on February 25, 2026, and prior to that on February 26, 2025. This policy was initially developed, and has generally been reviewed annually and updated periodically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director compensation policy and our 2020 Equity Incentive Plan (the 2020 Plan) includes a maximum annual limit of $750,000 or, in the first year of a non-employee director’s service on our board of directors as a non-employee director, $1,000,000, of equity awards granted and other compensation provided to a non-employee director in any fiscal year. For purposes of these limitations, the value of an equity award is based on its grant date fair value (determined in accordance with generally accepted accounting principles, or GAAP). Any equity awards granted or other compensation provided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Cash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outside director compensation policy provides for the following cash compensation program for our non-employee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$42,500 per year for service as a non-employee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$25,000 per year for service as lead independent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$20,000 per year for service as Chair of the audit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$10,000 per year for service as a member of the audit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$15,000 per year for service as Chair of the talent and compensation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$7,500 per year for service as a member of the talent and compensation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$10,000 per year for service as Chair of the corporate governance and nominating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$5,000 per year for service as a member of the corporate governance and nominating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$10,000 per year for service as Chair of the science and technology committee;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$5,000 per year for service as a member of the science and technology committee.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Equity Compensation</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Initial Awards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Each person who first becomes a non-employee director will receive, on the first trading day on or after the date that the person first becomes a non-employee director, certain initial equity awards (collectively, the Initial Award), pursuant to our outside director compensation policy, of stock options to purchase 61,000 shares of our Class A common stock and restricted stock units covering 41,000 shares of our Class A common stock.</w:t>
      </w:r>
    </w:p>
    <w:p>
      <w:pPr>
        <w:pStyle w:val="TextBody"/>
        <w:bidi w:val="0"/>
        <w:jc w:val="left"/>
        <w:rPr>
          <w:rFonts w:ascii="Times New Roman" w:hAnsi="Times New Roman"/>
          <w:color w:val="000000"/>
          <w:sz w:val="20"/>
        </w:rPr>
      </w:pPr>
      <w:r>
        <w:rPr>
          <w:rFonts w:ascii="Times New Roman" w:hAnsi="Times New Roman"/>
          <w:color w:val="000000"/>
          <w:sz w:val="20"/>
        </w:rPr>
        <w:t>The Initial Award vests in three equal annual installments following the director's start date, on the same day of the month as the start date, subject to continued services to us through the applicable vesting dates.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the person was a member of our board of directors and also an employee, then becoming a non-employee director due to termination of employment will not entitle the person to an Initial Award.</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Annual Awards</w:t>
      </w:r>
    </w:p>
    <w:p>
      <w:pPr>
        <w:pStyle w:val="TextBody"/>
        <w:bidi w:val="0"/>
        <w:spacing w:before="180" w:after="240"/>
        <w:jc w:val="left"/>
        <w:rPr>
          <w:rFonts w:ascii="Times New Roman" w:hAnsi="Times New Roman"/>
          <w:color w:val="000000"/>
          <w:sz w:val="20"/>
        </w:rPr>
      </w:pPr>
      <w:r>
        <w:rPr>
          <w:rFonts w:ascii="Times New Roman" w:hAnsi="Times New Roman"/>
          <w:color w:val="000000"/>
          <w:sz w:val="20"/>
        </w:rPr>
        <w:t>Each non-employee director automatically will receive, on the date of each annual meeting of our stockholders (an Annual Meeting), certain annual award or awards (collectively, the Annual Award), pursuant to our outside director compensation policy: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amended on February 25, 2026, of stock options to purchase 25,000 shares of our Class A common stock (the Annual Option Award) and restricted stock units covering 16,500 shares of our Class A common stock (the Annual RSU Award); or</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20"/>
        <w:jc w:val="left"/>
        <w:rPr>
          <w:color w:val="000000"/>
        </w:rPr>
      </w:pPr>
      <w:r>
        <w:rPr>
          <w:color w:val="000000"/>
        </w:rPr>
        <w:t>•</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As amended on February 26, 2025 (and until amended on February 25, 2026), of stock options to purchase 30,500 shares of our Class A common stock and restricted stock units covering 20,500 shares of our Class A common stock.</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Under each of the above versions of our outside director compensation policy,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Each Annual Award will be scheduled to vest as to all of the shares of our Class A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Change in Control</w:t>
      </w:r>
      <w:r>
        <w:rPr>
          <w:rFonts w:ascii="Times New Roman" w:hAnsi="Times New Roman"/>
          <w:color w:val="000000"/>
          <w:sz w:val="20"/>
        </w:rPr>
        <w:t>. In the event of our change in control, as defined in our 2020 Equity Incentive Plan, each non-employee director’s then outstanding equity awards covering shares of our Class A common stock that were granted to him or her while a non-employee director will accelerate vesting in full, provided that he or she remains a non-employee director through the date of our change in control.</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Other Award Terms.</w:t>
      </w:r>
      <w:r>
        <w:rPr>
          <w:rFonts w:ascii="Times New Roman" w:hAnsi="Times New Roman"/>
          <w:color w:val="000000"/>
          <w:sz w:val="20"/>
        </w:rPr>
        <w:t xml:space="preserve"> Each Initial Award and Annual Award will be granted under our 2020 Equity Incentive Plan (or its successor plan, as applicable) and cover shares of our Class A common stock, and are subject to the terms and conditions of such plan and form of award agreement thereunder. These awards will have a maximum term to expiration of ten years from their grant and a per share exercise price equal to 100% of the fair market value of a share of our Class A common stock on the award’s grant date.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Director Compensation for Fiscal Year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Directors who are also our employees receive no additional compensation for their service as directors. Omid Farokhzad, M.D., our Chief Executive Officer, was an employee director during 2025. See the section titled “Executive Compensation” for additional information about Dr. Farokhzad’s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presents the total compensation each of our non-employee directors received during the year ended December 31, 2025. Other than as set forth in the table, we did not pay any compensation, make any equity awards or non-equity awards to or pay any other compensation to any of our non-employee directors in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146"/>
        <w:gridCol w:w="279"/>
        <w:gridCol w:w="1497"/>
        <w:gridCol w:w="146"/>
        <w:gridCol w:w="146"/>
        <w:gridCol w:w="212"/>
        <w:gridCol w:w="988"/>
        <w:gridCol w:w="146"/>
        <w:gridCol w:w="146"/>
        <w:gridCol w:w="223"/>
        <w:gridCol w:w="1037"/>
        <w:gridCol w:w="146"/>
        <w:gridCol w:w="146"/>
        <w:gridCol w:w="302"/>
        <w:gridCol w:w="1404"/>
        <w:gridCol w:w="146"/>
        <w:gridCol w:w="251"/>
        <w:gridCol w:w="146"/>
        <w:gridCol w:w="146"/>
        <w:gridCol w:w="781"/>
        <w:gridCol w:w="195"/>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Compensation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Meeta Gulyani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Hallal</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Langer, Sc.D.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Terrance McGuire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Dipchand (Deep) Nishar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Isaac Ro</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Nicolas Roelofs,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 xml:space="preserve">The amount in this column represents the aggregate grant-date fair value of the award as computed as of the grant date of each share and option awarded in fiscal 2025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2, 2026.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Mr. Hallal did not stand for re-election at our July 2025 Annual Meeting. Accordingly, his fees for 2025 were prorated for the portion of 2025 in which he served as a director and member of the audit, talent and compensation and corporate governance and nominating committees. Mr. Hallal did not receive any equity awards in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Consists of a fixed annual consulting fee arrangement for Dr. Langer’s service on our Scientific Advisory Board in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Ro joined our board of directors in September 2025.</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lists all outstanding equity awards held by non-employee directors as of December 31, 2025:</w:t>
      </w:r>
    </w:p>
    <w:tbl>
      <w:tblPr>
        <w:tblW w:w="10205" w:type="dxa"/>
        <w:jc w:val="left"/>
        <w:tblInd w:w="0" w:type="dxa"/>
        <w:tblLayout w:type="fixed"/>
        <w:tblCellMar>
          <w:top w:w="28" w:type="dxa"/>
          <w:left w:w="28" w:type="dxa"/>
          <w:bottom w:w="28" w:type="dxa"/>
          <w:right w:w="28" w:type="dxa"/>
        </w:tblCellMar>
      </w:tblPr>
      <w:tblGrid>
        <w:gridCol w:w="795"/>
        <w:gridCol w:w="146"/>
        <w:gridCol w:w="514"/>
        <w:gridCol w:w="146"/>
        <w:gridCol w:w="208"/>
        <w:gridCol w:w="835"/>
        <w:gridCol w:w="208"/>
        <w:gridCol w:w="275"/>
        <w:gridCol w:w="146"/>
        <w:gridCol w:w="239"/>
        <w:gridCol w:w="839"/>
        <w:gridCol w:w="239"/>
        <w:gridCol w:w="299"/>
        <w:gridCol w:w="146"/>
        <w:gridCol w:w="189"/>
        <w:gridCol w:w="570"/>
        <w:gridCol w:w="146"/>
        <w:gridCol w:w="146"/>
        <w:gridCol w:w="259"/>
        <w:gridCol w:w="616"/>
        <w:gridCol w:w="146"/>
        <w:gridCol w:w="146"/>
        <w:gridCol w:w="245"/>
        <w:gridCol w:w="859"/>
        <w:gridCol w:w="146"/>
        <w:gridCol w:w="185"/>
        <w:gridCol w:w="146"/>
        <w:gridCol w:w="260"/>
        <w:gridCol w:w="911"/>
        <w:gridCol w:w="200"/>
      </w:tblGrid>
      <w:tr>
        <w:trPr/>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6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Market Value of Shares or Units of Stock That Have Not Vested ($)</w:t>
            </w:r>
            <w:r>
              <w:rPr>
                <w:rFonts w:ascii="Times New Roman" w:hAnsi="Times New Roman"/>
                <w:b/>
                <w:color w:val="000000"/>
                <w:sz w:val="9"/>
              </w:rPr>
              <w:t>(1)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Meeta Gulyani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34,735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30,500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Robert Langer, Sc.D.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104,048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101,886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121,562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18,691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34,735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30,500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Terrance McGuire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58,415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18,691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34,735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30,500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Dipchand (Deep) Nishar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29,640</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34,735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30,500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Isaac 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61,000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75,030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Nicolas Roelofs,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23,157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46,313</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57,200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25,416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31,262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120"/>
        <w:jc w:val="left"/>
        <w:rPr>
          <w:rFonts w:ascii="Times New Roman" w:hAnsi="Times New Roman"/>
          <w:color w:val="000000"/>
          <w:sz w:val="18"/>
        </w:rPr>
      </w:pPr>
      <w:r>
        <w:rPr>
          <w:rFonts w:ascii="Times New Roman" w:hAnsi="Times New Roman"/>
          <w:color w:val="000000"/>
          <w:sz w:val="18"/>
        </w:rPr>
        <w:t>The amounts in this column are based upon the last reported price of our Class A common stock on the Nasdaq Global Select Market on December 31, 2025, which was $1.83.</w:t>
      </w:r>
    </w:p>
    <w:p>
      <w:pPr>
        <w:pStyle w:val="TextBody"/>
        <w:bidi w:val="0"/>
        <w:spacing w:before="6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120"/>
        <w:jc w:val="left"/>
        <w:rPr>
          <w:rFonts w:ascii="Times New Roman" w:hAnsi="Times New Roman"/>
          <w:color w:val="000000"/>
          <w:sz w:val="18"/>
        </w:rPr>
      </w:pPr>
      <w:r>
        <w:rPr>
          <w:rFonts w:ascii="Times New Roman" w:hAnsi="Times New Roman"/>
          <w:color w:val="000000"/>
          <w:sz w:val="18"/>
        </w:rPr>
        <w:t>Shares subject to the option are fully vested and immediately exercisable.</w:t>
      </w:r>
    </w:p>
    <w:p>
      <w:pPr>
        <w:pStyle w:val="TextBody"/>
        <w:bidi w:val="0"/>
        <w:spacing w:before="6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60" w:after="120"/>
        <w:jc w:val="left"/>
        <w:rPr>
          <w:rFonts w:ascii="Times New Roman" w:hAnsi="Times New Roman"/>
          <w:color w:val="000000"/>
          <w:sz w:val="18"/>
        </w:rPr>
      </w:pPr>
      <w:r>
        <w:rPr>
          <w:rFonts w:ascii="Times New Roman" w:hAnsi="Times New Roman"/>
          <w:color w:val="000000"/>
          <w:sz w:val="18"/>
        </w:rPr>
        <w:t>Shares subject to the option or RSU award vest in full on July 7, 2026, subject to continued service to the Company.</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Shares subject to the option or RSU award vest in three equal annual installments beginning on September 2, 2026,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Shares subject to the option vest in three equal annual installments beginning on August 13, 2025,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Shares subject to the RSU award vest in two equal annual installments beginning on August 13, 2026, subject to continued service to the Company.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Section 16(a) of the Exchange Act requires that our executive officers and directors, and persons who own more than 10% of our Class A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before="180" w:after="240"/>
        <w:jc w:val="left"/>
        <w:rPr>
          <w:rFonts w:ascii="Times New Roman" w:hAnsi="Times New Roman"/>
          <w:color w:val="000000"/>
          <w:sz w:val="20"/>
        </w:rPr>
      </w:pPr>
      <w:r>
        <w:rPr>
          <w:rFonts w:ascii="Times New Roman" w:hAnsi="Times New Roman"/>
          <w:color w:val="000000"/>
          <w:sz w:val="20"/>
        </w:rPr>
        <w:t>SEC regulations require us to identify in this Amended Report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2025, all executive officers, directors and greater than 10% stockholders complied with all applicable SEC filing requirements.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5" w:name="item_11_executive_compensation"/>
      <w:bookmarkEnd w:id="5"/>
      <w:r>
        <w:rPr>
          <w:rFonts w:ascii="Times New Roman" w:hAnsi="Times New Roman"/>
          <w:b/>
          <w:color w:val="000000"/>
          <w:sz w:val="20"/>
        </w:rPr>
        <w:t>Item 11. Executive Compensation</w:t>
      </w:r>
    </w:p>
    <w:p>
      <w:pPr>
        <w:pStyle w:val="TextBody"/>
        <w:bidi w:val="0"/>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provides information regarding the compensation of our named executive officers during the years ended December 31, 2025 and 2024. </w:t>
      </w:r>
    </w:p>
    <w:tbl>
      <w:tblPr>
        <w:tblW w:w="10205" w:type="dxa"/>
        <w:jc w:val="left"/>
        <w:tblInd w:w="0" w:type="dxa"/>
        <w:tblLayout w:type="fixed"/>
        <w:tblCellMar>
          <w:top w:w="28" w:type="dxa"/>
          <w:left w:w="28" w:type="dxa"/>
          <w:bottom w:w="28" w:type="dxa"/>
          <w:right w:w="28" w:type="dxa"/>
        </w:tblCellMar>
      </w:tblPr>
      <w:tblGrid>
        <w:gridCol w:w="1826"/>
        <w:gridCol w:w="146"/>
        <w:gridCol w:w="466"/>
        <w:gridCol w:w="146"/>
        <w:gridCol w:w="698"/>
        <w:gridCol w:w="146"/>
        <w:gridCol w:w="958"/>
        <w:gridCol w:w="146"/>
        <w:gridCol w:w="1070"/>
        <w:gridCol w:w="146"/>
        <w:gridCol w:w="1878"/>
        <w:gridCol w:w="146"/>
        <w:gridCol w:w="1412"/>
        <w:gridCol w:w="146"/>
        <w:gridCol w:w="875"/>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Salary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b/>
                <w:color w:val="000000"/>
                <w:sz w:val="14"/>
              </w:rPr>
              <w:t>Stock Awards ($)</w:t>
            </w:r>
            <w:r>
              <w:rPr>
                <w:rFonts w:ascii="Times New Roman" w:hAnsi="Times New Roman"/>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b/>
                <w:color w:val="000000"/>
                <w:sz w:val="14"/>
              </w:rPr>
              <w:t>Option Awards ($)</w:t>
            </w:r>
            <w:r>
              <w:rPr>
                <w:rFonts w:ascii="Times New Roman" w:hAnsi="Times New Roman"/>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 Incentive Plan Compensation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b/>
                <w:color w:val="000000"/>
                <w:sz w:val="14"/>
              </w:rPr>
              <w:t>All Other Compensation ($)</w:t>
            </w:r>
            <w:r>
              <w:rPr>
                <w:rFonts w:ascii="Times New Roman" w:hAnsi="Times New Roman"/>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Total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1,205,710</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3,549,950</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744,805</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President 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1,428,020</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amount in this column represents the aggregate grant-date fair value of the award as computed as of the grant date of each restricted stock unit award and option awarded in fiscal 2024 in accordance with Financial Accounting Standard Board Accounting Standards Codification Topic 718, or ASC Topic 718, and the incremental fair value, computed as of the modification date, in accordance with ASC Topic 718, of stock options that were repriced during fiscal 2024. The assumptions used in calculating the grant-date fair value of the awards reported in this column are set forth in the notes to our financial statements included in our Annual Report on Form 10-K filed with the SEC on March 3, 2025.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2025, “all other compensation” includes the following: (i) reimbursement of costs of $88,639 for Dr. Farokhzad's travel between his primary residence and our office in Redwood City, California, and related tax gross up for Dr. Farokhzad of $109,155 and (ii) 401(k) plan matching contributions in the amount of $2,500 for each named executive officer. For 2024, “all other compensation” includes the following: (i) reimbursement of commuting costs of $93,569 and gross up allowance for Dr. Farokhzad of $77,123 and (ii) 401(k) plan matching contributions in the amount of $2,500 for each named executive officer.</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Outstanding Equity Awards at 2025 Year-End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provides information regarding outstanding equity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864"/>
        <w:gridCol w:w="146"/>
        <w:gridCol w:w="537"/>
        <w:gridCol w:w="146"/>
        <w:gridCol w:w="1202"/>
        <w:gridCol w:w="372"/>
        <w:gridCol w:w="146"/>
        <w:gridCol w:w="1709"/>
        <w:gridCol w:w="231"/>
        <w:gridCol w:w="146"/>
        <w:gridCol w:w="788"/>
        <w:gridCol w:w="146"/>
        <w:gridCol w:w="898"/>
        <w:gridCol w:w="146"/>
        <w:gridCol w:w="1133"/>
        <w:gridCol w:w="186"/>
        <w:gridCol w:w="146"/>
        <w:gridCol w:w="1263"/>
      </w:tblGrid>
      <w:tr>
        <w:trPr/>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4"/>
              </w:rPr>
            </w:pPr>
            <w:r>
              <w:rPr>
                <w:rFonts w:ascii="Times New Roman" w:hAnsi="Times New Roman"/>
                <w:b/>
                <w:color w:val="000000"/>
                <w:sz w:val="14"/>
              </w:rPr>
              <w:t>Grant Date</w:t>
            </w:r>
            <w:r>
              <w:rPr>
                <w:rFonts w:ascii="Times New Roman" w:hAnsi="Times New Roman"/>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Underlying Unexercised Options (#) Unexercisable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Exercise Price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Expiration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Market Value of Shares or Units of Stock That Have Not Vested ($)</w:t>
            </w:r>
            <w:r>
              <w:rPr>
                <w:rFonts w:ascii="Times New Roman" w:hAnsi="Times New Roman"/>
                <w:b/>
                <w:color w:val="000000"/>
                <w:sz w:val="9"/>
              </w:rPr>
              <w:t>(2)</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878,375</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37,037</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532,718</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584,265</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87,000</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70,366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70,366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70,366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70,366</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17,727</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650,000</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125,625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229,894</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1,032,901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297,918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545,190</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David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566,547</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140,682</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135,100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34,125</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118,833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40,031</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65,339</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92,833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169,884</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Each of the outstanding equity awards was granted pursuant to our 2017 Stock Incentive Plan, as amended and restated, 2020 Plan or 2020 RSU Equity Incentive Plan.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in this column are based upon the last reported price of our Class A common stock on the Nasdaq Global Select Market on December 31, 2025, which was $1.83.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Shares subject to the option are fully vested and immediately exercisable.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One-fourth of the shares underlying the option vested on February 8, 2023, and the remaining shares vest in 36 equal monthly installments thereafter,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Shares underlying the RSU award vest in four equal annual installments beginning on February 15, 2023,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option is subject to vesting requirements based upon achievement of specified performance-based criteria (the "Stock Price Hurdle") which requires that the Company achieves a stock price equal to or greater than 150% of the option exercise price during the period beginning on the grant date and ending on February 15, 2030 (the "Performance Period"). The option was modified during fiscal 2024 to have an exercise price per share of $2.00 and stock price hurdle of $3.00 per share. If the Stock Price Hurdle is achieved within the Performance Period, then one fourth of the shares subject to the option vest on the date that achievement of the Stock Price Hurdle is certified and the remaining shares vest annually thereafter in three equal installments,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Shares underlying the RSU award vest in four equal annual installments beginning on February 15, 2024, subject to continued service to the Company.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option is subject to vesting requirements based upon achievement of specified performance-based criteria (the "Stock Price Hurdle") which requires that the Company achieves an average closing stock price over a consecutive 20-trading day period equal to or greater than 300%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Shares underlying the RSU award vest in four equal annual installments beginning on February 15, 2025, subject to continued service to the Company.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option is subject to vesting requirements based upon achievement of specified performance-based criteria (the "Stock Price Hurdle") which requires that the Company achieves an average closing stock price over a consecutive 20-trading day period equal to or greater than 200%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One-fourth of the shares subject to the option vested on February 6, 2025 and 1/48th of the shares vest monthly thereafter, subject to continued service to the Company.</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Potential Payments Upon Termination or Change in Control</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CEO Change in Control and Severance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entered into a change in control and severance agreement (the Severance Agreement) with Dr. Farokhzad which provides for certain severance and change in control benefits as described below.</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his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vesting acceleration of 50% of the shares subject to Dr. Farokhzad’s outstanding Company equity awards that are scheduled to vest based solely on Dr. Farokhzad’s continued service to the Company or any parent or subsidiary of the Company (time-based equity awards). With respect to this acceleration of vesting provision, the Change in Control Period is extended to end on the two-year anniversary of the change in control.</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If, during the Change in Control Period, Dr. Farokhzad’s employment with the Company is terminated either (1) by the Company without cause and not by reason of his death or disability or (2) by Dr. Farokhzad as a good reason termination, Dr. Farokhzad will receive the following benefits if he timely signs and does not revoke a separation agreement and release of claims in our favor: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cash payment equal to 150% of Dr. Farokhzad’s annualized target bonus as in effect for the performance period in which such termination occurs, or, if greater and Dr. Farokhzad’s termination from employment occurs after the change in control, as in effect for the performance period in which the change in control occurs;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Dr. Farokhzad and his eligible dependents have qualifying health care at the time of such termination, then either reimbursements for or direct payments of premiums for coverage under COBRA, for Dr. Farokhzad and his eligible dependents, if any, for up to 18 months; and</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vesting acceleration of 100% of the shares subject to Dr. Farokhzad’s outstanding time-based equity awards. With respect to this acceleration of vesting provision, the Change in Control Period is extended to end on the two-year anniversary of the change in control</w:t>
      </w:r>
      <w:r>
        <w:rPr>
          <w:rFonts w:ascii="Arial" w:hAnsi="Arial"/>
          <w:color w:val="000000"/>
          <w:sz w:val="2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Dr. Farokhzad begins employment or enters into a consultant relationship with a new employer during the period he is receiving severance benefits from us under the Severance Agreement, then any cash compensation paid to him by the new employer will reduce, but not below $1,000, our cash severance benefit obligations under the Severance Agreement, and we will have no obligation to provide COBRA benefits for medical, vision and dental coverage if the new employer provides such benefits to Dr. Farokhzad.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when Dr. Farokhzad knows or should have known of the initial existence of the good reason condition, and such event or action must not have been reversed, remedied or cured within 30 days following our receipt of such written notice.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Severance Agreement, “change in control” generally has the same meaning as such term is defined in our 2020 Plan (as discussed further below).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terms of the Severance Agreement, a transition by Dr. Farokhzad to a role as the Company’s Executive Chair will not be considered a termination without cause or grounds for his resignation for good reason.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describes the potential payments that would have been provided to Dr. Farokhzad pursuant to the Severance Agreement in the event that he was terminated outside of the Change in Control Period, assuming such termination occurred on December 31, 2025 (except as otherwise noted). </w:t>
      </w:r>
    </w:p>
    <w:tbl>
      <w:tblPr>
        <w:tblW w:w="10205" w:type="dxa"/>
        <w:jc w:val="left"/>
        <w:tblInd w:w="0" w:type="dxa"/>
        <w:tblLayout w:type="fixed"/>
        <w:tblCellMar>
          <w:top w:w="28" w:type="dxa"/>
          <w:left w:w="28" w:type="dxa"/>
          <w:bottom w:w="28" w:type="dxa"/>
          <w:right w:w="28" w:type="dxa"/>
        </w:tblCellMar>
      </w:tblPr>
      <w:tblGrid>
        <w:gridCol w:w="1520"/>
        <w:gridCol w:w="146"/>
        <w:gridCol w:w="1650"/>
        <w:gridCol w:w="146"/>
        <w:gridCol w:w="1626"/>
        <w:gridCol w:w="146"/>
        <w:gridCol w:w="2203"/>
        <w:gridCol w:w="146"/>
        <w:gridCol w:w="1497"/>
        <w:gridCol w:w="146"/>
        <w:gridCol w:w="979"/>
      </w:tblGrid>
      <w:tr>
        <w:trPr/>
        <w:tc>
          <w:tcPr>
            <w:tcW w:w="1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COBRA Premium Reimbursements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Acceleration ($)</w:t>
            </w:r>
            <w:r>
              <w:rPr>
                <w:rFonts w:ascii="Times New Roman" w:hAnsi="Times New Roman"/>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r>
      <w:tr>
        <w:trPr/>
        <w:tc>
          <w:tcPr>
            <w:tcW w:w="1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1,648,221</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applicable 2025 group health plans.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pPr>
      <w:r>
        <w:rPr>
          <w:rFonts w:ascii="Times New Roman" w:hAnsi="Times New Roman"/>
          <w:color w:val="000000"/>
          <w:sz w:val="18"/>
        </w:rPr>
        <w:t>The values of the accelerated RSUs in this table are calculated by multiplying the number of shares subject to acceleration by the closing price of our Class A</w:t>
      </w:r>
      <w:r>
        <w:rPr>
          <w:color w:val="000000"/>
        </w:rPr>
        <w:t xml:space="preserve"> </w:t>
      </w:r>
      <w:r>
        <w:rPr>
          <w:rFonts w:ascii="Times New Roman" w:hAnsi="Times New Roman"/>
          <w:color w:val="000000"/>
          <w:sz w:val="18"/>
        </w:rPr>
        <w:t>common stock on December 31, 2025, which was $1.83 per share. The value of the accelerated stock options is calculated by multiplying (x) the number of shares subject to acceleration for each stock option by (y) the closing price per share minus the applicable exercise price per share.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describes the potential payments that would have been provided to Dr. Farokhzad pursuant to the Severance Agreement if, during the Change in Control Period, he was terminated either (1) by the Company without cause and not by reason of his death or disability or (2) by Dr. Farokhzad as a good reason termination, assuming such termination occurred on December 31, 2025 (except as otherwise noted). </w:t>
      </w:r>
    </w:p>
    <w:tbl>
      <w:tblPr>
        <w:tblW w:w="10205" w:type="dxa"/>
        <w:jc w:val="left"/>
        <w:tblInd w:w="0" w:type="dxa"/>
        <w:tblLayout w:type="fixed"/>
        <w:tblCellMar>
          <w:top w:w="28" w:type="dxa"/>
          <w:left w:w="28" w:type="dxa"/>
          <w:bottom w:w="28" w:type="dxa"/>
          <w:right w:w="28" w:type="dxa"/>
        </w:tblCellMar>
      </w:tblPr>
      <w:tblGrid>
        <w:gridCol w:w="1520"/>
        <w:gridCol w:w="146"/>
        <w:gridCol w:w="1650"/>
        <w:gridCol w:w="146"/>
        <w:gridCol w:w="1626"/>
        <w:gridCol w:w="146"/>
        <w:gridCol w:w="2203"/>
        <w:gridCol w:w="146"/>
        <w:gridCol w:w="1497"/>
        <w:gridCol w:w="146"/>
        <w:gridCol w:w="979"/>
      </w:tblGrid>
      <w:tr>
        <w:trPr/>
        <w:tc>
          <w:tcPr>
            <w:tcW w:w="1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COBRA Premium Reimbursements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Acceleration ($)</w:t>
            </w:r>
            <w:r>
              <w:rPr>
                <w:rFonts w:ascii="Times New Roman" w:hAnsi="Times New Roman"/>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r>
      <w:tr>
        <w:trPr/>
        <w:tc>
          <w:tcPr>
            <w:tcW w:w="1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854,785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2,686,029</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applicable 2025 group health plans.</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80" w:after="283"/>
        <w:jc w:val="left"/>
        <w:rPr/>
      </w:pPr>
      <w:r>
        <w:rPr>
          <w:rFonts w:ascii="Times New Roman" w:hAnsi="Times New Roman"/>
          <w:color w:val="000000"/>
          <w:sz w:val="18"/>
        </w:rPr>
        <w:t>The value of the accelerated RSUs in this table are calculated by multiplying the number of shares subject to acceleration by the closing price of our Class A</w:t>
      </w:r>
      <w:r>
        <w:rPr>
          <w:color w:val="000000"/>
        </w:rPr>
        <w:t xml:space="preserve"> </w:t>
      </w:r>
      <w:r>
        <w:rPr>
          <w:rFonts w:ascii="Times New Roman" w:hAnsi="Times New Roman"/>
          <w:color w:val="000000"/>
          <w:sz w:val="18"/>
        </w:rPr>
        <w:t>common stock on December 31, 2025, which was $1.83 per share. The value of the accelerated stock options is calculated by multiplying (x) the number of shares subject to acceleration for each stock option by (y) the closing price per share minus the applicable exercise price per share.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Key Executive Change in Control and Severance Plan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maintain a Key Executive Change in Control and Severance Plan (the Severance Plan), which we adopted in December 2020, in order to provide specified severance and change in control pay and benefits, to key executives selected by us. We have entered into a participation agreement with Mr. Horn (a Participation Agreement) under our Severance Plan.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Severance Plan and related Participation Agreement provide that if Mr. Horn’s employment is terminated outside the period beginning on the date of a change in control and ending on the one-year anniversary date of such change in control (the Key Executive Change in Control Period) either (1) by the Company without “cause” and not by reason of his death or disability or (2) by the named executive officer as a “good reason termination” (as such terms are defined in his Participation Agreement), the named executive officer will receive the following benefits if he timely signs and does not revoke a separation agreement and release of claims in our favor: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during the Key Executive Change in Control Period, Mr. Horn’s employment with the Company is terminated either (1) by the Company without cause and not by reason of his death or disability or (2) by the named executive officer as a good reason termination, the named executive officer will receive the following benefits if he timely signs and does not revoke a separation agreement and release of claims in our favor:</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vesting acceleration of 100% of the shares subject to a named executive officer’s outstanding time-based equity awards.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to signing and not revoking a separation agreement and release of claims in our favor, the named executive officer's receipt and retention of any severance benefits under the Participation Agreement is subject to his compliance with the terms of any confidentiality, information and inventions agreement or other written agreement with us under which he or she has a material duty or obligation to us. Under the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Mr. Horn begins employment or enters into a consultant relationship with a new employer during the period he is receiving severance benefits from us under the Severance Plan and a related Participation Agreement, then any cash compensation paid to the named executive officer by the new employer will reduce, but not below $1,000, our cash severance benefit obligations under the Severance Plan, and we will have no obligation to provide for (or provide any payments in lieu of) medical, vision and dental coverage if the new employer provides such benefits to such named executive officer.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if, (a) during the time period beginning upon the consummation of a change in control and ending on the date immediately prior to the two year anniversary of the change in control (such two-year anniversary, the Retention Date), the employment of Mr. Horn with the Company (or any parent or subsidiary of the Company) is terminated either (1) by the Company without cause and not by reason of his death or disability, or (2) by the named executive officer as a good reason termination, or (b) such named executive officer remains employed by the Company (or any parent or subsidiary of the Company) through the Retention Date, and if the named executive officer timely signs and does not revoke a release of claims in our favor, the named executive officer will receive 100% accelerated vesting of all of his then-unvested and outstanding Company equity awards that were granted prior to our initial public offering.</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Mr. Horn’s Participation Agreement, “cause” generally means the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Mr. Horn’s Participation Agreement, “good reason termination” generally means that such named executive officer resigns from the Company within 60 days following the end of our cure period discussed below as a result of any of the following that occurs without the named executive officer's written consent: a material reduction in the named executive officer's base salary as compared to his base salary in effect immediately prior to such reduction; a material change in the geographic location of his primary work facility or location, provided, that a relocation that increases the named executive officer's commute by 50 miles or less or to his home as the executive’s primary work location will not be considered a material change in geographic location; or a material reduction of his authority, duties or responsibilities, unless the named executive officer is provided with a comparable position. For a resignation to qualify as a “good reason termination,” a named executive officer also must provide written notice within 60 days following the initial existence of the good reason condition, and such event or action must not have been reversed, remedied or cured within 30 days following our receipt of such written notice.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Severance Plan, “change in control” generally has the same meaning as such term is defined in our 2020 Plan (as discussed further below).</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describes the potential payments under the Severance Plan that would have been provided to the named executive officer participating in the Severance Plan as of the end of fiscal 2025, in the event that they were terminated outside of the Key Executive Change in Control Period, assuming such termination occurred on December 31, 2025 (except as otherwise noted). </w:t>
      </w:r>
    </w:p>
    <w:tbl>
      <w:tblPr>
        <w:tblW w:w="8602" w:type="dxa"/>
        <w:jc w:val="left"/>
        <w:tblInd w:w="0" w:type="dxa"/>
        <w:tblLayout w:type="fixed"/>
        <w:tblCellMar>
          <w:top w:w="28" w:type="dxa"/>
          <w:left w:w="28" w:type="dxa"/>
          <w:bottom w:w="28" w:type="dxa"/>
          <w:right w:w="28" w:type="dxa"/>
        </w:tblCellMar>
      </w:tblPr>
      <w:tblGrid>
        <w:gridCol w:w="1951"/>
        <w:gridCol w:w="146"/>
        <w:gridCol w:w="2371"/>
        <w:gridCol w:w="146"/>
        <w:gridCol w:w="3016"/>
        <w:gridCol w:w="146"/>
        <w:gridCol w:w="82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COBRA Premium Reimbursements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438,172</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amount reported in this column represent estimates of the premiums to maintain group health insurance continuation benefits pursuant to COBRA for the executive and the executive’s respective eligible dependents for nine months. The amount presented is based on estimates for maintaining group health insurance continuation benefits under our applicable 2025 group health plans.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describes the potential payments under the Severance Plan that would have been provided to the named executive officer participating in the Severance Plan as of the end of fiscal 2025, in the event that they were terminated during the Key Executive Change in Control Period, assuming such termination occurred on December 31, 2025 (except as otherwise noted). </w:t>
      </w:r>
    </w:p>
    <w:tbl>
      <w:tblPr>
        <w:tblW w:w="10205" w:type="dxa"/>
        <w:jc w:val="left"/>
        <w:tblInd w:w="0" w:type="dxa"/>
        <w:tblLayout w:type="fixed"/>
        <w:tblCellMar>
          <w:top w:w="28" w:type="dxa"/>
          <w:left w:w="28" w:type="dxa"/>
          <w:bottom w:w="28" w:type="dxa"/>
          <w:right w:w="28" w:type="dxa"/>
        </w:tblCellMar>
      </w:tblPr>
      <w:tblGrid>
        <w:gridCol w:w="1437"/>
        <w:gridCol w:w="146"/>
        <w:gridCol w:w="1673"/>
        <w:gridCol w:w="146"/>
        <w:gridCol w:w="1648"/>
        <w:gridCol w:w="146"/>
        <w:gridCol w:w="2229"/>
        <w:gridCol w:w="146"/>
        <w:gridCol w:w="1510"/>
        <w:gridCol w:w="146"/>
        <w:gridCol w:w="978"/>
      </w:tblGrid>
      <w:tr>
        <w:trPr/>
        <w:tc>
          <w:tcPr>
            <w:tcW w:w="1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Severance Payments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COBRA Premium Reimbursements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Acceleration ($)</w:t>
            </w:r>
            <w:r>
              <w:rPr>
                <w:rFonts w:ascii="Times New Roman" w:hAnsi="Times New Roman"/>
                <w:b/>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r>
      <w:tr>
        <w:trPr/>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233,960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1,115,189</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amount reported in this column represent estimates of the premiums to maintain group health insurance continuation benefits pursuant to COBRA for the executive and the executive’s respective eligible dependents for 12 months. The amount presented is based on estimates for maintaining group health insurance continuation benefits under our applicable 2025 group health plans.</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value of the accelerated RSUs in this table is calculated by multiplying the number of shares subject to acceleration by the closing price of our Class A common stock on the Nasdaq Global Select Market on December 31, 2025, which was $1.83 per share. The value of the accelerated stock options is calculated by multiplying (x) the number of shares subject to acceleration for each stock option by (y) such closing price per share of $1.83 minus the applicable exercise price per share.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Equity Plans and Performance-Based Stock Option Acceleration Features</w:t>
      </w:r>
    </w:p>
    <w:p>
      <w:pPr>
        <w:pStyle w:val="TextBody"/>
        <w:bidi w:val="0"/>
        <w:jc w:val="left"/>
        <w:rPr>
          <w:rFonts w:ascii="Times New Roman" w:hAnsi="Times New Roman"/>
          <w:color w:val="000000"/>
          <w:sz w:val="20"/>
        </w:rPr>
      </w:pPr>
      <w:r>
        <w:rPr>
          <w:rFonts w:ascii="Times New Roman" w:hAnsi="Times New Roman"/>
          <w:color w:val="000000"/>
          <w:sz w:val="20"/>
        </w:rPr>
        <w:t>Each of our 2017 Stock Incentive Plan, as amended and restated (the 2017 Plan), 2020 RSU Equity Incentive Plan (the RSU Plan) and 2020 Plan provides that in the event of a merger or “change in control” (or, with respect to the 2017 Plan, a “change in control transaction”) as defined thereunder, if a successor corporation or its parent or subsidiary does not assume or substitute an equivalent award for any outstanding award, then such award generally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October 2024, we implemented a stock option repricing program and also a reduction in the hurdle amounts applicable to performance-based stock options. In the repricing program, the exercise prices of underwater options were reset to $2.00 per share, which was the closing price of our Class A common stock on the repricing date. The repricing program had a retention component as well, providing that if the repriced option was exercised before the expiration of an up to 18-month retention period (which ended on the earlier of: (i) April 4, 2026; (ii) a Change in Control (as defined in the 2020 Plan); and (iii) the option holder’s death or Disability (as defined in the 2020 Plan)), in order to exercise the option, the option holder would have to pay a premium exercise price equal to the original exercise price of the option. In addition, certain option awards granted in 2023, including options covering 650,000 shares held by our CEO and options covering 140,000 shares held by our Chief Financial Officer, with a performance-based vesting condition based on the Company’s achieving a stock price of $6.89 were amended to reduce the stock price hurdle amount to $3.00 per share (which was 150% of then-current fair market value). Once the option has met the stock price target, it is considered a time-based equity award for purposes of Dr. Farokhzad’s Severance Agreement and Mr. Horn’s participation in the Severance Plan. In the event of a change in control, the achievement of this stock price goal is determined based on the change in control price and, if the stock price goal is achieved, any additional time-based vesting requirements are waived, and the options vest in full, as long as the named executive remains in service to us as of immediately prior to the completion of the change in control. However, for Dr. Farokhzad only, if, during the period that is three months prior to a change in control, his employment with us terminates either (1) by the Company without “cause” and not by reason of his death or disability or (2) by Dr. Farokhzad as a “good reason termination” (as such terms are defined in the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 If a change in control had occurred on December 31, 2025, the stock price goal would not have been met and these performance-based options would have forfeited.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2020 Plan and RSU Plan, “change in control” generally means a change in our stock ownership upon a person or persons acting together acquiring our stock that results in their ownership of more than fifty percent (50%) of the total voting power of our stock; a change in our effective control that results in a majority of the members of our board of directors being replaced over twelve (12) months by directors not endorsed by a majority of the members of our board of directors prior to such appointment or election; or a change in ownership of fifty percent (50%) or more of our assets (based on total gross fair market value), in each case, subject to certain exceptions.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Under our 2017 Plan, “change in control transaction” generally means our merging or consolidating with another corporation whereby our stockholders no longer own at least fifty percent (50%) of the voting power of the Company or the surviving or resulting corporation, as applicable; stock with fifty percent (50%) or more of the voting power of the Company is transferred to an unrelated third party; or if we are liquidated, or sell or otherwise dispose of all or substantially all our assets.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r>
        <w:rPr>
          <w:rFonts w:ascii="Times New Roman" w:hAnsi="Times New Roman"/>
          <w:b/>
          <w:color w:val="000000"/>
          <w:sz w:val="20"/>
        </w:rPr>
        <w:t>Pay Versus Performance</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tbl>
      <w:tblPr>
        <w:tblW w:w="10205" w:type="dxa"/>
        <w:jc w:val="left"/>
        <w:tblInd w:w="0" w:type="dxa"/>
        <w:tblLayout w:type="fixed"/>
        <w:tblCellMar>
          <w:top w:w="28" w:type="dxa"/>
          <w:left w:w="28" w:type="dxa"/>
          <w:bottom w:w="28" w:type="dxa"/>
          <w:right w:w="28" w:type="dxa"/>
        </w:tblCellMar>
      </w:tblPr>
      <w:tblGrid>
        <w:gridCol w:w="541"/>
        <w:gridCol w:w="146"/>
        <w:gridCol w:w="146"/>
        <w:gridCol w:w="1370"/>
        <w:gridCol w:w="146"/>
        <w:gridCol w:w="146"/>
        <w:gridCol w:w="1333"/>
        <w:gridCol w:w="146"/>
        <w:gridCol w:w="146"/>
        <w:gridCol w:w="1498"/>
        <w:gridCol w:w="146"/>
        <w:gridCol w:w="146"/>
        <w:gridCol w:w="1461"/>
        <w:gridCol w:w="146"/>
        <w:gridCol w:w="146"/>
        <w:gridCol w:w="1130"/>
        <w:gridCol w:w="146"/>
        <w:gridCol w:w="146"/>
        <w:gridCol w:w="1120"/>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for PEO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 Actually Paid to PEO ($)</w:t>
            </w:r>
            <w:r>
              <w:rPr>
                <w:rFonts w:ascii="Times New Roman" w:hAnsi="Times New Roman"/>
                <w:b/>
                <w:color w:val="000000"/>
                <w:sz w:val="11"/>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Summary Compensation Table Total for Non-PEO NEOs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Compensation Actually Paid to Non-PEO NEOs ($)</w:t>
            </w:r>
            <w:r>
              <w:rPr>
                <w:rFonts w:ascii="Times New Roman" w:hAnsi="Times New Roman"/>
                <w:b/>
                <w:color w:val="000000"/>
                <w:sz w:val="11"/>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 Investment based on</w:t>
              <w:br/>
              <w:t>TSR ($)</w:t>
            </w:r>
            <w:r>
              <w:rPr>
                <w:rFonts w:ascii="Times New Roman" w:hAnsi="Times New Roman"/>
                <w:b/>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Income </w:t>
              <w:br/>
              <w:t>($ Thousands)</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744,805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456,589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(73,600)</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3,549,950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4,581,646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790,704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(86,599)</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5,197,331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1,407,506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(86,277)</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Omid Farokhzad, M.D. was our PEO for each year presented. The individuals comprising the Non-PEO NEOs for each year presented are listed below:</w:t>
      </w:r>
    </w:p>
    <w:p>
      <w:pPr>
        <w:pStyle w:val="TextBody"/>
        <w:bidi w:val="0"/>
        <w:jc w:val="left"/>
        <w:rPr/>
      </w:pPr>
      <w:r>
        <w:rPr/>
        <w:t> </w:t>
      </w:r>
    </w:p>
    <w:tbl>
      <w:tblPr>
        <w:tblW w:w="2633" w:type="dxa"/>
        <w:jc w:val="left"/>
        <w:tblInd w:w="0" w:type="dxa"/>
        <w:tblLayout w:type="fixed"/>
        <w:tblCellMar>
          <w:top w:w="28" w:type="dxa"/>
          <w:left w:w="28" w:type="dxa"/>
          <w:bottom w:w="28" w:type="dxa"/>
          <w:right w:w="28" w:type="dxa"/>
        </w:tblCellMar>
      </w:tblPr>
      <w:tblGrid>
        <w:gridCol w:w="1264"/>
        <w:gridCol w:w="1369"/>
      </w:tblGrid>
      <w:tr>
        <w:trPr/>
        <w:tc>
          <w:tcPr>
            <w:tcW w:w="12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1264" w:type="dxa"/>
            <w:tcBorders/>
            <w:tcMar>
              <w:top w:w="0" w:type="dxa"/>
              <w:left w:w="0" w:type="dxa"/>
              <w:bottom w:w="0" w:type="dxa"/>
              <w:right w:w="0" w:type="dxa"/>
            </w:tcMar>
            <w:vAlign w:val="center"/>
          </w:tcPr>
          <w:p>
            <w:pPr>
              <w:pStyle w:val="TableContents"/>
              <w:bidi w:val="0"/>
              <w:spacing w:before="120" w:after="283"/>
              <w:ind w:left="0" w:right="0" w:firstLine="288"/>
              <w:jc w:val="center"/>
              <w:rPr>
                <w:rFonts w:ascii="Times New Roman" w:hAnsi="Times New Roman"/>
                <w:b/>
                <w:color w:val="000000"/>
                <w:sz w:val="18"/>
              </w:rPr>
            </w:pPr>
            <w:r>
              <w:rPr>
                <w:rFonts w:ascii="Times New Roman" w:hAnsi="Times New Roman"/>
                <w:b/>
                <w:color w:val="000000"/>
                <w:sz w:val="18"/>
              </w:rPr>
              <w:t>2025</w:t>
            </w:r>
          </w:p>
        </w:tc>
        <w:tc>
          <w:tcPr>
            <w:tcW w:w="1369" w:type="dxa"/>
            <w:tcBorders/>
            <w:tcMar>
              <w:top w:w="0" w:type="dxa"/>
              <w:left w:w="0" w:type="dxa"/>
              <w:bottom w:w="0" w:type="dxa"/>
              <w:right w:w="0" w:type="dxa"/>
            </w:tcMar>
            <w:vAlign w:val="center"/>
          </w:tcPr>
          <w:p>
            <w:pPr>
              <w:pStyle w:val="TableContents"/>
              <w:bidi w:val="0"/>
              <w:spacing w:before="120" w:after="283"/>
              <w:ind w:left="0" w:right="0" w:firstLine="288"/>
              <w:jc w:val="center"/>
              <w:rPr>
                <w:rFonts w:ascii="Times New Roman" w:hAnsi="Times New Roman"/>
                <w:b/>
                <w:color w:val="000000"/>
                <w:sz w:val="18"/>
              </w:rPr>
            </w:pPr>
            <w:r>
              <w:rPr>
                <w:rFonts w:ascii="Times New Roman" w:hAnsi="Times New Roman"/>
                <w:b/>
                <w:color w:val="000000"/>
                <w:sz w:val="18"/>
              </w:rPr>
              <w:t>2023 - 2024</w:t>
            </w:r>
          </w:p>
        </w:tc>
      </w:tr>
      <w:tr>
        <w:trPr/>
        <w:tc>
          <w:tcPr>
            <w:tcW w:w="1264" w:type="dxa"/>
            <w:tcBorders/>
            <w:shd w:fill="CFF0FC" w:val="clear"/>
            <w:tcMar>
              <w:top w:w="0" w:type="dxa"/>
              <w:left w:w="0" w:type="dxa"/>
              <w:bottom w:w="0" w:type="dxa"/>
              <w:right w:w="0" w:type="dxa"/>
            </w:tcMar>
            <w:vAlign w:val="center"/>
          </w:tcPr>
          <w:p>
            <w:pPr>
              <w:pStyle w:val="TableContents"/>
              <w:bidi w:val="0"/>
              <w:spacing w:before="120" w:after="283"/>
              <w:ind w:left="0" w:right="0" w:firstLine="288"/>
              <w:jc w:val="center"/>
              <w:rPr>
                <w:rFonts w:ascii="Times New Roman" w:hAnsi="Times New Roman"/>
                <w:color w:val="000000"/>
                <w:sz w:val="18"/>
              </w:rPr>
            </w:pPr>
            <w:r>
              <w:rPr>
                <w:rFonts w:ascii="Times New Roman" w:hAnsi="Times New Roman"/>
                <w:color w:val="000000"/>
                <w:sz w:val="18"/>
              </w:rPr>
              <w:t>David Horn</w:t>
            </w:r>
          </w:p>
        </w:tc>
        <w:tc>
          <w:tcPr>
            <w:tcW w:w="1369" w:type="dxa"/>
            <w:tcBorders/>
            <w:shd w:fill="CFF0FC" w:val="clear"/>
            <w:tcMar>
              <w:top w:w="0" w:type="dxa"/>
              <w:left w:w="0" w:type="dxa"/>
              <w:bottom w:w="0" w:type="dxa"/>
              <w:right w:w="0" w:type="dxa"/>
            </w:tcMar>
            <w:vAlign w:val="center"/>
          </w:tcPr>
          <w:p>
            <w:pPr>
              <w:pStyle w:val="TableContents"/>
              <w:bidi w:val="0"/>
              <w:spacing w:before="120" w:after="283"/>
              <w:ind w:left="0" w:right="0" w:firstLine="288"/>
              <w:jc w:val="center"/>
              <w:rPr>
                <w:rFonts w:ascii="Times New Roman" w:hAnsi="Times New Roman"/>
                <w:color w:val="000000"/>
                <w:sz w:val="18"/>
              </w:rPr>
            </w:pPr>
            <w:r>
              <w:rPr>
                <w:rFonts w:ascii="Times New Roman" w:hAnsi="Times New Roman"/>
                <w:color w:val="000000"/>
                <w:sz w:val="18"/>
              </w:rPr>
              <w:t>David Horn</w:t>
            </w:r>
          </w:p>
        </w:tc>
      </w:tr>
      <w:tr>
        <w:trPr/>
        <w:tc>
          <w:tcPr>
            <w:tcW w:w="1264" w:type="dxa"/>
            <w:tcBorders/>
            <w:tcMar>
              <w:top w:w="0" w:type="dxa"/>
              <w:left w:w="0" w:type="dxa"/>
              <w:bottom w:w="0" w:type="dxa"/>
              <w:right w:w="0" w:type="dxa"/>
            </w:tcMar>
            <w:vAlign w:val="center"/>
          </w:tcPr>
          <w:p>
            <w:pPr>
              <w:pStyle w:val="TableContents"/>
              <w:bidi w:val="0"/>
              <w:spacing w:before="120" w:after="283"/>
              <w:ind w:left="0" w:right="0" w:firstLine="288"/>
              <w:jc w:val="center"/>
              <w:rPr/>
            </w:pPr>
            <w:r>
              <w:rPr/>
              <w:t> </w:t>
            </w:r>
          </w:p>
        </w:tc>
        <w:tc>
          <w:tcPr>
            <w:tcW w:w="1369" w:type="dxa"/>
            <w:tcBorders/>
            <w:tcMar>
              <w:top w:w="0" w:type="dxa"/>
              <w:left w:w="0" w:type="dxa"/>
              <w:bottom w:w="0" w:type="dxa"/>
              <w:right w:w="0" w:type="dxa"/>
            </w:tcMar>
            <w:vAlign w:val="center"/>
          </w:tcPr>
          <w:p>
            <w:pPr>
              <w:pStyle w:val="TableContents"/>
              <w:bidi w:val="0"/>
              <w:spacing w:before="120" w:after="283"/>
              <w:ind w:left="0" w:right="0" w:firstLine="288"/>
              <w:jc w:val="center"/>
              <w:rPr>
                <w:rFonts w:ascii="Times New Roman" w:hAnsi="Times New Roman"/>
                <w:color w:val="000000"/>
                <w:sz w:val="18"/>
              </w:rPr>
            </w:pPr>
            <w:r>
              <w:rPr>
                <w:rFonts w:ascii="Times New Roman" w:hAnsi="Times New Roman"/>
                <w:color w:val="000000"/>
                <w:sz w:val="18"/>
              </w:rPr>
              <w:t>Elona Kogan</w:t>
            </w:r>
          </w:p>
        </w:tc>
      </w:tr>
    </w:tbl>
    <w:p>
      <w:pPr>
        <w:pStyle w:val="TextBody"/>
        <w:bidi w:val="0"/>
        <w:spacing w:before="120" w:after="283"/>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before="120" w:after="180"/>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180"/>
        <w:jc w:val="left"/>
        <w:rPr>
          <w:rFonts w:ascii="Times New Roman" w:hAnsi="Times New Roman"/>
          <w:color w:val="000000"/>
          <w:sz w:val="18"/>
        </w:rPr>
      </w:pPr>
      <w:r>
        <w:rPr>
          <w:rFonts w:ascii="Times New Roman" w:hAnsi="Times New Roman"/>
          <w:color w:val="000000"/>
          <w:sz w:val="18"/>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tbl>
      <w:tblPr>
        <w:tblW w:w="10205" w:type="dxa"/>
        <w:jc w:val="left"/>
        <w:tblInd w:w="0" w:type="dxa"/>
        <w:tblLayout w:type="fixed"/>
        <w:tblCellMar>
          <w:top w:w="28" w:type="dxa"/>
          <w:left w:w="28" w:type="dxa"/>
          <w:bottom w:w="28" w:type="dxa"/>
          <w:right w:w="28" w:type="dxa"/>
        </w:tblCellMar>
      </w:tblPr>
      <w:tblGrid>
        <w:gridCol w:w="541"/>
        <w:gridCol w:w="146"/>
        <w:gridCol w:w="146"/>
        <w:gridCol w:w="2232"/>
        <w:gridCol w:w="146"/>
        <w:gridCol w:w="146"/>
        <w:gridCol w:w="2461"/>
        <w:gridCol w:w="146"/>
        <w:gridCol w:w="146"/>
        <w:gridCol w:w="1812"/>
        <w:gridCol w:w="146"/>
        <w:gridCol w:w="146"/>
        <w:gridCol w:w="19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 Total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Exclusion of Stock Awards and Option Awards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Inclusion of Equity Values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105,003</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3,549,950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(2,360,377)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3,392,073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4,581,646</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5,197,331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(4,015,530)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(1,318,463)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(136,662)</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46"/>
        <w:gridCol w:w="2271"/>
        <w:gridCol w:w="146"/>
        <w:gridCol w:w="146"/>
        <w:gridCol w:w="2261"/>
        <w:gridCol w:w="146"/>
        <w:gridCol w:w="146"/>
        <w:gridCol w:w="1836"/>
        <w:gridCol w:w="146"/>
        <w:gridCol w:w="146"/>
        <w:gridCol w:w="2128"/>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Summary Compensation Table Total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Exclusion of Stock Awards and Option Awards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Inclusion of Equity Values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744,805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456,589</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273,070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790,704</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1,407,506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(788,760)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(939,638)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(320,892)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amounts in the Inclusion of Equity Values in the tables above are derived from the amounts set forth in the following tables (the Company has not paid dividends historically as a public company and does not sponsor any pension arrangements; thus no adjustments are made for these items):</w:t>
      </w:r>
    </w:p>
    <w:tbl>
      <w:tblPr>
        <w:tblW w:w="10205" w:type="dxa"/>
        <w:jc w:val="left"/>
        <w:tblInd w:w="0" w:type="dxa"/>
        <w:tblLayout w:type="fixed"/>
        <w:tblCellMar>
          <w:top w:w="28" w:type="dxa"/>
          <w:left w:w="28" w:type="dxa"/>
          <w:bottom w:w="28" w:type="dxa"/>
          <w:right w:w="28" w:type="dxa"/>
        </w:tblCellMar>
      </w:tblPr>
      <w:tblGrid>
        <w:gridCol w:w="541"/>
        <w:gridCol w:w="146"/>
        <w:gridCol w:w="146"/>
        <w:gridCol w:w="1439"/>
        <w:gridCol w:w="146"/>
        <w:gridCol w:w="146"/>
        <w:gridCol w:w="1402"/>
        <w:gridCol w:w="146"/>
        <w:gridCol w:w="146"/>
        <w:gridCol w:w="1354"/>
        <w:gridCol w:w="146"/>
        <w:gridCol w:w="146"/>
        <w:gridCol w:w="1477"/>
        <w:gridCol w:w="146"/>
        <w:gridCol w:w="146"/>
        <w:gridCol w:w="1153"/>
        <w:gridCol w:w="146"/>
        <w:gridCol w:w="146"/>
        <w:gridCol w:w="1087"/>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Year-End Fair Value of Equity Awards Granted During Year That Remained Outstanding and Unvested as of Last Day of Year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Last Day of Prior Year to Last Day of Year of Outstanding and Unvested Equity Awards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Vesting-Date Fair Value of Equity Awards Granted During Year that Vested During Year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Last Day of Prior Year to Vesting Date of Unvested Equity Awards Granted in Prior Year that Vested During Year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Last Day of Prior Year of Equity Awards Granted in Prior Year that Forfeited During Year for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Inclusion of</w:t>
              <w:br/>
              <w:t>Equity Values for PEO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(1,100,707)</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2,996,803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451,882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3,392,073</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1,542,178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(1,645,982)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(1,318,463)</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46"/>
        <w:gridCol w:w="1458"/>
        <w:gridCol w:w="146"/>
        <w:gridCol w:w="146"/>
        <w:gridCol w:w="1425"/>
        <w:gridCol w:w="146"/>
        <w:gridCol w:w="146"/>
        <w:gridCol w:w="1386"/>
        <w:gridCol w:w="146"/>
        <w:gridCol w:w="146"/>
        <w:gridCol w:w="1347"/>
        <w:gridCol w:w="146"/>
        <w:gridCol w:w="146"/>
        <w:gridCol w:w="1235"/>
        <w:gridCol w:w="146"/>
        <w:gridCol w:w="146"/>
        <w:gridCol w:w="106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Year-End Fair Value of Equity Awards Granted During Year That Remained Outstanding and Unvested as of Last Day of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Change in Fair Value from Last Day of Prior Year to Last Day of Year of Outstanding and Unvested Equity Awards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Vesting-Date Fair Value of Equity Awards Granted During Year that Vested During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Change in Fair Value from Last Day of Prior Year to Vesting Date of Unvested Equity Awards Granted in Prior Year that Vested During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Fair Value at Last Day of Prior Year of Equity Awards Granted in Prior Year that Forfeited During Year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Average Inclusion of Equity Values for Non-PEO NEOs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(288,216)</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273,070</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(733,276)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(506,349)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(939,638)</w:t>
            </w:r>
          </w:p>
        </w:tc>
      </w:tr>
    </w:tbl>
    <w:p>
      <w:pPr>
        <w:pStyle w:val="TextBody"/>
        <w:bidi w:val="0"/>
        <w:spacing w:before="120" w:after="180"/>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180"/>
        <w:jc w:val="left"/>
        <w:rPr>
          <w:rFonts w:ascii="Times New Roman" w:hAnsi="Times New Roman"/>
          <w:color w:val="000000"/>
          <w:sz w:val="18"/>
        </w:rPr>
      </w:pPr>
      <w:r>
        <w:rPr>
          <w:rFonts w:ascii="Times New Roman" w:hAnsi="Times New Roman"/>
          <w:color w:val="000000"/>
          <w:sz w:val="18"/>
        </w:rPr>
        <w:t>Assumes $100 was invested in the Company for the period starting December 31, 2022, through the end of the listed year. Historical stock performance is not necessarily indicative of future stock performance.</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Relationship Between PEO and Non-PEO NEO Compensation Actually Paid and Company Total Shareholder Return (TSR)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chart sets forth the relationship between Compensation Actually Paid to our PEO, the average of Compensation Actually Paid to our Non-PEO NEOs, and the Company’s cumulative TSR over the three most recently completed fiscal years.</w:t>
      </w:r>
    </w:p>
    <w:p>
      <w:pPr>
        <w:pStyle w:val="TextBody"/>
        <w:bidi w:val="0"/>
        <w:spacing w:before="180" w:after="283"/>
        <w:jc w:val="center"/>
        <w:rPr/>
      </w:pPr>
      <w:r>
        <w:rPr/>
        <w:drawing>
          <wp:inline distT="0" distB="0" distL="0" distR="0">
            <wp:extent cx="5943600" cy="3362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6232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Relationship Between PEO and Non-PEO NEO Compensation Actually Paid and Net Income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chart sets forth the relationship between Compensation Actually Paid to our PEO, the average of Compensation Actually Paid to our Non-PEO NEOs, and our Net Income during the three most recently completed fiscal years.</w:t>
      </w:r>
    </w:p>
    <w:p>
      <w:pPr>
        <w:pStyle w:val="TextBody"/>
        <w:bidi w:val="0"/>
        <w:jc w:val="center"/>
        <w:rPr/>
      </w:pPr>
      <w:r>
        <w:rPr/>
        <w:drawing>
          <wp:inline distT="0" distB="0" distL="0" distR="0">
            <wp:extent cx="5943600" cy="3200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20040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Named Executive Officer Compensation 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we qualify as a smaller reporting company and therefore this section includes disclosures on a voluntary basis given our status as a smaller reporting company and in recognition of the advisory vote on the compensation of our named executive officers being conducted at our 2026 annual meeting of shareholders.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Named Executive Officer Compensation Overview (“NEOCO”) describes the philosophy, objectives, and structure of our 2025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information set forth elsewhere in this Amended Report, including the executive compensation tables further above.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named executive officers for the fiscal year ended December 31, 2025 were as follows: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Omid Farokhzad, M.D., our Chief Executive Officer and Chair of the board of directors ("CEO");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David Horn, our President and Chief Financial Officer ("CFO").</w:t>
      </w:r>
    </w:p>
    <w:tbl>
      <w:tblPr>
        <w:tblW w:w="5218" w:type="dxa"/>
        <w:jc w:val="left"/>
        <w:tblInd w:w="0" w:type="dxa"/>
        <w:tblLayout w:type="fixed"/>
        <w:tblCellMar>
          <w:top w:w="28" w:type="dxa"/>
          <w:left w:w="28" w:type="dxa"/>
          <w:bottom w:w="28" w:type="dxa"/>
          <w:right w:w="28" w:type="dxa"/>
        </w:tblCellMar>
      </w:tblPr>
      <w:tblGrid>
        <w:gridCol w:w="4036"/>
        <w:gridCol w:w="146"/>
        <w:gridCol w:w="103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NEOCO Reference Guide</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Section I</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Philosophy and Objectives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Section II</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Determination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Section III</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Key Components of Our Compensation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Section IV</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Compensation Policies and Practices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Section V</w:t>
            </w:r>
          </w:p>
        </w:tc>
      </w:tr>
    </w:tbl>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I. Executive Summary</w:t>
      </w:r>
    </w:p>
    <w:p>
      <w:pPr>
        <w:pStyle w:val="TextBody"/>
        <w:bidi w:val="0"/>
        <w:jc w:val="left"/>
        <w:rPr>
          <w:rFonts w:ascii="Times New Roman" w:hAnsi="Times New Roman"/>
          <w:i/>
          <w:color w:val="000000"/>
          <w:sz w:val="20"/>
        </w:rPr>
      </w:pPr>
      <w:r>
        <w:rPr>
          <w:rFonts w:ascii="Times New Roman" w:hAnsi="Times New Roman"/>
          <w:i/>
          <w:color w:val="000000"/>
          <w:sz w:val="20"/>
        </w:rPr>
        <w:t>2025 Business and Financial Highlights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Performance highlights for 2025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Achieved revenue (measured on a GAAP basis) of $16.6 million for the full year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Expanded installed base to 82 instruments, representing 67% year-over-year growth, with 33 total instruments installed during the full year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cumulative peer-reviewed publications, preprints and reviews to 70 in 2025 from 36 in 2024;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Returned capital to shareholder by repurchasing approximately 5.3 million shares of our Class A common stock at an average cost of $1.93 per share during the full year 2025, reducing net common shares outstanding by approximately 13%.</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Overview of 2025 Pay Decisions and Outcomes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seek to reward our named executive officers with competitive compensation packages that directly align pay with Company performance and with our stockholders' interests. The caliber of our performance in the areas of key milestones drives our compensation structure, specifically the degree to which named executive officers are granted equity and earn bonuses. Our talent and compensation committee regularly reviews our program design and actual pay outcomes to ensure that a meaningful portion of executive compensation is at risk and tied to the achievement of our financial, operational, and strategic objectives, taking into account our growth stage and evolving business profile. In line with our growth in 2025, the talent and compensation committee considered how our incentives provided appropriate levels of compensation considering our performance and growth stage.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Key decisions include:</w:t>
      </w:r>
    </w:p>
    <w:p>
      <w:pPr>
        <w:pStyle w:val="TextBody"/>
        <w:bidi w:val="0"/>
        <w:spacing w:before="180" w:after="180"/>
        <w:jc w:val="left"/>
        <w:rPr>
          <w:rFonts w:ascii="Times New Roman" w:hAnsi="Times New Roman"/>
          <w:sz w:val="20"/>
        </w:rPr>
      </w:pPr>
      <w:r>
        <w:rPr>
          <w:rFonts w:ascii="Times New Roman" w:hAnsi="Times New Roman"/>
          <w:b/>
          <w:color w:val="000000"/>
          <w:sz w:val="20"/>
        </w:rPr>
        <w:t>Annual Performance-based Bonuses</w:t>
      </w:r>
      <w:r>
        <w:rPr>
          <w:rFonts w:ascii="Times New Roman" w:hAnsi="Times New Roman"/>
          <w:color w:val="000000"/>
          <w:sz w:val="20"/>
        </w:rPr>
        <w:t xml:space="preserve"> – An annual bonus was paid to our named executive officers based on the achievement of corporate goals that contained important pre-established financial, commercial, product development, research and organizational milestones goals, most of which were successfully met and other considerations that our talent and compensation committee determined to be relevant to the achievement of our goals.</w:t>
      </w:r>
    </w:p>
    <w:p>
      <w:pPr>
        <w:pStyle w:val="TextBody"/>
        <w:bidi w:val="0"/>
        <w:spacing w:before="0" w:after="180"/>
        <w:jc w:val="left"/>
        <w:rPr>
          <w:rFonts w:ascii="Times New Roman" w:hAnsi="Times New Roman"/>
          <w:sz w:val="20"/>
        </w:rPr>
      </w:pPr>
      <w:r>
        <w:rPr>
          <w:rFonts w:ascii="Times New Roman" w:hAnsi="Times New Roman"/>
          <w:b/>
          <w:color w:val="000000"/>
          <w:sz w:val="20"/>
        </w:rPr>
        <w:t>Long-term Equity Incentives</w:t>
      </w:r>
      <w:r>
        <w:rPr>
          <w:rFonts w:ascii="Times New Roman" w:hAnsi="Times New Roman"/>
          <w:color w:val="000000"/>
          <w:sz w:val="20"/>
        </w:rPr>
        <w:t xml:space="preserve"> – The talent and compensation committee elected to forego new equity grants for the named executive officers and other members of the executive team in 2025. This decision reflects the reinvigoration of the incentive and retention value of our stock options as a result of the October 2024 stock option repricing and reduction in the hurdle amounts applicable to performance-based stock options, which the Committee believes remained an appropriate incentive for that period. The talent and compensation committee will continue to evaluate the timing, form, and size of future equity grants in light of Company performance, market practices, retention considerations and the need to maintain a robust, performance</w:t>
        <w:noBreakHyphen/>
        <w:t>oriented long</w:t>
        <w:noBreakHyphen/>
        <w:t>term incentive program for our leadership team.</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Target Pay Mix</w:t>
      </w:r>
    </w:p>
    <w:p>
      <w:pPr>
        <w:pStyle w:val="TextBody"/>
        <w:bidi w:val="0"/>
        <w:jc w:val="left"/>
        <w:rPr>
          <w:rFonts w:ascii="Times New Roman" w:hAnsi="Times New Roman"/>
          <w:color w:val="000000"/>
          <w:sz w:val="20"/>
        </w:rPr>
      </w:pPr>
      <w:r>
        <w:rPr>
          <w:rFonts w:ascii="Times New Roman" w:hAnsi="Times New Roman"/>
          <w:color w:val="000000"/>
          <w:sz w:val="20"/>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and this pay mix may differ from year to year, or executive to executive, based on the talent and compensation committee’s assessment of our compensation program goals at that time and for the applicable individual. In considering the appropriate balance between various components of compensation, the talent and compensation committee considers many factors, which may change based on company performance, market factors and company objectives, among other considerations. Historically, a significant portion of our executives’ compensation typically is at-risk, performance-based compensation, in the form of long-term equity awards, and annual cash incentives that are only earned to the extent we achieve the various applicable corporate goals. In 2025, the talent and compensation committee decided that the repricing of named executive officer stock options in 2024 resulted in our named executive officers’ holding significant and sufficient at-risk, long-term incentives, and chose not to award any new equity grants for the named executive officers at that time. Therefore, for 2025, our named executive officer compensation consisted of annual performance-based cash incentives and base salary.</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II. Compensation Philosophy and Objectives</w:t>
      </w:r>
    </w:p>
    <w:p>
      <w:pPr>
        <w:pStyle w:val="TextBody"/>
        <w:bidi w:val="0"/>
        <w:jc w:val="left"/>
        <w:rPr>
          <w:rFonts w:ascii="Times New Roman" w:hAnsi="Times New Roman"/>
          <w:color w:val="000000"/>
          <w:sz w:val="20"/>
        </w:rPr>
      </w:pPr>
      <w:r>
        <w:rPr>
          <w:rFonts w:ascii="Times New Roman" w:hAnsi="Times New Roman"/>
          <w:color w:val="000000"/>
          <w:sz w:val="20"/>
        </w:rPr>
        <w:t>Our talent and compensation committee believes that executive compensation should be linked to our overall performance and strategic success.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and retain highly qualified executives;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motivate and reward performance that supports achievement of our corporate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executive incentives with stockholder interests through the grant of long-term incentives;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reward performance and contributions towards achievement of measurable targets and a shared set of critical strategic priorities.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believe our executive compensation program as developed and implemented achieves these objectives and is appropriate for a company in our industry and at our stage of growth.</w:t>
      </w:r>
    </w:p>
    <w:p>
      <w:pPr>
        <w:pStyle w:val="TextBody"/>
        <w:bidi w:val="0"/>
        <w:spacing w:before="180" w:after="283"/>
        <w:jc w:val="left"/>
        <w:rPr>
          <w:rFonts w:ascii="Times New Roman" w:hAnsi="Times New Roman"/>
          <w:sz w:val="20"/>
        </w:rPr>
      </w:pPr>
      <w:r>
        <w:rPr>
          <w:rFonts w:ascii="Times New Roman" w:hAnsi="Times New Roman"/>
          <w:b/>
          <w:color w:val="000000"/>
          <w:sz w:val="20"/>
        </w:rPr>
        <w:t>III. Compensation Determination Process</w:t>
      </w:r>
      <w:r>
        <w:rPr>
          <w:rFonts w:ascii="Times New Roman" w:hAnsi="Times New Roman"/>
          <w:color w:val="000000"/>
          <w:sz w:val="20"/>
        </w:rPr>
        <w:t xml:space="preserve">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Role of the talent and compensation committee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talent and compensation committee is responsible for the executive compensation programs for our executive officers and regularly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relative to such performance objectives and other factors they deem appropriate, and evaluating the competitiveness of our executive compensation program, which may include reviewing and approving any peer group for comparison purposes.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talent and compensation committee typically reviews and considers the recommendations of our CEO regarding the compensation of any named executive officer other than himself, which for 2025 consisted solely of Mr. Horn, any recommendations provided by other members of management, the talent and compensation committee’s independent compensation consultant, and any other data or factors that the talent and compensation committee deems relevant to its assessment and determinations.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the fiscal year ended December 31, 2025, Mr. McGuire served as the chair of the talent and compensation committee and Mr. Hallal and Dr. Roelofs served as members of the talent and compensation committee. Mr. Hallal left our board of directors on July 8, 2025.</w:t>
      </w:r>
    </w:p>
    <w:p>
      <w:pPr>
        <w:pStyle w:val="TextBody"/>
        <w:bidi w:val="0"/>
        <w:jc w:val="left"/>
        <w:rPr>
          <w:rFonts w:ascii="Times New Roman" w:hAnsi="Times New Roman"/>
          <w:i/>
          <w:color w:val="000000"/>
          <w:sz w:val="20"/>
        </w:rPr>
      </w:pPr>
      <w:r>
        <w:rPr>
          <w:rFonts w:ascii="Times New Roman" w:hAnsi="Times New Roman"/>
          <w:i/>
          <w:color w:val="000000"/>
          <w:sz w:val="20"/>
        </w:rPr>
        <w:t>Consideration of Say-on-Pay Results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our 2022 Annual Meeting of Stockholders, our stockholders approved, on a non-binding advisory vote basis, submission of the compensation of our named executive officers to a non-binding advisory vote of our stockholders (commonly referred to as a “say-on-pay” vote) every three years. Our first say-on-pay vote was conducted at our 2023 Annual Meeting of Stockholders and our stockholders approved, on a non-binding advisory basis, the compensation of our named executive officers, as disclosed in our 2023 proxy statement. The proposal was supported by approximately 83% of the total votes cast, not including abstentions. Many of the decisions relating to designing and setting the executive compensation for 2023 occurred prior to the vote at such annual meeting. Notwithstanding, our talent and compensation committee took the say-on-pay voting results into account, and we continue to emphasize our performance-based pay philosophy in our executive officer compensation program and our overall compensation philosophy. The next say-on-pay vote after our 2026 Annual Meeting of Stockholders currently is scheduled to occur at the 2029 Annual Meeting of Stockholders.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Role of Chief Executive Officer and Management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CEO provides the talent and compensation committee with input and recommendations related to the compensation of our other named executive officers, which for 2025 was only David Horn, and any other executive officers who report to our CEO, including regarding short-term and long-term compensation for all executive officers (other than himself) based on our results and such other factors as he deems relevant. Our CEO does not make recommendations as to his own compensation. The CEO does not participate in, and is not present during, any deliberations or determinations of the talent and compensation committee or the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Use of Compensation Consultant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talent and compensation committee is authorized to retain the services of one or more executive compensation advisors, as it sees fit, in connection with the establishment of our compensation programs and related policies. In 2025, our talent and compensation committee continued to retain Aon's Human Capital Solutions practice, a division of Aon plc (Aon), to provide it with information, recommendations and other advice relating to executive compensation on an ongoing basis. Aon serves at the discretion of our talent and compensation committee. As part of its engagement, Aon assists our talent and compensation committee in developing a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 and that Aon was independent.</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Peer Group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use a peer group to provide a broad perspective on competitive pay levels and practices.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our 2025 peer group, the talent and compensation committee, with assistance from Aon, reviewed companies with respect to sector, stage of development, revenue, and market capitalization. In guiding the talent and compensation committee in identifying the companies that comprised the 2025 peer group, the talent and compensation committee considered the following key factors and parameters:</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Sector – pharmaceutical, biotechnology and life science companies, as well as healthcare equipment and services companies, generally with a primary focus on medical device/technology and a secondary focus on early commercial biotechnology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 generally, less than $200 million in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Capitalization – $40 million to $400 million market capitalization range.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 generally, companies with between 40 and 400 employees.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Based on the above criteria, the talent and compensation committee in October 2024 selected the following peer group of 20 companies that informed pay decisions for 2025:</w:t>
      </w:r>
    </w:p>
    <w:tbl>
      <w:tblPr>
        <w:tblW w:w="7112" w:type="dxa"/>
        <w:jc w:val="left"/>
        <w:tblInd w:w="0" w:type="dxa"/>
        <w:tblLayout w:type="fixed"/>
        <w:tblCellMar>
          <w:top w:w="28" w:type="dxa"/>
          <w:left w:w="28" w:type="dxa"/>
          <w:bottom w:w="28" w:type="dxa"/>
          <w:right w:w="28" w:type="dxa"/>
        </w:tblCellMar>
      </w:tblPr>
      <w:tblGrid>
        <w:gridCol w:w="3961"/>
        <w:gridCol w:w="3151"/>
      </w:tblGrid>
      <w:tr>
        <w:trPr/>
        <w:tc>
          <w:tcPr>
            <w:tcW w:w="396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Aadi Bioscience, Inc. (AADI)</w:t>
            </w:r>
            <w:r>
              <w:rPr>
                <w:rFonts w:ascii="Times New Roman" w:hAnsi="Times New Roman"/>
                <w:color w:val="000000"/>
                <w:sz w:val="13"/>
              </w:rPr>
              <w:t>(1)</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MacroGenics Inc. (MGNX)</w:t>
            </w:r>
            <w:r>
              <w:rPr>
                <w:rFonts w:ascii="Times New Roman" w:hAnsi="Times New Roman"/>
                <w:color w:val="000000"/>
                <w:sz w:val="13"/>
              </w:rPr>
              <w:t>(1)</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Absci Corporation (ABSI)</w:t>
            </w:r>
            <w:r>
              <w:rPr>
                <w:rFonts w:ascii="Times New Roman" w:hAnsi="Times New Roman"/>
                <w:color w:val="000000"/>
                <w:sz w:val="13"/>
              </w:rPr>
              <w:t>(1)</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Personalis, Inc. (PSNL)</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Adaptive Biotechnologies Corporation (ADPT)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Quanterix Corporation (QTRX)</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Akoya Biosciences, Inc. (AKYA)</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Quantum-Si Incorporated (QSI)</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Alector, Inc. (ALEC)</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Micro Biosystems, Inc. (RPID)</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Bionano Genomics, Inc. (BNGO)</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 Therapeutics, Inc. (RAPT)</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Butterfly Network, Inc. (BFLY)</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Senseonics Holdings Inc. (SENS)</w:t>
            </w:r>
            <w:r>
              <w:rPr>
                <w:rFonts w:ascii="Times New Roman" w:hAnsi="Times New Roman"/>
                <w:color w:val="000000"/>
                <w:sz w:val="13"/>
              </w:rPr>
              <w:t>(1)</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Codexis, Inc. (CDXS)</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SI-BONE, Inc. (SIBN)</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Hyperfine Inc. (HYPR)</w:t>
            </w:r>
            <w:r>
              <w:rPr>
                <w:rFonts w:ascii="Times New Roman" w:hAnsi="Times New Roman"/>
                <w:color w:val="000000"/>
                <w:sz w:val="13"/>
              </w:rPr>
              <w:t>(1)</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 (LAB)</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 (KOD)</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X4 Pharmaceuticals Inc. (XFOR)</w:t>
            </w:r>
            <w:r>
              <w:rPr>
                <w:rFonts w:ascii="Times New Roman" w:hAnsi="Times New Roman"/>
                <w:color w:val="000000"/>
                <w:sz w:val="13"/>
              </w:rPr>
              <w:t>(1)</w:t>
            </w:r>
            <w:r>
              <w:rPr>
                <w:rFonts w:ascii="Times New Roman" w:hAnsi="Times New Roman"/>
                <w:color w:val="000000"/>
                <w:sz w:val="20"/>
              </w:rPr>
              <w:t xml:space="preserve"> </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2"/>
              </w:rPr>
              <w:t>(1)</w:t>
            </w:r>
            <w:r>
              <w:rPr>
                <w:rFonts w:ascii="Times New Roman" w:hAnsi="Times New Roman"/>
                <w:color w:val="000000"/>
                <w:sz w:val="18"/>
              </w:rPr>
              <w:t> </w:t>
            </w:r>
            <w:r>
              <w:rPr>
                <w:rFonts w:ascii="Times New Roman" w:hAnsi="Times New Roman"/>
                <w:i/>
                <w:color w:val="000000"/>
                <w:sz w:val="18"/>
              </w:rPr>
              <w:t>Addition to our peer group for 2025.</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or consistency of the peer group or companies against which we compete for talent.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talent and compensation committee conducts an annual review of the peer group to ensure that the underlying criteria for peer selection remain appropriate, ensuring that we consider companies that have profiles similar to us, identifying new companies that may be appropriate for inclusion (as indicated above) and removing companies that have been acquired in the interim or that no longer satisfy the key metrics and parameters (for the peer group used for fiscal 2025, the following companies were removed for these reasons: Castle Biosciences, Nanostring Technologies, Silk Road Medical, SomaLogic, Twist Bioscience and Veracyte).</w:t>
      </w:r>
    </w:p>
    <w:p>
      <w:pPr>
        <w:pStyle w:val="TextBody"/>
        <w:bidi w:val="0"/>
        <w:spacing w:before="180" w:after="283"/>
        <w:jc w:val="left"/>
        <w:rPr>
          <w:rFonts w:ascii="Times New Roman" w:hAnsi="Times New Roman"/>
          <w:sz w:val="20"/>
        </w:rPr>
      </w:pPr>
      <w:r>
        <w:rPr>
          <w:rFonts w:ascii="Times New Roman" w:hAnsi="Times New Roman"/>
          <w:color w:val="000000"/>
          <w:sz w:val="20"/>
        </w:rPr>
        <w:t>In October 2025, the talent and compensation committee approved, with assistance from Aon, an updated peer group to inform 2026 compensation decisions. This updated peer group was comprised of the same companies as the 2025 peer group noted above, except that, in order to align with our then current company profile and parameters for our peer group, Cytek Biosciences, MaxCyte and OmniAb were added, while Aadi Bioscience</w:t>
      </w:r>
      <w:r>
        <w:rPr>
          <w:rFonts w:ascii="Arial" w:hAnsi="Arial"/>
          <w:color w:val="000000"/>
          <w:sz w:val="20"/>
        </w:rPr>
        <w:t xml:space="preserve">, </w:t>
      </w:r>
      <w:r>
        <w:rPr>
          <w:rFonts w:ascii="Times New Roman" w:hAnsi="Times New Roman"/>
          <w:color w:val="000000"/>
          <w:sz w:val="20"/>
        </w:rPr>
        <w:t>Adaptive Biotechnologies, Akoya Biosciences and Bionano Genomics were removed.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 starting point, the talent and compensation committee set target cash compensation, when considering salary and bonus potential, after reviewing varying percentiles of compensation paid to executives within our compensation peer group, with generally greater focus on the median. We may deviate from setting actual compensation levels at levels comparable to our peer group companies given that our talent and compensation committee considers other factors that it deems appropriate, including for example our executives’ experience, performance levels, scope of responsibilities, tenure, and existing vested and unvested equity holdings.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Compensation Governance Best Practices</w:t>
      </w:r>
    </w:p>
    <w:p>
      <w:pPr>
        <w:pStyle w:val="TextBody"/>
        <w:bidi w:val="0"/>
        <w:spacing w:before="60" w:after="240"/>
        <w:jc w:val="center"/>
        <w:rPr/>
      </w:pPr>
      <w:r>
        <w:rPr/>
        <w:drawing>
          <wp:inline distT="0" distB="0" distL="0" distR="0">
            <wp:extent cx="5829300" cy="2447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29300" cy="24479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The talent and compensation committee regularly reviews best practices in executive compensation and uses the following guidelines to design our compensation programs: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Maintain independent compensation committee and engage an independent compensation consultant: </w:t>
      </w:r>
      <w:r>
        <w:rPr>
          <w:rFonts w:ascii="Times New Roman" w:hAnsi="Times New Roman"/>
          <w:color w:val="000000"/>
          <w:sz w:val="20"/>
        </w:rPr>
        <w:t>It is important for our stockholders to have confidence that individuals serving on our talent and compensation committee are independent directors and that independent directors do not have a relationship with the listed Company that would impair their independence. The independence of each member of our talent and compensation committee is reviewed annually. Each member of our talent and compensation committee has been deemed to be independent in accordance with Nasdaq listing standards. Additionally, our talent and compensation committee engages its own independent compensation consultant, which provides the talent and compensation committee with valuable data regarding market compensation trends and provides guidance to the talent and compensation committee about executive compensation programs.</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Risk assessment</w:t>
      </w:r>
      <w:r>
        <w:rPr>
          <w:rFonts w:ascii="Times New Roman" w:hAnsi="Times New Roman"/>
          <w:color w:val="000000"/>
          <w:sz w:val="20"/>
        </w:rPr>
        <w:t>: We believe the structure of our executive compensation program motivates our executives to make thoughtful, appropriate decisions with measured risks balanced by appropriate rewards for the Company.</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Policy against hedging and pledging</w:t>
      </w:r>
      <w:r>
        <w:rPr>
          <w:rFonts w:ascii="Times New Roman" w:hAnsi="Times New Roman"/>
          <w:color w:val="000000"/>
          <w:sz w:val="20"/>
        </w:rPr>
        <w:t xml:space="preserve">: Our insider trading policy prohibits our executives from engaging in “hedging” or “pledging” transactions with respect to our Class A common stock. The Company annually distributes our insider trading policy for review and acknowledgment by our executive officers and other personnel. </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Clawback policy: </w:t>
      </w:r>
      <w:r>
        <w:rPr>
          <w:rFonts w:ascii="Times New Roman" w:hAnsi="Times New Roman"/>
          <w:color w:val="000000"/>
          <w:sz w:val="20"/>
        </w:rPr>
        <w:t>We maintain a Compensation Recovery Policy, to which each of our named executive officers is subject. The Policy is intended to further the Company’s pay-for-performance philosophy and to comply with applicable laws by providing rules relating to the reasonably prompt recovery of certain incentive compensation received by covered executives in the event of an accounting restatement.</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No guaranteed compensation:</w:t>
      </w:r>
      <w:r>
        <w:rPr>
          <w:color w:val="000000"/>
        </w:rPr>
        <w:t xml:space="preserve"> </w:t>
      </w:r>
      <w:r>
        <w:rPr>
          <w:rFonts w:ascii="Times New Roman" w:hAnsi="Times New Roman"/>
          <w:color w:val="000000"/>
          <w:sz w:val="20"/>
        </w:rPr>
        <w:t>Although we have signed employment agreements with each of our named executive officers, all these agreements provide for “at will” employment, and none of these agreements provides any guarantees relating to salary increases or the amounts of incentive pay or equity awards.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Reasonable severance and change in control benefits</w:t>
      </w:r>
      <w:r>
        <w:rPr>
          <w:rFonts w:ascii="Times New Roman" w:hAnsi="Times New Roman"/>
          <w:color w:val="000000"/>
          <w:sz w:val="20"/>
        </w:rPr>
        <w:t xml:space="preserve">: The change in control and severance agreement with Dr. Farokhzad and the key executive change in control and severance plan in which Mr. Horn participates does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 named executive officer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 In addition, the performance-based stock options granted to our named executive officers in 2024 do not waive performance-based requirements upon a change in control, and instead performance against the stock price goal is measured against the change in control price and the options vest if the applicable goal is met. </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 xml:space="preserve">No options granted below fair market value: </w:t>
      </w:r>
      <w:r>
        <w:rPr>
          <w:rFonts w:ascii="Times New Roman" w:hAnsi="Times New Roman"/>
          <w:color w:val="000000"/>
          <w:sz w:val="20"/>
        </w:rPr>
        <w:t>Our board and talent and compensation committee are responsible for reviewing, approving, and administering the Company’s incentive compensation plans and equity compensation plans. In its administration of the plans, the board and talent and compensation committee approve grants of stock options with per-share exercise prices that are at least 100% of the fair market value of the underlying shares on the date of grant.</w:t>
      </w:r>
    </w:p>
    <w:p>
      <w:pPr>
        <w:pStyle w:val="TextBody"/>
        <w:bidi w:val="0"/>
        <w:spacing w:before="180" w:after="283"/>
        <w:jc w:val="left"/>
        <w:rPr>
          <w:color w:val="000000"/>
        </w:rPr>
      </w:pPr>
      <w:r>
        <w:rPr>
          <w:color w:val="000000"/>
        </w:rPr>
        <w:t>•</w:t>
      </w:r>
    </w:p>
    <w:p>
      <w:pPr>
        <w:pStyle w:val="TextBody"/>
        <w:bidi w:val="0"/>
        <w:spacing w:before="180" w:after="283"/>
        <w:jc w:val="left"/>
        <w:rPr/>
      </w:pPr>
      <w:r>
        <w:rPr>
          <w:rFonts w:ascii="Times New Roman" w:hAnsi="Times New Roman"/>
          <w:b/>
          <w:color w:val="000000"/>
          <w:sz w:val="20"/>
        </w:rPr>
        <w:t>No excessive perquisites</w:t>
      </w:r>
      <w:r>
        <w:rPr>
          <w:rFonts w:ascii="Times New Roman" w:hAnsi="Times New Roman"/>
          <w:color w:val="000000"/>
          <w:sz w:val="20"/>
        </w:rPr>
        <w:t>: Personal benefits currently are not a significant component of our executive compensation program.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IV. Key Components of our Compensation Program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talent and compensation committee has developed an executive compensation program that consists of three main components. The relative mix of these components is typically weighted more on incentives, particularly long-term incentives, rather than fixed compensation. The focus on incentive compensation ensures that the interests of our executives are aligned with those of our stockholders. Our compensation program historically has been made up of the following three key compensation components:</w:t>
      </w:r>
    </w:p>
    <w:tbl>
      <w:tblPr>
        <w:tblW w:w="10205" w:type="dxa"/>
        <w:jc w:val="left"/>
        <w:tblInd w:w="0" w:type="dxa"/>
        <w:tblLayout w:type="fixed"/>
        <w:tblCellMar>
          <w:top w:w="28" w:type="dxa"/>
          <w:left w:w="28" w:type="dxa"/>
          <w:bottom w:w="28" w:type="dxa"/>
          <w:right w:w="28" w:type="dxa"/>
        </w:tblCellMar>
      </w:tblPr>
      <w:tblGrid>
        <w:gridCol w:w="2953"/>
        <w:gridCol w:w="1220"/>
        <w:gridCol w:w="6032"/>
      </w:tblGrid>
      <w:tr>
        <w:trPr/>
        <w:tc>
          <w:tcPr>
            <w:tcW w:w="2953" w:type="dxa"/>
            <w:tcBorders/>
            <w:shd w:fill="FFFFFF" w:val="clear"/>
            <w:vAlign w:val="center"/>
          </w:tcPr>
          <w:p>
            <w:pPr>
              <w:pStyle w:val="TableContents"/>
              <w:bidi w:val="0"/>
              <w:spacing w:before="0" w:after="283"/>
              <w:jc w:val="left"/>
              <w:rPr>
                <w:sz w:val="4"/>
                <w:szCs w:val="4"/>
              </w:rPr>
            </w:pPr>
            <w:r>
              <w:rPr>
                <w:sz w:val="4"/>
                <w:szCs w:val="4"/>
              </w:rPr>
            </w:r>
          </w:p>
        </w:tc>
        <w:tc>
          <w:tcPr>
            <w:tcW w:w="1220" w:type="dxa"/>
            <w:tcBorders/>
            <w:shd w:fill="FFFFFF" w:val="clear"/>
            <w:vAlign w:val="center"/>
          </w:tcPr>
          <w:p>
            <w:pPr>
              <w:pStyle w:val="TableContents"/>
              <w:bidi w:val="0"/>
              <w:spacing w:before="0" w:after="283"/>
              <w:jc w:val="left"/>
              <w:rPr>
                <w:sz w:val="4"/>
                <w:szCs w:val="4"/>
              </w:rPr>
            </w:pPr>
            <w:r>
              <w:rPr>
                <w:sz w:val="4"/>
                <w:szCs w:val="4"/>
              </w:rPr>
            </w:r>
          </w:p>
        </w:tc>
        <w:tc>
          <w:tcPr>
            <w:tcW w:w="6032" w:type="dxa"/>
            <w:tcBorders/>
            <w:shd w:fill="FFFFFF" w:val="clear"/>
            <w:vAlign w:val="center"/>
          </w:tcPr>
          <w:p>
            <w:pPr>
              <w:pStyle w:val="TableContents"/>
              <w:bidi w:val="0"/>
              <w:spacing w:before="0" w:after="283"/>
              <w:jc w:val="left"/>
              <w:rPr>
                <w:sz w:val="4"/>
                <w:szCs w:val="4"/>
              </w:rPr>
            </w:pPr>
            <w:r>
              <w:rPr>
                <w:sz w:val="4"/>
                <w:szCs w:val="4"/>
              </w:rPr>
            </w:r>
          </w:p>
        </w:tc>
      </w:tr>
      <w:tr>
        <w:trPr/>
        <w:tc>
          <w:tcPr>
            <w:tcW w:w="2953"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16"/>
              </w:rPr>
            </w:pPr>
            <w:r>
              <w:rPr>
                <w:rFonts w:ascii="Times New Roman" w:hAnsi="Times New Roman"/>
                <w:b/>
                <w:color w:val="000000"/>
                <w:sz w:val="16"/>
              </w:rPr>
              <w:t>Element</w:t>
            </w:r>
          </w:p>
        </w:tc>
        <w:tc>
          <w:tcPr>
            <w:tcW w:w="1220"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16"/>
              </w:rPr>
            </w:pPr>
            <w:r>
              <w:rPr>
                <w:rFonts w:ascii="Times New Roman" w:hAnsi="Times New Roman"/>
                <w:b/>
                <w:color w:val="000000"/>
                <w:sz w:val="16"/>
              </w:rPr>
              <w:t>Performance Period</w:t>
            </w:r>
          </w:p>
        </w:tc>
        <w:tc>
          <w:tcPr>
            <w:tcW w:w="6032"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16"/>
              </w:rPr>
            </w:pPr>
            <w:r>
              <w:rPr>
                <w:rFonts w:ascii="Times New Roman" w:hAnsi="Times New Roman"/>
                <w:b/>
                <w:color w:val="000000"/>
                <w:sz w:val="16"/>
              </w:rPr>
              <w:t>Objective</w:t>
            </w:r>
          </w:p>
        </w:tc>
      </w:tr>
      <w:tr>
        <w:trPr/>
        <w:tc>
          <w:tcPr>
            <w:tcW w:w="2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Salary</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w:t>
            </w:r>
          </w:p>
        </w:tc>
        <w:tc>
          <w:tcPr>
            <w:tcW w:w="6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Attract, retain, and reward top talent; reflects a named executive officer’s responsibilities, performance, and relevant market data.</w:t>
            </w:r>
          </w:p>
        </w:tc>
      </w:tr>
      <w:tr>
        <w:trPr/>
        <w:tc>
          <w:tcPr>
            <w:tcW w:w="2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Cash Incentives</w:t>
            </w:r>
          </w:p>
        </w:tc>
        <w:tc>
          <w:tcPr>
            <w:tcW w:w="1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w:t>
            </w:r>
          </w:p>
        </w:tc>
        <w:tc>
          <w:tcPr>
            <w:tcW w:w="60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Incentivize achievement of annual Company goals.</w:t>
            </w:r>
          </w:p>
        </w:tc>
      </w:tr>
      <w:tr>
        <w:trPr/>
        <w:tc>
          <w:tcPr>
            <w:tcW w:w="29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Equity Awards (Historically consisting of a Mix of Options and RSUs)</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Long-Term</w:t>
            </w:r>
          </w:p>
        </w:tc>
        <w:tc>
          <w:tcPr>
            <w:tcW w:w="6032"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Options incentivize the achievement of share price growth.</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closely align the interests of management and stockholders and serve as an important retention vehicle. No long-term equity awards were granted to our named executive officers in 2025.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design and implement an executive compensation program that combines both base salary, and short-term and long-term incentive elements based on annual performance objectives and long-term equity interests. The annual cash incentives and long-term equity awards elements of our executive compensation program are intended to align the interests of our executives and our shareholders. The talent and compensation committee has not, however, adopted any formal or informal policies or guidelines for allocating compensation between short-term and long-term compensation, between base salary and non-cash compensation, or among different forms of non-cash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While our usual practice is to utilize all three components of our compensation program (base salary, annual cash incentives and long term equity awards), in 2025 we chose not to grant additional long-term equity awards to the named executive officers. This decision reflects the value provided to our named executive officers through the October 2024 stock option repricing and reduction in the hurdle amounts applicable to performance-based stock options, which the Committee believed provided appropriate retention and incentives for 2025 for the named executive officers.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Base Salaries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of responsibilities, experience, and skill set. These considerations are supplemented by market data provided by the talent and compensation committee’s independent compensation consultant. In February 2025, our talent and compensation committee reviewed these annual base salary amounts and provided merit increases to our named executive officers, effective March 1, 2025.</w:t>
      </w:r>
    </w:p>
    <w:p>
      <w:pPr>
        <w:pStyle w:val="TextBody"/>
        <w:bidi w:val="0"/>
        <w:spacing w:before="180" w:after="240"/>
        <w:jc w:val="left"/>
        <w:rPr>
          <w:rFonts w:ascii="Times New Roman" w:hAnsi="Times New Roman"/>
          <w:color w:val="000000"/>
          <w:sz w:val="20"/>
        </w:rPr>
      </w:pPr>
      <w:r>
        <w:rPr>
          <w:rFonts w:ascii="Times New Roman" w:hAnsi="Times New Roman"/>
          <w:color w:val="000000"/>
          <w:sz w:val="20"/>
        </w:rPr>
        <w:t>Based on these considerations, our named executive officer’s annual base salaries for 2025 were as follows:</w:t>
      </w:r>
    </w:p>
    <w:tbl>
      <w:tblPr>
        <w:tblW w:w="9880" w:type="dxa"/>
        <w:jc w:val="left"/>
        <w:tblInd w:w="0" w:type="dxa"/>
        <w:tblLayout w:type="fixed"/>
        <w:tblCellMar>
          <w:top w:w="28" w:type="dxa"/>
          <w:left w:w="28" w:type="dxa"/>
          <w:bottom w:w="28" w:type="dxa"/>
          <w:right w:w="28" w:type="dxa"/>
        </w:tblCellMar>
      </w:tblPr>
      <w:tblGrid>
        <w:gridCol w:w="1966"/>
        <w:gridCol w:w="146"/>
        <w:gridCol w:w="146"/>
        <w:gridCol w:w="2191"/>
        <w:gridCol w:w="146"/>
        <w:gridCol w:w="146"/>
        <w:gridCol w:w="1561"/>
        <w:gridCol w:w="146"/>
        <w:gridCol w:w="146"/>
        <w:gridCol w:w="32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Annual Base Salary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Merit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Annual Base Salary </w:t>
              <w:br/>
              <w:t>(following March 2025 Merit Increases)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636,000</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529,125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540,000</w:t>
            </w:r>
          </w:p>
        </w:tc>
      </w:tr>
    </w:tbl>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Annual Cash Incentives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other employees who significantly impact our corporate results.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Annual corporate goals are developed and recommended by management to the Board of Directors. The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For each named executive officer, our talent and compensation committee sets the target bonus as a percentage of base salary, each of which remained the same for 2025 as in 2024 and is set forth below:</w:t>
      </w:r>
    </w:p>
    <w:tbl>
      <w:tblPr>
        <w:tblW w:w="6219" w:type="dxa"/>
        <w:jc w:val="left"/>
        <w:tblInd w:w="0" w:type="dxa"/>
        <w:tblLayout w:type="fixed"/>
        <w:tblCellMar>
          <w:top w:w="28" w:type="dxa"/>
          <w:left w:w="28" w:type="dxa"/>
          <w:bottom w:w="28" w:type="dxa"/>
          <w:right w:w="28" w:type="dxa"/>
        </w:tblCellMar>
      </w:tblPr>
      <w:tblGrid>
        <w:gridCol w:w="1966"/>
        <w:gridCol w:w="146"/>
        <w:gridCol w:w="146"/>
        <w:gridCol w:w="396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Target Bonus (As a Percentage of Base Salary)</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Each year, our talent and compensation committee sets the goals that will apply to that year’s executive bonuses, and the weightings attributable to such goals. The actual performance-based bonus paid, if any, is calculated by multiplying the executive’s annual base salary and target bonus percentage times percentage achievement of the applicable goals. For 2025, named executive officer bonuses were 100% based on corporate objectives, in order to focus our named executive officers on our most critical and strategic goals for the year, and the corporate objectives were divided into five categories as specified below:</w:t>
      </w:r>
    </w:p>
    <w:tbl>
      <w:tblPr>
        <w:tblW w:w="4749" w:type="dxa"/>
        <w:jc w:val="left"/>
        <w:tblInd w:w="0" w:type="dxa"/>
        <w:tblLayout w:type="fixed"/>
        <w:tblCellMar>
          <w:top w:w="28" w:type="dxa"/>
          <w:left w:w="28" w:type="dxa"/>
          <w:bottom w:w="28" w:type="dxa"/>
          <w:right w:w="28" w:type="dxa"/>
        </w:tblCellMar>
      </w:tblPr>
      <w:tblGrid>
        <w:gridCol w:w="3781"/>
        <w:gridCol w:w="146"/>
        <w:gridCol w:w="146"/>
        <w:gridCol w:w="67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Corporate Objectives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Objectives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Objectives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Objectives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&amp; Product Development Objectives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Organizational Objectives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general, corporate objectives are set at levels that were considered difficult to achieve, but achievable with significant effort, and if achieved at 100% would have exceeded the Company’s operational expectations for the measurement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the close of the applicable fiscal year, the talent and compensation committee evaluates whether the corporate goals overall were met, and whether there were any other factors that should be considered in determining the amount of bonus earned for the year. The talent and compensation committee evaluates whether the specified performance goals are not met and the Company’s performance throughout the year in meeting other objectives not contemplated at the beginning of the performance period. The talent and compensation committee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important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3, 2026, the talent and compensation committee evaluated our achievement of the 2025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2025. After taking into consideration performance against corporate objectives as well as successes on other key Company’s projects, the talent and compensation committee approved a 68.75% of target achievement level for our named executive officers for our 2025 corporate objectives.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Bonus payments made for 2025 performance were as follows:</w:t>
      </w:r>
    </w:p>
    <w:tbl>
      <w:tblPr>
        <w:tblW w:w="8515" w:type="dxa"/>
        <w:jc w:val="left"/>
        <w:tblInd w:w="0" w:type="dxa"/>
        <w:tblLayout w:type="fixed"/>
        <w:tblCellMar>
          <w:top w:w="28" w:type="dxa"/>
          <w:left w:w="28" w:type="dxa"/>
          <w:bottom w:w="28" w:type="dxa"/>
          <w:right w:w="28" w:type="dxa"/>
        </w:tblCellMar>
      </w:tblPr>
      <w:tblGrid>
        <w:gridCol w:w="1966"/>
        <w:gridCol w:w="146"/>
        <w:gridCol w:w="146"/>
        <w:gridCol w:w="1531"/>
        <w:gridCol w:w="146"/>
        <w:gridCol w:w="146"/>
        <w:gridCol w:w="1516"/>
        <w:gridCol w:w="146"/>
        <w:gridCol w:w="146"/>
        <w:gridCol w:w="262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2025 Target Bonus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Bonus Payout</w:t>
              <w:b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Bonus Payout (% of Target)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68.75%</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68.75%</w:t>
            </w:r>
          </w:p>
        </w:tc>
      </w:tr>
    </w:tbl>
    <w:p>
      <w:pPr>
        <w:pStyle w:val="TextBody"/>
        <w:bidi w:val="0"/>
        <w:spacing w:before="180" w:after="180"/>
        <w:jc w:val="left"/>
        <w:rPr>
          <w:rFonts w:ascii="Times New Roman" w:hAnsi="Times New Roman"/>
          <w:sz w:val="20"/>
        </w:rPr>
      </w:pPr>
      <w:r>
        <w:rPr>
          <w:rFonts w:ascii="Times New Roman" w:hAnsi="Times New Roman"/>
          <w:i/>
          <w:color w:val="000000"/>
          <w:sz w:val="20"/>
        </w:rPr>
        <w:t>2025 Annual Equity Grants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stock options have historically been a critical component of our executive compensation program, the talent and compensation committee chose not to grant new equity to our CEO or CFO, or other members of our executive team in 2025. The decision not to award new equity grants to them in 2025 was made after careful consideration of their then-current equity holdings and their participation in stock option repricing conducted in October 2024. This stock option repricing reinvigorated the retention and incentive value of our stock options and provided immediate and potential future value to our named executive officers and other members of our executive who participated. In the repricing program, the exercise prices of underwater options were reset to $2.00 per share, which was the closing price of our Class A common stock on the repricing date. The repricing program had a retention component as well, providing that if the repriced option was exercised before the expiration of an up to 18-month retention period (which ended on the earlier of: (i) April 4, 2026; (ii) a Change in Control (as defined in the 2020 Plan); and (iii) the option holder’s death or Disability (as defined in the 2020 Plan)), in order to exercise the option, the option holder would have to pay a premium exercise price equal to the original exercise price of the option. In addition, certain option awards granted in 2023, including options covering 650,000 shares held by our CEO and options covering 140,000 shares held by our CFO, with a performance-based vesting condition based on the Company’s achieving a stock price of $6.89 were amended to reduce the stock price hurdle amount to $3.00 per share (which was 150% of then-current fair market value). Given these refreshed equity arrangements, the talent and compensation committee believed that no additional compensation in the form of equity was necessary in 2025 to meet the compensation goals for our named executive officers.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repriced options for our named executive officers were as follows:</w:t>
      </w:r>
    </w:p>
    <w:tbl>
      <w:tblPr>
        <w:tblW w:w="9768" w:type="dxa"/>
        <w:jc w:val="left"/>
        <w:tblInd w:w="0" w:type="dxa"/>
        <w:tblLayout w:type="fixed"/>
        <w:tblCellMar>
          <w:top w:w="28" w:type="dxa"/>
          <w:left w:w="28" w:type="dxa"/>
          <w:bottom w:w="28" w:type="dxa"/>
          <w:right w:w="28" w:type="dxa"/>
        </w:tblCellMar>
      </w:tblPr>
      <w:tblGrid>
        <w:gridCol w:w="1801"/>
        <w:gridCol w:w="3361"/>
        <w:gridCol w:w="4606"/>
      </w:tblGrid>
      <w:tr>
        <w:trPr/>
        <w:tc>
          <w:tcPr>
            <w:tcW w:w="1801" w:type="dxa"/>
            <w:tcBorders/>
            <w:shd w:fill="FFFFFF" w:val="clear"/>
            <w:vAlign w:val="center"/>
          </w:tcPr>
          <w:p>
            <w:pPr>
              <w:pStyle w:val="TableContents"/>
              <w:bidi w:val="0"/>
              <w:spacing w:before="0" w:after="283"/>
              <w:jc w:val="left"/>
              <w:rPr>
                <w:sz w:val="4"/>
                <w:szCs w:val="4"/>
              </w:rPr>
            </w:pPr>
            <w:r>
              <w:rPr>
                <w:sz w:val="4"/>
                <w:szCs w:val="4"/>
              </w:rPr>
            </w:r>
          </w:p>
        </w:tc>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4606" w:type="dxa"/>
            <w:tcBorders/>
            <w:shd w:fill="FFFFFF" w:val="clear"/>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color w:val="000000"/>
                <w:sz w:val="18"/>
              </w:rPr>
            </w:pPr>
            <w:r>
              <w:rPr>
                <w:rFonts w:ascii="Times New Roman" w:hAnsi="Times New Roman"/>
                <w:b/>
                <w:color w:val="000000"/>
                <w:sz w:val="18"/>
              </w:rPr>
              <w:t>Name</w:t>
            </w:r>
          </w:p>
        </w:tc>
        <w:tc>
          <w:tcPr>
            <w:tcW w:w="336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Original Exercise Prices Per Share (Range)</w:t>
            </w:r>
          </w:p>
        </w:tc>
        <w:tc>
          <w:tcPr>
            <w:tcW w:w="460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Aggregate Number of Shares Subject to Repriced Options</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Omid Farokhzad, M.D.</w:t>
            </w:r>
          </w:p>
        </w:tc>
        <w:tc>
          <w:tcPr>
            <w:tcW w:w="3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$2.70 to $60.15</w:t>
            </w:r>
          </w:p>
        </w:tc>
        <w:tc>
          <w:tcPr>
            <w:tcW w:w="4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2,732,470</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Horn</w:t>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$2.70 to $60.15</w:t>
            </w:r>
          </w:p>
        </w:tc>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1,140,454</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expect that in future years, stock options will again function as a critical component of our executive compensation program, as the granting of stock options is consistent with our peer companies, links executive pay to stockholder return, motivates our named executive officers’ performance toward our long-term success, and encourages our executive officers to continue their employment with us.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283"/>
        <w:jc w:val="left"/>
        <w:rPr>
          <w:rFonts w:ascii="Times New Roman" w:hAnsi="Times New Roman"/>
          <w:sz w:val="20"/>
        </w:rPr>
      </w:pPr>
      <w:r>
        <w:rPr>
          <w:rFonts w:ascii="Times New Roman" w:hAnsi="Times New Roman"/>
          <w:b/>
          <w:color w:val="000000"/>
          <w:sz w:val="20"/>
        </w:rPr>
        <w:t>V. Additional Compensation Policies and Practices</w:t>
      </w:r>
      <w:r>
        <w:rPr>
          <w:rFonts w:ascii="Times New Roman" w:hAnsi="Times New Roman"/>
          <w:color w:val="000000"/>
          <w:sz w:val="20"/>
        </w:rPr>
        <w:t xml:space="preserve">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Employment and Other Service Arrangements with our Named Executive Officers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Each of our named executive officers has executed our standard form of confidential information, invention assignment and arbitration agreement.</w:t>
      </w:r>
    </w:p>
    <w:p>
      <w:pPr>
        <w:pStyle w:val="TextBody"/>
        <w:bidi w:val="0"/>
        <w:jc w:val="left"/>
        <w:rPr>
          <w:rFonts w:ascii="Times New Roman" w:hAnsi="Times New Roman"/>
          <w:color w:val="000000"/>
          <w:sz w:val="20"/>
        </w:rPr>
      </w:pPr>
      <w:r>
        <w:rPr>
          <w:rFonts w:ascii="Times New Roman" w:hAnsi="Times New Roman"/>
          <w:color w:val="000000"/>
          <w:sz w:val="20"/>
        </w:rPr>
        <w:t>For Dr. Farokhzad, his employment letter provides for reimbursement of reasonable travel and lodging expenses incurred by him for his travel between his primary residence and our office in Redwood City, California, as well as for additional payments sufficient to make such reimbursements tax neutral to Dr. Farokhzad.</w:t>
      </w:r>
    </w:p>
    <w:p>
      <w:pPr>
        <w:pStyle w:val="TextBody"/>
        <w:bidi w:val="0"/>
        <w:spacing w:before="180" w:after="180"/>
        <w:jc w:val="left"/>
        <w:rPr>
          <w:rFonts w:ascii="Times New Roman" w:hAnsi="Times New Roman"/>
          <w:sz w:val="20"/>
        </w:rPr>
      </w:pPr>
      <w:r>
        <w:rPr>
          <w:rFonts w:ascii="Times New Roman" w:hAnsi="Times New Roman"/>
          <w:i/>
          <w:color w:val="000000"/>
          <w:sz w:val="20"/>
        </w:rPr>
        <w:t>Severance Benefits, including Change in Control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connection with our initial public offering, we adopted the Severance Plan, in which Mr. Horn participates. In addition, Dr. Farokhzad is subject to the Severance Agreement, which provides for certain severance and change in control benefits.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offer the severance and other termination benefits, to the named executive officers under these arrangements if their employment is terminated without cause or they resign for good reason in certain circumstances, both within and outside the context of a change in control,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income and benefits. We believe the level of severance and change in control benefits provided is appropriate and is necessary to attract and retain key employees.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arrangements are described more fully under the section of this Amended Report entitled “CEO Change in Control and Severance Agreement” (with respect to Dr. Farokhzad’s agreement) and “Key Executive Change in Control and Severance Plan” (with respect to the arrangement for Mr. Horn).</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sz w:val="20"/>
        </w:rPr>
      </w:pPr>
      <w:r>
        <w:rPr>
          <w:rFonts w:ascii="Times New Roman" w:hAnsi="Times New Roman"/>
          <w:i/>
          <w:color w:val="000000"/>
          <w:sz w:val="20"/>
        </w:rPr>
        <w:t>Certain Broad-based Employee Benefits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Personal benefits currently are not a significant component of our executive compensation program. Accordingly,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duties, to enable him or her to achieve greater work efficiency or effectiveness, or to recruit or retain him or her. Please see “Employment and Other Service Arrangements with our Named Executive Officers” above for a discussion of certain travel and lodging reimbursements we have provided to Dr. Farokhzad. </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Hedging and Pledging Policies; Stock Ownership Guidelines</w:t>
      </w:r>
    </w:p>
    <w:p>
      <w:pPr>
        <w:pStyle w:val="TextBody"/>
        <w:bidi w:val="0"/>
        <w:jc w:val="left"/>
        <w:rPr>
          <w:rFonts w:ascii="Times New Roman" w:hAnsi="Times New Roman"/>
          <w:color w:val="000000"/>
          <w:sz w:val="20"/>
        </w:rPr>
      </w:pPr>
      <w:r>
        <w:rPr>
          <w:rFonts w:ascii="Times New Roman" w:hAnsi="Times New Roman"/>
          <w:color w:val="000000"/>
          <w:sz w:val="20"/>
        </w:rPr>
        <w:t xml:space="preserve">Our insider trading policy prohibits our executives from engaging in “hedging” or “pledging” transactions with respect to our Class A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 </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Compensation Recovery (“Clawback”) Policy</w:t>
      </w:r>
    </w:p>
    <w:p>
      <w:pPr>
        <w:pStyle w:val="TextBody"/>
        <w:bidi w:val="0"/>
        <w:jc w:val="left"/>
        <w:rPr>
          <w:rFonts w:ascii="Times New Roman" w:hAnsi="Times New Roman"/>
          <w:color w:val="000000"/>
          <w:sz w:val="20"/>
        </w:rPr>
      </w:pPr>
      <w:r>
        <w:rPr>
          <w:rFonts w:ascii="Times New Roman" w:hAnsi="Times New Roman"/>
          <w:color w:val="000000"/>
          <w:sz w:val="20"/>
        </w:rPr>
        <w:t>On November 14, 2023, the talent and compensation committee adopted the clawback policy (the Clawback Policy). The Clawback Policy is intended to comply with Section 10D of the Exchange Act, with Exchange Act Rule 10D-1 and with the listing standards of Nasdaq, and to further the Company’s pay-for-performance philosophy by providing rules relating to the reasonably prompt recovery of certain incentive-based compensation received by Covered Executives (as defined in the policy), which includes our named executive officers, in the event of an Accounting Restatement (as defined in the policy). The application of the Clawback Policy to Covered Executives is not discretionary, except to the limited extent permitted by Exchange Act rules and Nasdaq listing standards, and applies without regard to whether a Covered Executive was at fault.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Oficer and Chief Financial Officer may be legally required to reimburse us for any bonus or incentive-based or equity-based compensation they receive. Our 2020 Equity Incentive Plan provides that awards granted under it are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adopted insider trading policies and procedures that govern the purchase, sale and other disposition of our securities by directors, officers and employees that we believe are reasonably designed to promote compliance with insider trading laws, rules and regulations and any applicable listing standards. A copy of our insider trading policy was filed as an exhibit to our Annual Report on Form 10-K for the year ended December 31, 2025, filed with the Securities and Exchange Commission on March 2, 2026. We comply with insider trading laws, rules and regulations and any applicable listing standards in any transactions involving our own securities.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Policies and Practices Related to the Grant of Certain Equity Awards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take material nonpublic information into account when determining the timing or terms of executive awards, and we have not timed the disclosure of material nonpublic information for the purpose of affecting the value of executive compensation.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Accounting and Tax Consideration and Treatment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2025 fiscal year, the Company generally is eligible to receive a federal income tax deduction for compensation paid to our CEO and certain other current and former executives only for the amount that is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6" w:name="item_12_security_ownership_of_certain"/>
      <w:bookmarkEnd w:id="6"/>
      <w:r>
        <w:rPr>
          <w:rFonts w:ascii="Times New Roman" w:hAnsi="Times New Roman"/>
          <w:b/>
          <w:color w:val="000000"/>
          <w:sz w:val="20"/>
        </w:rPr>
        <w:t>Item 12. Security Ownership of Certain Beneficial Owners and Management and Related Stockholder Matters</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Class A common stock as of March 31, 2026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 and nominees for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current directors and executive officers as a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known by us to be the beneficial owner of more than 5% of our Class A common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based our calculation of the percentage of beneficial ownership on 55,065,984 shares of our Class A common stock outstanding as of March 31, 2026. We have deemed shares of our Class A common stock subject to stock options that are currently exercisable or exercisable within 60 days of March 31,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Seer, Inc. 3800 Bridge Parkway, Suite 102, Redwood City, California 94065.</w:t>
      </w:r>
    </w:p>
    <w:tbl>
      <w:tblPr>
        <w:tblW w:w="8873" w:type="dxa"/>
        <w:jc w:val="left"/>
        <w:tblInd w:w="0" w:type="dxa"/>
        <w:tblLayout w:type="fixed"/>
        <w:tblCellMar>
          <w:top w:w="28" w:type="dxa"/>
          <w:left w:w="28" w:type="dxa"/>
          <w:bottom w:w="28" w:type="dxa"/>
          <w:right w:w="28" w:type="dxa"/>
        </w:tblCellMar>
      </w:tblPr>
      <w:tblGrid>
        <w:gridCol w:w="4921"/>
        <w:gridCol w:w="146"/>
        <w:gridCol w:w="229"/>
        <w:gridCol w:w="1629"/>
        <w:gridCol w:w="229"/>
        <w:gridCol w:w="229"/>
        <w:gridCol w:w="229"/>
        <w:gridCol w:w="732"/>
        <w:gridCol w:w="229"/>
        <w:gridCol w:w="300"/>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Shares Beneficially Owned</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Omid Farokhzad, M.D.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6,918,732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Horn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1,422,515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Meeta Gulyani</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Langer, Sc.D.</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1,209,587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Terrance McGuire</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643,950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Dipchand (Deep) Nishar</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122,300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Isaac Ro</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Nicolas Roelofs, Ph.D.</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executive officers and directors as a group (8 persons)</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10,534,834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SoftBank SB Global Advisers Limited</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5,135,383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aMoon Growth Fund Limited Partnership</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4,923,196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Bradley L. Radoff and related entities and individuals</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4,277,528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Invus Public Equities, LP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4,195,185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20"/>
        <w:jc w:val="left"/>
        <w:rPr>
          <w:rFonts w:ascii="Times New Roman" w:hAnsi="Times New Roman"/>
          <w:color w:val="000000"/>
          <w:sz w:val="18"/>
        </w:rPr>
      </w:pPr>
      <w:r>
        <w:rPr>
          <w:rFonts w:ascii="Times New Roman" w:hAnsi="Times New Roman"/>
          <w:color w:val="000000"/>
          <w:sz w:val="18"/>
        </w:rPr>
        <w:t>* Represents beneficial ownership of less than 1%.</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2,286,586 shares of Class A common stock held of record by Dr. Farokhzad; (ii) 2,117,138 shares of Class A shares held of record by SAF-BND Trust for which Dr. Farokhzad’s spouse serves as trustee; and (iv) 2,515,008 shares of Class A common stock subject to options exercisable within 60 days of March 31, 2026. Dr. Farokhzad disclaims beneficial ownership of the shares held by the SAF-BND Trust.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322,244 shares of Class A common stock and (ii) 1,100,271 shares of Class A common stock subject to options exercisable within 60 days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87,043 shares of Class A common stock held of record by Ms. Gulyani and (ii) 80,894 shares of Class A common stock subject to options exercisable within 60 days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784,025 shares of Class A common stock held of record by Dr. Langer, and (ii) 425,562 shares of Class A common stock subject to options exercisable within 60 days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91,566 shares of Class A common stock held of record by Mr. McGuire; (ii) 215,070 shares of Class A common stock held of record by Strong Bridge, LLC for which Mr. McGuire serves as an operating manager; (iii) 78,947 shares of Class A common stock held of record by Polaris Founders Capital Fund I, L.P. for which Mr. McGuire serves as general partner of the managing member and (iv) 258,367 shares of Class A common stock subject to options exercisable within 60 days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27,925 shares of Class A common stock held of record by Mr. Nishar and (ii) 94,375 shares of Class A common stock subject to options exercisable within 60 days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Ro joined our board of directors in September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(i) 26,656 shares of Class A common stock held of record by Dr. Roelofs and (ii) 23,157 shares of Class A common stock subject to options exercisable within 60 days of March 31,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Includes (i) 6,037,200 shares of Class A common stock beneficially owned by our current executive officers and directors and (ii) 4,497,634 shares of Class A common stock subject to options exercisable within 60 days of March 31, 2026 and held by our current executive officers and directors.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Persons is 251 Little Falls Drive, Wilmington, DE 19808.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the information reported on a Schedule 13D/A filed by Bradley L. Radoff with the SEC on April 13, 2026, Mr. Radoff holds sole voting and dispositive power with respect to 2,610,232 shares of common stock held directly by Mr. Radoff and shared voting power with respect to 500,000 shares of common stock held by the Radoff Family Foundation for which Mr. Radoff serves as a director. Michael Torok holds sole voting and dispositive power with respect to 285,000 shares of common stock held directly by Mr. Torok and shared voting and dispositive power with respect to 1,382,296 shares of common stock of which 1,167,296 shares are held by JEC II Associates, LLC for which Mr. Torok serves as Manager (“JEC II”) and 215,000 shares are held by the MOS Trust for which MOS PTC, LLC (“MOS PTC”) is trustee. Each reporting person may be deemed to be a member of a "group" with the other reporting persons for the purposes of Section 13(d)(3) of the Securities Exchange Act of 1934, as amended. The address for Mr. Radoff and the Radoff Family Foundation is 2727 Kirby Drive, Unit 29L, Houston, Texas 77098. The address for JEC II and Mr. Torok is 68 Mazzeo Drive, Randolph, Massachusetts 02368. The address for MOS Trust and MOS PTC is 270 W. Pearl, Suite 103, Jackson, Wyoming 83001. Based on this Schedule 13D/A, there have been no transactions in the Company’s securities by Bradley L.Radoff and the related entities and individuals since the filing of a Schedule 13D/A by Bradley L. Radoff with the SEC on March 2, 2026.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the information reported by Invus Public Equities, L.P. (Invus Public Equities) on a Schedule 13G/A filed with the SEC on August 2, 2024, Invus Public Equities holds sole voting and dispositive power with respect to 4,195,185 shares of Class A common stock, Invus Public Equities Advisors, LLC, the general partner of Invus Public Equities, may be deemed to beneficially own the shares held by Invus Public Equities. Invus Global Management, LLC (Global Management), the managing member of Invus PE Advisors, may be deemed to beneficially own the shares of Class A common stock that Invus PE Advisors may be deemed to beneficially own. Siren, L.L.C. (Siren), as the managing member of Global Management, may be deemed to beneficially own the shares of Class A common stock that Global Management may be deemed to beneficially own. Mr. Raymond Debbane, as the managing member of Siren, controls Siren and, accordingly, may be deemed to beneficially own the shares of Class A common stock that Siren may be deemed to beneficially own. On July 25, 2024, in connection with an internal reorganization, Global Management replaced the Geneva branch of Artal International as the managing member of Invus Public Equities Advisors. Siren is the managing member Global Management and Mr. Raymond Debbane is the managing member of Siren. Accordingly, Artal International, Artal International Management, Artal Group, Westend, the Stichting and Mr. Amaury Wittouck are no longer deemed to beneficially own the shares of Class A common stock that Invus Public Equities may be deemed to beneficially own. The address for Invus Public Equities, Invus Public Advisors, Global Management, Siren and Raymond Debbane is 750 Lexington Avenue, 30th Floor, New York, New York 10022.</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provides information as of December 31, 2025 with respect to shares of our Class A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998"/>
        <w:gridCol w:w="146"/>
        <w:gridCol w:w="2529"/>
        <w:gridCol w:w="146"/>
        <w:gridCol w:w="1927"/>
        <w:gridCol w:w="146"/>
        <w:gridCol w:w="3313"/>
      </w:tblGrid>
      <w:tr>
        <w:trPr/>
        <w:tc>
          <w:tcPr>
            <w:tcW w:w="1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Restricted Stock Units and Rights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of Outstanding Options and Rights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the first Column) (#)</w:t>
            </w:r>
          </w:p>
        </w:tc>
      </w:tr>
      <w:tr>
        <w:trPr/>
        <w:tc>
          <w:tcPr>
            <w:tcW w:w="1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 xml:space="preserve">2017 Stock Incentive Plan </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color w:val="000000"/>
              </w:rPr>
            </w:pPr>
            <w:r>
              <w:rPr>
                <w:color w:val="000000"/>
              </w:rPr>
              <w:t>—</w:t>
            </w:r>
          </w:p>
        </w:tc>
      </w:tr>
      <w:tr>
        <w:trPr/>
        <w:tc>
          <w:tcPr>
            <w:tcW w:w="1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 xml:space="preserve">2020 Equity Incentive Plan </w:t>
            </w: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16,045,140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3,591,506</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 xml:space="preserve">2020 Employee Stock Purchase Plan </w:t>
            </w:r>
            <w:r>
              <w:rPr>
                <w:rFonts w:ascii="Times New Roman" w:hAnsi="Times New Roman"/>
                <w:i/>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2,026,531</w:t>
            </w:r>
          </w:p>
        </w:tc>
      </w:tr>
      <w:tr>
        <w:trPr/>
        <w:tc>
          <w:tcPr>
            <w:tcW w:w="1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 xml:space="preserve">2020 RSU Equity Incentive Plan </w:t>
            </w:r>
            <w:r>
              <w:rPr>
                <w:rFonts w:ascii="Times New Roman" w:hAnsi="Times New Roman"/>
                <w:i/>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16,045,140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5,618,037</w:t>
            </w:r>
          </w:p>
        </w:tc>
      </w:tr>
    </w:tbl>
    <w:p>
      <w:pPr>
        <w:pStyle w:val="TextBody"/>
        <w:bidi w:val="0"/>
        <w:spacing w:before="18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120"/>
        <w:jc w:val="left"/>
        <w:rPr>
          <w:rFonts w:ascii="Times New Roman" w:hAnsi="Times New Roman"/>
          <w:color w:val="000000"/>
          <w:sz w:val="18"/>
        </w:rPr>
      </w:pPr>
      <w:r>
        <w:rPr>
          <w:rFonts w:ascii="Times New Roman" w:hAnsi="Times New Roman"/>
          <w:color w:val="000000"/>
          <w:sz w:val="18"/>
        </w:rPr>
        <w:t xml:space="preserve">Our board of directors adopted, and our stockholders approved,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Class A common stock subject to such awards will become available for issuance under the 2020 Plan.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Class A common stock on the last day of the immediately preceding fiscal year or (iii) such other amount as our board of directors may determine.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Class A common stock on the last day of the immediately preceding fiscal year or (iii) such other amount as may be determined by our board of directors.</w:t>
      </w:r>
    </w:p>
    <w:p>
      <w:pPr>
        <w:pStyle w:val="TextBody"/>
        <w:bidi w:val="0"/>
        <w:spacing w:before="0" w:after="18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180"/>
        <w:jc w:val="left"/>
        <w:rPr>
          <w:rFonts w:ascii="Times New Roman" w:hAnsi="Times New Roman"/>
          <w:color w:val="000000"/>
          <w:sz w:val="18"/>
        </w:rPr>
      </w:pPr>
      <w:r>
        <w:rPr>
          <w:rFonts w:ascii="Times New Roman" w:hAnsi="Times New Roman"/>
          <w:color w:val="000000"/>
          <w:sz w:val="18"/>
        </w:rPr>
        <w:t xml:space="preserve">Our board of directors adopted, and our stockholders approved, the RSU Plan. In connection with our initial public offering, we no longer grant awards under the RSU Plan; however, all outstanding restricted stock units (RSUs) issued pursuant to the RSU Plan continue to be governed by their existing terms.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7" w:name="item_13_certain_relationships"/>
      <w:bookmarkEnd w:id="7"/>
      <w:r>
        <w:rPr>
          <w:rFonts w:ascii="Times New Roman" w:hAnsi="Times New Roman"/>
          <w:b/>
          <w:color w:val="000000"/>
          <w:sz w:val="20"/>
        </w:rPr>
        <w:t>Item 13. Certain Relationships and Related Transactions, and Director Independence</w:t>
      </w:r>
    </w:p>
    <w:p>
      <w:pPr>
        <w:pStyle w:val="TextBody"/>
        <w:bidi w:val="0"/>
        <w:jc w:val="left"/>
        <w:rPr>
          <w:rFonts w:ascii="Times New Roman" w:hAnsi="Times New Roman"/>
          <w:color w:val="000000"/>
          <w:sz w:val="20"/>
        </w:rPr>
      </w:pPr>
      <w:r>
        <w:rPr>
          <w:rFonts w:ascii="Times New Roman" w:hAnsi="Times New Roman"/>
          <w:color w:val="000000"/>
          <w:sz w:val="20"/>
        </w:rPr>
        <w:t>We describe below transactions and series of similar transactions in our last two fiscal years to which we were a party or will be a party, in which:</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have granted stock options and RSUs to our executive officers and certain of our directors. See the sections titled “Executive Compensation - Outstanding Equity Awards at Fiscal Year-End” and “Director Compensation” for a description of these stock incentive awards.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2023, we were party to an amended and restated investors’ rights agreement (IRA), dated as of December 9, 2020, which provided,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than as described above under this section titled “Certain Relationships and Related Transactions, and Director Independence” since January 1, 2023,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Class A common stock, in each case since the beginning of the most recently completed year, and any of their immediate family members. Our audit committee charter provides that our audit committee shall review and approve or disapprove any related party transactions.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80" w:after="180"/>
        <w:jc w:val="left"/>
        <w:rPr>
          <w:rFonts w:ascii="Times New Roman" w:hAnsi="Times New Roman"/>
          <w:b/>
          <w:color w:val="000000"/>
          <w:sz w:val="20"/>
        </w:rPr>
      </w:pPr>
      <w:bookmarkStart w:id="8" w:name="item_14_principal_accounting"/>
      <w:bookmarkEnd w:id="8"/>
      <w:r>
        <w:rPr>
          <w:rFonts w:ascii="Times New Roman" w:hAnsi="Times New Roman"/>
          <w:b/>
          <w:color w:val="000000"/>
          <w:sz w:val="20"/>
        </w:rPr>
        <w:t>Item 14. Principal Accounting Fees and Services</w:t>
      </w:r>
    </w:p>
    <w:p>
      <w:pPr>
        <w:pStyle w:val="TextBody"/>
        <w:bidi w:val="0"/>
        <w:jc w:val="left"/>
        <w:rPr>
          <w:rFonts w:ascii="Times New Roman" w:hAnsi="Times New Roman"/>
          <w:b/>
          <w:color w:val="000000"/>
          <w:sz w:val="20"/>
        </w:rPr>
      </w:pPr>
      <w:r>
        <w:rPr>
          <w:rFonts w:ascii="Times New Roman" w:hAnsi="Times New Roman"/>
          <w:b/>
          <w:color w:val="000000"/>
          <w:sz w:val="20"/>
        </w:rPr>
        <w:t>Fees Paid to the Independent Registered Public Accounting Firm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fees for professional audit services and other services rendered to us by Deloitte &amp; Touche LLP for our fiscal years ended December 31, 2025 and 2024. </w:t>
      </w:r>
    </w:p>
    <w:tbl>
      <w:tblPr>
        <w:tblW w:w="3185" w:type="dxa"/>
        <w:jc w:val="left"/>
        <w:tblInd w:w="0" w:type="dxa"/>
        <w:tblLayout w:type="fixed"/>
        <w:tblCellMar>
          <w:top w:w="28" w:type="dxa"/>
          <w:left w:w="28" w:type="dxa"/>
          <w:bottom w:w="28" w:type="dxa"/>
          <w:right w:w="28" w:type="dxa"/>
        </w:tblCellMar>
      </w:tblPr>
      <w:tblGrid>
        <w:gridCol w:w="1156"/>
        <w:gridCol w:w="211"/>
        <w:gridCol w:w="781"/>
        <w:gridCol w:w="211"/>
        <w:gridCol w:w="826"/>
      </w:tblGrid>
      <w:tr>
        <w:trPr/>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826,800</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66,774</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836,274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893,574</w:t>
            </w:r>
          </w:p>
        </w:tc>
      </w:tr>
    </w:tbl>
    <w:p>
      <w:pPr>
        <w:pStyle w:val="TextBody"/>
        <w:bidi w:val="0"/>
        <w:spacing w:before="18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180" w:after="120"/>
        <w:jc w:val="left"/>
        <w:rPr>
          <w:color w:val="000000"/>
        </w:rPr>
      </w:pPr>
      <w:r>
        <w:rPr>
          <w:color w:val="000000"/>
        </w:rPr>
        <w:t>“</w:t>
      </w:r>
      <w:r>
        <w:rPr>
          <w:rFonts w:ascii="Times New Roman" w:hAnsi="Times New Roman"/>
          <w:color w:val="000000"/>
          <w:sz w:val="18"/>
        </w:rPr>
        <w:t xml:space="preserve">Audit Fees” consist of fees billed for professional services rendered in connection with the audit of our annual financial statements and reviews of our quarterly financial statements for those fiscal years.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color w:val="000000"/>
        </w:rPr>
      </w:pPr>
      <w:r>
        <w:rPr>
          <w:color w:val="000000"/>
        </w:rPr>
        <w:t>“</w:t>
      </w:r>
      <w:r>
        <w:rPr>
          <w:rFonts w:ascii="Times New Roman" w:hAnsi="Times New Roman"/>
          <w:color w:val="000000"/>
          <w:sz w:val="18"/>
        </w:rPr>
        <w:t>Tax Fees” consist of fees billed for professional services rendered by Deloitte &amp; Touche LLP for tax compliance, tax advice and tax planning.</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Audit Committee Policy on Pre-Approval of Audit and Permissible Non-Audit Services of Independent Registered Public Accounting Firm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2025 and 2024 were pre-approved by our audit committee.</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0" w:after="180"/>
        <w:jc w:val="center"/>
        <w:rPr>
          <w:rFonts w:ascii="Times New Roman" w:hAnsi="Times New Roman"/>
          <w:b/>
          <w:color w:val="000000"/>
          <w:sz w:val="20"/>
        </w:rPr>
      </w:pPr>
      <w:bookmarkStart w:id="9" w:name="part_iv"/>
      <w:bookmarkEnd w:id="9"/>
      <w:r>
        <w:rPr>
          <w:rFonts w:ascii="Times New Roman" w:hAnsi="Times New Roman"/>
          <w:b/>
          <w:color w:val="000000"/>
          <w:sz w:val="20"/>
        </w:rPr>
        <w:t>PART IV.</w:t>
      </w:r>
    </w:p>
    <w:p>
      <w:pPr>
        <w:pStyle w:val="TextBody"/>
        <w:bidi w:val="0"/>
        <w:spacing w:before="0" w:after="180"/>
        <w:jc w:val="left"/>
        <w:rPr>
          <w:rFonts w:ascii="Times New Roman" w:hAnsi="Times New Roman"/>
          <w:sz w:val="20"/>
        </w:rPr>
      </w:pPr>
      <w:bookmarkStart w:id="10" w:name="item_15_exhibits_and_financial"/>
      <w:bookmarkEnd w:id="10"/>
      <w:r>
        <w:rPr>
          <w:rFonts w:ascii="Times New Roman" w:hAnsi="Times New Roman"/>
          <w:b/>
          <w:color w:val="000000"/>
          <w:sz w:val="20"/>
        </w:rPr>
        <w:t>Item 15. Exhibits and Financial</w:t>
      </w:r>
      <w:r>
        <w:rPr>
          <w:rFonts w:ascii="Times New Roman" w:hAnsi="Times New Roman"/>
          <w:color w:val="000000"/>
          <w:sz w:val="20"/>
        </w:rPr>
        <w:t xml:space="preserve"> </w:t>
      </w:r>
      <w:r>
        <w:rPr>
          <w:rFonts w:ascii="Times New Roman" w:hAnsi="Times New Roman"/>
          <w:b/>
          <w:color w:val="000000"/>
          <w:sz w:val="20"/>
        </w:rPr>
        <w:t>Statement Schedules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documents are filed as part of this Amended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 financial statements are filed with this Amendment. The financial statements and notes thereto were included as part of the Original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Financial statement schedules have been omitted in this Amended Report because they are not applicable, not required under the instructions or the information requested is set forth in the financial statements or related notes thereto.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Exhibits: The list of exhibits filed with this Amendment is set forth in the Exhibit Index preceding the signature page and is incorporated herein by reference or filed with this Amendment, in each case as indicated therein (numbered in accordance with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6"/>
        <w:gridCol w:w="146"/>
        <w:gridCol w:w="6406"/>
        <w:gridCol w:w="511"/>
        <w:gridCol w:w="146"/>
        <w:gridCol w:w="476"/>
        <w:gridCol w:w="146"/>
        <w:gridCol w:w="631"/>
        <w:gridCol w:w="146"/>
        <w:gridCol w:w="701"/>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89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hyperlink w:anchor="ck0001726445-ex31_3.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hyperlink w:anchor="ck0001726445-ex31_4.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11" w:name="signatures"/>
      <w:bookmarkEnd w:id="11"/>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125" w:type="dxa"/>
        <w:jc w:val="left"/>
        <w:tblInd w:w="0" w:type="dxa"/>
        <w:tblLayout w:type="fixed"/>
        <w:tblCellMar>
          <w:top w:w="28" w:type="dxa"/>
          <w:left w:w="28" w:type="dxa"/>
          <w:bottom w:w="28" w:type="dxa"/>
          <w:right w:w="28" w:type="dxa"/>
        </w:tblCellMar>
      </w:tblPr>
      <w:tblGrid>
        <w:gridCol w:w="1786"/>
        <w:gridCol w:w="146"/>
        <w:gridCol w:w="406"/>
        <w:gridCol w:w="146"/>
        <w:gridCol w:w="264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Omid Farokhzad, M.D.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12" w:name="ck0001726445-ex31_3.htm"/>
      <w:bookmarkStart w:id="13" w:name="ksck0001726445ex31_3"/>
      <w:bookmarkEnd w:id="12"/>
      <w:bookmarkEnd w:id="13"/>
      <w:r>
        <w:rPr>
          <w:rFonts w:ascii="Times New Roman" w:hAnsi="Times New Roman"/>
          <w:b/>
          <w:color w:val="000000"/>
          <w:sz w:val="20"/>
        </w:rPr>
        <w:t>Exhibit 31.3</w:t>
      </w:r>
      <w:r>
        <w:br w:type="page"/>
      </w:r>
    </w:p>
    <w:p>
      <w:pPr>
        <w:pStyle w:val="TextBody"/>
        <w:bidi w:val="0"/>
        <w:jc w:val="center"/>
        <w:rPr>
          <w:rFonts w:ascii="Times New Roman" w:hAnsi="Times New Roman"/>
          <w:b/>
          <w:color w:val="000000"/>
          <w:sz w:val="20"/>
        </w:rPr>
      </w:pPr>
      <w:bookmarkStart w:id="14" w:name="section1"/>
      <w:bookmarkEnd w:id="14"/>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have reviewed this Amendment No. 1 to the Annual Report on Form 10-K of Seer, Inc.;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4"/>
        <w:gridCol w:w="4721"/>
      </w:tblGrid>
      <w:tr>
        <w:trPr/>
        <w:tc>
          <w:tcPr>
            <w:tcW w:w="5484" w:type="dxa"/>
            <w:tcBorders/>
            <w:vAlign w:val="center"/>
          </w:tcPr>
          <w:p>
            <w:pPr>
              <w:pStyle w:val="TableContents"/>
              <w:bidi w:val="0"/>
              <w:spacing w:before="0" w:after="283"/>
              <w:jc w:val="left"/>
              <w:rPr>
                <w:sz w:val="4"/>
                <w:szCs w:val="4"/>
              </w:rPr>
            </w:pPr>
            <w:r>
              <w:rPr>
                <w:sz w:val="4"/>
                <w:szCs w:val="4"/>
              </w:rPr>
            </w:r>
          </w:p>
        </w:tc>
        <w:tc>
          <w:tcPr>
            <w:tcW w:w="4721" w:type="dxa"/>
            <w:tcBorders/>
            <w:vAlign w:val="center"/>
          </w:tcPr>
          <w:p>
            <w:pPr>
              <w:pStyle w:val="TableContents"/>
              <w:bidi w:val="0"/>
              <w:spacing w:before="0" w:after="283"/>
              <w:ind w:left="0" w:right="0" w:firstLine="4320"/>
              <w:jc w:val="left"/>
              <w:rPr>
                <w:sz w:val="4"/>
                <w:szCs w:val="4"/>
              </w:rPr>
            </w:pPr>
            <w:r>
              <w:rPr>
                <w:sz w:val="4"/>
                <w:szCs w:val="4"/>
              </w:rPr>
            </w:r>
          </w:p>
        </w:tc>
      </w:tr>
      <w:tr>
        <w:trPr/>
        <w:tc>
          <w:tcPr>
            <w:tcW w:w="5484" w:type="dxa"/>
            <w:tcBorders/>
            <w:tcMar>
              <w:top w:w="0" w:type="dxa"/>
              <w:left w:w="0" w:type="dxa"/>
              <w:bottom w:w="0" w:type="dxa"/>
              <w:right w:w="0" w:type="dxa"/>
            </w:tcMar>
            <w:vAlign w:val="center"/>
          </w:tcPr>
          <w:p>
            <w:pPr>
              <w:pStyle w:val="TableContents"/>
              <w:bidi w:val="0"/>
              <w:spacing w:before="0" w:after="283"/>
              <w:ind w:left="0" w:right="0" w:firstLine="4320"/>
              <w:jc w:val="left"/>
              <w:rPr>
                <w:rFonts w:ascii="Times New Roman" w:hAnsi="Times New Roman"/>
                <w:color w:val="000000"/>
                <w:sz w:val="20"/>
              </w:rPr>
            </w:pPr>
            <w:r>
              <w:rPr>
                <w:rFonts w:ascii="Times New Roman" w:hAnsi="Times New Roman"/>
                <w:color w:val="000000"/>
                <w:sz w:val="20"/>
              </w:rPr>
              <w:t>Date: April 30, 2026</w:t>
            </w:r>
          </w:p>
        </w:tc>
        <w:tc>
          <w:tcPr>
            <w:tcW w:w="4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5484"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5484"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Chair of the Board of Directors </w:t>
            </w:r>
          </w:p>
        </w:tc>
      </w:tr>
      <w:tr>
        <w:trPr/>
        <w:tc>
          <w:tcPr>
            <w:tcW w:w="5484" w:type="dxa"/>
            <w:tcBorders/>
            <w:tcMar>
              <w:top w:w="0" w:type="dxa"/>
              <w:left w:w="0" w:type="dxa"/>
              <w:bottom w:w="0" w:type="dxa"/>
              <w:right w:w="0" w:type="dxa"/>
            </w:tcMar>
            <w:vAlign w:val="center"/>
          </w:tcPr>
          <w:p>
            <w:pPr>
              <w:pStyle w:val="TableContents"/>
              <w:bidi w:val="0"/>
              <w:spacing w:before="0" w:after="283"/>
              <w:jc w:val="left"/>
              <w:rPr/>
            </w:pPr>
            <w:r>
              <w:rPr/>
              <w:t> </w:t>
            </w:r>
          </w:p>
        </w:tc>
        <w:tc>
          <w:tcPr>
            <w:tcW w:w="4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0"/>
        </w:rPr>
      </w:pPr>
      <w:bookmarkStart w:id="15" w:name="ck0001726445-ex31_4.htm"/>
      <w:bookmarkStart w:id="16" w:name="ksck0001726445ex31_4"/>
      <w:bookmarkEnd w:id="15"/>
      <w:bookmarkEnd w:id="16"/>
      <w:r>
        <w:rPr>
          <w:rFonts w:ascii="Times New Roman" w:hAnsi="Times New Roman"/>
          <w:b/>
          <w:color w:val="000000"/>
          <w:sz w:val="20"/>
        </w:rPr>
        <w:t>Exhibit 31.4</w:t>
      </w:r>
      <w:r>
        <w:br w:type="page"/>
      </w:r>
    </w:p>
    <w:p>
      <w:pPr>
        <w:pStyle w:val="TextBody"/>
        <w:bidi w:val="0"/>
        <w:jc w:val="center"/>
        <w:rPr>
          <w:rFonts w:ascii="Times New Roman" w:hAnsi="Times New Roman"/>
          <w:b/>
          <w:color w:val="000000"/>
          <w:sz w:val="20"/>
        </w:rPr>
      </w:pPr>
      <w:bookmarkStart w:id="17" w:name="section11"/>
      <w:bookmarkEnd w:id="17"/>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have reviewed this Amendment No. 1 to Annual Report on Form 10-K of Seer, Inc.;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283"/>
              <w:jc w:val="left"/>
              <w:rPr>
                <w:sz w:val="4"/>
                <w:szCs w:val="4"/>
              </w:rPr>
            </w:pPr>
            <w:r>
              <w:rPr>
                <w:sz w:val="4"/>
                <w:szCs w:val="4"/>
              </w:rPr>
            </w:r>
          </w:p>
        </w:tc>
        <w:tc>
          <w:tcPr>
            <w:tcW w:w="4451" w:type="dxa"/>
            <w:tcBorders/>
            <w:vAlign w:val="center"/>
          </w:tcPr>
          <w:p>
            <w:pPr>
              <w:pStyle w:val="TableContents"/>
              <w:bidi w:val="0"/>
              <w:spacing w:before="0" w:after="283"/>
              <w:ind w:left="0" w:right="0" w:firstLine="4320"/>
              <w:jc w:val="left"/>
              <w:rPr>
                <w:sz w:val="4"/>
                <w:szCs w:val="4"/>
              </w:rPr>
            </w:pPr>
            <w:r>
              <w:rPr>
                <w:sz w:val="4"/>
                <w:szCs w:val="4"/>
              </w:rPr>
            </w:r>
          </w:p>
        </w:tc>
      </w:tr>
      <w:tr>
        <w:trPr/>
        <w:tc>
          <w:tcPr>
            <w:tcW w:w="5754" w:type="dxa"/>
            <w:tcBorders/>
            <w:tcMar>
              <w:top w:w="0" w:type="dxa"/>
              <w:left w:w="0" w:type="dxa"/>
              <w:bottom w:w="0" w:type="dxa"/>
              <w:right w:w="0" w:type="dxa"/>
            </w:tcMar>
            <w:vAlign w:val="center"/>
          </w:tcPr>
          <w:p>
            <w:pPr>
              <w:pStyle w:val="TableContents"/>
              <w:bidi w:val="0"/>
              <w:spacing w:before="0" w:after="283"/>
              <w:ind w:left="0" w:right="0" w:firstLine="4320"/>
              <w:jc w:val="left"/>
              <w:rPr>
                <w:rFonts w:ascii="Times New Roman" w:hAnsi="Times New Roman"/>
                <w:color w:val="000000"/>
                <w:sz w:val="20"/>
              </w:rPr>
            </w:pPr>
            <w:r>
              <w:rPr>
                <w:rFonts w:ascii="Times New Roman" w:hAnsi="Times New Roman"/>
                <w:color w:val="000000"/>
                <w:sz w:val="20"/>
              </w:rPr>
              <w:t>Date: April 30, 2026</w:t>
            </w:r>
          </w:p>
        </w:tc>
        <w:tc>
          <w:tcPr>
            <w:tcW w:w="4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5754" w:type="dxa"/>
            <w:tcBorders/>
            <w:tcMar>
              <w:top w:w="0" w:type="dxa"/>
              <w:left w:w="0" w:type="dxa"/>
              <w:bottom w:w="0" w:type="dxa"/>
              <w:right w:w="0" w:type="dxa"/>
            </w:tcMar>
            <w:vAlign w:val="center"/>
          </w:tcPr>
          <w:p>
            <w:pPr>
              <w:pStyle w:val="TableContents"/>
              <w:bidi w:val="0"/>
              <w:spacing w:before="0" w:after="283"/>
              <w:jc w:val="left"/>
              <w:rPr/>
            </w:pPr>
            <w:r>
              <w:rPr/>
              <w:t> </w:t>
            </w:r>
          </w:p>
        </w:tc>
        <w:tc>
          <w:tcPr>
            <w:tcW w:w="4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5754" w:type="dxa"/>
            <w:tcBorders/>
            <w:tcMar>
              <w:top w:w="0" w:type="dxa"/>
              <w:left w:w="0" w:type="dxa"/>
              <w:bottom w:w="0" w:type="dxa"/>
              <w:right w:w="0" w:type="dxa"/>
            </w:tcMar>
            <w:vAlign w:val="center"/>
          </w:tcPr>
          <w:p>
            <w:pPr>
              <w:pStyle w:val="TableContents"/>
              <w:bidi w:val="0"/>
              <w:spacing w:before="0" w:after="283"/>
              <w:jc w:val="left"/>
              <w:rPr/>
            </w:pPr>
            <w:r>
              <w:rPr/>
              <w:t> </w:t>
            </w:r>
          </w:p>
        </w:tc>
        <w:tc>
          <w:tcPr>
            <w:tcW w:w="4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President</w:t>
            </w:r>
          </w:p>
        </w:tc>
      </w:tr>
      <w:tr>
        <w:trPr/>
        <w:tc>
          <w:tcPr>
            <w:tcW w:w="5754" w:type="dxa"/>
            <w:tcBorders/>
            <w:tcMar>
              <w:top w:w="0" w:type="dxa"/>
              <w:left w:w="0" w:type="dxa"/>
              <w:bottom w:w="0" w:type="dxa"/>
              <w:right w:w="0" w:type="dxa"/>
            </w:tcMar>
            <w:vAlign w:val="center"/>
          </w:tcPr>
          <w:p>
            <w:pPr>
              <w:pStyle w:val="TableContents"/>
              <w:bidi w:val="0"/>
              <w:spacing w:before="0" w:after="283"/>
              <w:jc w:val="left"/>
              <w:rPr/>
            </w:pPr>
            <w:r>
              <w:rPr/>
              <w:t> </w:t>
            </w:r>
          </w:p>
        </w:tc>
        <w:tc>
          <w:tcPr>
            <w:tcW w:w="4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25060</Words>
  <Characters>136271</Characters>
  <CharactersWithSpaces>161666</CharactersWithSpaces>
  <Paragraphs>3534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