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304165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2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79"/>
        <w:spacing w:after="0"/>
        <w:tabs>
          <w:tab w:leader="none" w:pos="200" w:val="left"/>
        </w:tabs>
        <w:rPr>
          <w:sz w:val="20"/>
          <w:szCs w:val="20"/>
          <w:color w:val="auto"/>
        </w:rPr>
      </w:pPr>
      <w:r>
        <w:rPr>
          <w:rFonts w:ascii="Times New Roman" w:cs="Times New Roman" w:eastAsia="Times New Roman" w:hAnsi="Times New Roman"/>
          <w:sz w:val="22"/>
          <w:szCs w:val="22"/>
          <w:b w:val="1"/>
          <w:bCs w:val="1"/>
          <w:color w:val="auto"/>
        </w:rPr>
        <w:t>(Amendment No.</w:t>
      </w:r>
      <w:r>
        <w:rPr>
          <w:sz w:val="20"/>
          <w:szCs w:val="20"/>
          <w:color w:val="auto"/>
        </w:rPr>
        <w:tab/>
      </w:r>
      <w:r>
        <w:rPr>
          <w:rFonts w:ascii="Times New Roman" w:cs="Times New Roman" w:eastAsia="Times New Roman" w:hAnsi="Times New Roman"/>
          <w:sz w:val="21"/>
          <w:szCs w:val="21"/>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295910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0"/>
          <w:szCs w:val="40"/>
          <w:b w:val="1"/>
          <w:bCs w:val="1"/>
          <w:color w:val="auto"/>
        </w:rPr>
        <w:t>Seer, Inc.</w:t>
      </w:r>
    </w:p>
    <w:p>
      <w:pPr>
        <w:spacing w:after="0" w:line="4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0" w:lineRule="exact"/>
        <w:rPr>
          <w:sz w:val="24"/>
          <w:szCs w:val="24"/>
          <w:color w:val="auto"/>
        </w:rPr>
      </w:pPr>
    </w:p>
    <w:p>
      <w:pPr>
        <w:spacing w:after="0" w:line="21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Class A Common Stock</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81578P 106</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200" w:lineRule="exact"/>
        <w:rPr>
          <w:sz w:val="24"/>
          <w:szCs w:val="24"/>
          <w:color w:val="auto"/>
        </w:rPr>
      </w:pPr>
    </w:p>
    <w:p>
      <w:pPr>
        <w:spacing w:after="0" w:line="20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December 8, 2020</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296545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52" w:lineRule="exact"/>
        <w:rPr>
          <w:sz w:val="24"/>
          <w:szCs w:val="24"/>
          <w:color w:val="auto"/>
        </w:rPr>
      </w:pPr>
    </w:p>
    <w:p>
      <w:pPr>
        <w:ind w:left="1420" w:hanging="439"/>
        <w:spacing w:after="0"/>
        <w:tabs>
          <w:tab w:leader="none" w:pos="1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52" w:lineRule="exact"/>
        <w:rPr>
          <w:sz w:val="24"/>
          <w:szCs w:val="24"/>
          <w:color w:val="auto"/>
        </w:rPr>
      </w:pPr>
    </w:p>
    <w:p>
      <w:pPr>
        <w:ind w:left="1420" w:hanging="439"/>
        <w:spacing w:after="0"/>
        <w:tabs>
          <w:tab w:leader="none" w:pos="142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52" w:lineRule="exact"/>
        <w:rPr>
          <w:rFonts w:ascii="MS PGothic" w:cs="MS PGothic" w:eastAsia="MS PGothic" w:hAnsi="MS PGothic"/>
          <w:sz w:val="18"/>
          <w:szCs w:val="18"/>
          <w:color w:val="auto"/>
        </w:rPr>
      </w:pPr>
    </w:p>
    <w:p>
      <w:pPr>
        <w:ind w:left="1420" w:hanging="439"/>
        <w:spacing w:after="0"/>
        <w:tabs>
          <w:tab w:leader="none" w:pos="142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52" w:lineRule="exact"/>
        <w:rPr>
          <w:rFonts w:ascii="MS PGothic" w:cs="MS PGothic" w:eastAsia="MS PGothic" w:hAnsi="MS PGothic"/>
          <w:sz w:val="18"/>
          <w:szCs w:val="18"/>
          <w:color w:val="auto"/>
        </w:rPr>
      </w:pPr>
    </w:p>
    <w:p>
      <w:pPr>
        <w:ind w:left="420" w:hanging="432"/>
        <w:spacing w:after="0" w:line="282" w:lineRule="auto"/>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132080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174625</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40"/>
          </w:cols>
          <w:pgMar w:left="440" w:top="362" w:right="5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CUSIP No. 81578P 106</w:t>
      </w:r>
    </w:p>
    <w:p>
      <w:pPr>
        <w:spacing w:after="0" w:line="144" w:lineRule="exact"/>
        <w:rPr>
          <w:sz w:val="20"/>
          <w:szCs w:val="20"/>
          <w:color w:val="auto"/>
        </w:rPr>
      </w:pPr>
    </w:p>
    <w:p>
      <w:pPr>
        <w:ind w:left="620" w:hanging="377"/>
        <w:spacing w:after="0"/>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color w:val="auto"/>
        </w:rPr>
      </w:pPr>
    </w:p>
    <w:p>
      <w:pPr>
        <w:ind w:left="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-276225</wp:posOffset>
            </wp:positionV>
            <wp:extent cx="7003415" cy="53581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03415" cy="5358130"/>
                    </a:xfrm>
                    <a:prstGeom prst="rect">
                      <a:avLst/>
                    </a:prstGeom>
                    <a:noFill/>
                  </pic:spPr>
                </pic:pic>
              </a:graphicData>
            </a:graphic>
          </wp:anchor>
        </w:drawing>
      </w:r>
    </w:p>
    <w:p>
      <w:pPr>
        <w:spacing w:after="0" w:line="2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MCV Management Company, LLC</w:t>
      </w:r>
    </w:p>
    <w:p>
      <w:pPr>
        <w:spacing w:after="0" w:line="36" w:lineRule="exact"/>
        <w:rPr>
          <w:sz w:val="20"/>
          <w:szCs w:val="20"/>
          <w:color w:val="auto"/>
        </w:rPr>
      </w:pPr>
    </w:p>
    <w:p>
      <w:pPr>
        <w:ind w:left="620" w:hanging="377"/>
        <w:spacing w:after="0"/>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 w:lineRule="exact"/>
        <w:rPr>
          <w:sz w:val="20"/>
          <w:szCs w:val="20"/>
          <w:color w:val="auto"/>
        </w:rPr>
      </w:pPr>
    </w:p>
    <w:p>
      <w:pPr>
        <w:ind w:left="620"/>
        <w:spacing w:after="0" w:line="207" w:lineRule="exact"/>
        <w:tabs>
          <w:tab w:leader="none" w:pos="140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20" w:hanging="377"/>
        <w:spacing w:after="0"/>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sz w:val="20"/>
          <w:szCs w:val="20"/>
          <w:color w:val="auto"/>
        </w:rPr>
      </w:pPr>
    </w:p>
    <w:p>
      <w:pPr>
        <w:ind w:left="620" w:hanging="377"/>
        <w:spacing w:after="0"/>
        <w:tabs>
          <w:tab w:leader="none" w:pos="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52" w:lineRule="exact"/>
        <w:rPr>
          <w:rFonts w:ascii="Times New Roman" w:cs="Times New Roman" w:eastAsia="Times New Roman" w:hAnsi="Times New Roman"/>
          <w:sz w:val="18"/>
          <w:szCs w:val="18"/>
          <w:color w:val="auto"/>
        </w:rPr>
      </w:pPr>
    </w:p>
    <w:p>
      <w:pPr>
        <w:ind w:left="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w:t>
      </w:r>
    </w:p>
    <w:p>
      <w:pPr>
        <w:spacing w:after="0" w:line="36" w:lineRule="exact"/>
        <w:rPr>
          <w:rFonts w:ascii="Times New Roman" w:cs="Times New Roman" w:eastAsia="Times New Roman" w:hAnsi="Times New Roman"/>
          <w:sz w:val="18"/>
          <w:szCs w:val="18"/>
          <w:color w:val="auto"/>
        </w:rPr>
      </w:pPr>
    </w:p>
    <w:p>
      <w:pPr>
        <w:ind w:left="18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SOLE VOTING POWER</w:t>
      </w:r>
    </w:p>
    <w:p>
      <w:pPr>
        <w:spacing w:after="0" w:line="252" w:lineRule="exact"/>
        <w:rPr>
          <w:sz w:val="20"/>
          <w:szCs w:val="20"/>
          <w:color w:val="auto"/>
        </w:rPr>
      </w:pPr>
    </w:p>
    <w:tbl>
      <w:tblPr>
        <w:tblLayout w:type="fixed"/>
        <w:tblInd w:w="240" w:type="dxa"/>
        <w:tblCellMar>
          <w:top w:w="0" w:type="dxa"/>
          <w:left w:w="0" w:type="dxa"/>
          <w:bottom w:w="0" w:type="dxa"/>
          <w:right w:w="0" w:type="dxa"/>
        </w:tblCellMar>
      </w:tblPr>
      <w:tr>
        <w:trPr>
          <w:trHeight w:val="248"/>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NUMBER OF</w:t>
            </w:r>
          </w:p>
        </w:tc>
        <w:tc>
          <w:tcPr>
            <w:tcW w:w="460" w:type="dxa"/>
            <w:vAlign w:val="bottom"/>
            <w:tcBorders>
              <w:bottom w:val="single" w:sz="8" w:color="auto"/>
            </w:tcBorders>
          </w:tcPr>
          <w:p>
            <w:pPr>
              <w:spacing w:after="0"/>
              <w:rPr>
                <w:sz w:val="21"/>
                <w:szCs w:val="21"/>
                <w:color w:val="auto"/>
              </w:rPr>
            </w:pPr>
          </w:p>
        </w:tc>
        <w:tc>
          <w:tcPr>
            <w:tcW w:w="89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2"/>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SHARES</w:t>
            </w:r>
          </w:p>
        </w:tc>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w:t>
            </w:r>
          </w:p>
        </w:tc>
        <w:tc>
          <w:tcPr>
            <w:tcW w:w="8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460" w:type="dxa"/>
            <w:vAlign w:val="bottom"/>
          </w:tcPr>
          <w:p>
            <w:pPr>
              <w:spacing w:after="0"/>
              <w:rPr>
                <w:sz w:val="18"/>
                <w:szCs w:val="18"/>
                <w:color w:val="auto"/>
              </w:rPr>
            </w:pPr>
          </w:p>
        </w:tc>
        <w:tc>
          <w:tcPr>
            <w:tcW w:w="898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5,489,063</w:t>
            </w:r>
          </w:p>
        </w:tc>
        <w:tc>
          <w:tcPr>
            <w:tcW w:w="0" w:type="dxa"/>
            <w:vAlign w:val="bottom"/>
          </w:tcPr>
          <w:p>
            <w:pPr>
              <w:spacing w:after="0"/>
              <w:rPr>
                <w:sz w:val="1"/>
                <w:szCs w:val="1"/>
                <w:color w:val="auto"/>
              </w:rPr>
            </w:pPr>
          </w:p>
        </w:tc>
      </w:tr>
      <w:tr>
        <w:trPr>
          <w:trHeight w:val="234"/>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OWNED BY</w:t>
            </w:r>
          </w:p>
        </w:tc>
        <w:tc>
          <w:tcPr>
            <w:tcW w:w="460" w:type="dxa"/>
            <w:vAlign w:val="bottom"/>
            <w:tcBorders>
              <w:bottom w:val="single" w:sz="8" w:color="auto"/>
            </w:tcBorders>
          </w:tcPr>
          <w:p>
            <w:pPr>
              <w:spacing w:after="0"/>
              <w:rPr>
                <w:sz w:val="20"/>
                <w:szCs w:val="20"/>
                <w:color w:val="auto"/>
              </w:rPr>
            </w:pPr>
          </w:p>
        </w:tc>
        <w:tc>
          <w:tcPr>
            <w:tcW w:w="89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340" w:type="dxa"/>
            <w:vAlign w:val="bottom"/>
          </w:tcPr>
          <w:p>
            <w:pPr>
              <w:jc w:val="center"/>
              <w:ind w:right="10"/>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460" w:type="dxa"/>
            <w:vAlign w:val="bottom"/>
          </w:tcPr>
          <w:p>
            <w:pPr>
              <w:jc w:val="right"/>
              <w:ind w:right="5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8980" w:type="dxa"/>
            <w:vAlign w:val="bottom"/>
          </w:tcPr>
          <w:p>
            <w:pPr>
              <w:ind w:left="16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REPORTING</w:t>
            </w:r>
          </w:p>
        </w:tc>
        <w:tc>
          <w:tcPr>
            <w:tcW w:w="460" w:type="dxa"/>
            <w:vAlign w:val="bottom"/>
          </w:tcPr>
          <w:p>
            <w:pPr>
              <w:spacing w:after="0"/>
              <w:rPr>
                <w:sz w:val="18"/>
                <w:szCs w:val="18"/>
                <w:color w:val="auto"/>
              </w:rPr>
            </w:pPr>
          </w:p>
        </w:tc>
        <w:tc>
          <w:tcPr>
            <w:tcW w:w="8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PERSON</w:t>
            </w:r>
          </w:p>
        </w:tc>
        <w:tc>
          <w:tcPr>
            <w:tcW w:w="460" w:type="dxa"/>
            <w:vAlign w:val="bottom"/>
          </w:tcPr>
          <w:p>
            <w:pPr>
              <w:spacing w:after="0"/>
              <w:rPr>
                <w:sz w:val="19"/>
                <w:szCs w:val="19"/>
                <w:color w:val="auto"/>
              </w:rPr>
            </w:pPr>
          </w:p>
        </w:tc>
        <w:tc>
          <w:tcPr>
            <w:tcW w:w="8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134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w w:val="99"/>
              </w:rPr>
              <w:t>WITH:</w:t>
            </w:r>
          </w:p>
        </w:tc>
        <w:tc>
          <w:tcPr>
            <w:tcW w:w="460" w:type="dxa"/>
            <w:vAlign w:val="bottom"/>
            <w:tcBorders>
              <w:bottom w:val="single" w:sz="8" w:color="auto"/>
            </w:tcBorders>
          </w:tcPr>
          <w:p>
            <w:pPr>
              <w:spacing w:after="0"/>
              <w:rPr>
                <w:sz w:val="5"/>
                <w:szCs w:val="5"/>
                <w:color w:val="auto"/>
              </w:rPr>
            </w:pPr>
          </w:p>
        </w:tc>
        <w:tc>
          <w:tcPr>
            <w:tcW w:w="8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340" w:type="dxa"/>
            <w:vAlign w:val="bottom"/>
            <w:vMerge w:val="continue"/>
          </w:tcPr>
          <w:p>
            <w:pPr>
              <w:spacing w:after="0"/>
              <w:rPr>
                <w:sz w:val="12"/>
                <w:szCs w:val="12"/>
                <w:color w:val="auto"/>
              </w:rPr>
            </w:pPr>
          </w:p>
        </w:tc>
        <w:tc>
          <w:tcPr>
            <w:tcW w:w="4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898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134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8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color w:val="auto"/>
        </w:rPr>
        <w:t>5,489,063</w:t>
      </w:r>
    </w:p>
    <w:p>
      <w:pPr>
        <w:spacing w:after="0" w:line="36" w:lineRule="exact"/>
        <w:rPr>
          <w:sz w:val="20"/>
          <w:szCs w:val="20"/>
          <w:color w:val="auto"/>
        </w:rPr>
      </w:pPr>
    </w:p>
    <w:p>
      <w:pPr>
        <w:ind w:left="600" w:hanging="357"/>
        <w:spacing w:after="0"/>
        <w:tabs>
          <w:tab w:leader="none" w:pos="6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5,489,063</w:t>
      </w:r>
    </w:p>
    <w:p>
      <w:pPr>
        <w:spacing w:after="0" w:line="36" w:lineRule="exact"/>
        <w:rPr>
          <w:sz w:val="20"/>
          <w:szCs w:val="20"/>
          <w:color w:val="auto"/>
        </w:rPr>
      </w:pPr>
    </w:p>
    <w:p>
      <w:pPr>
        <w:ind w:left="620" w:hanging="467"/>
        <w:spacing w:after="0"/>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(9) EXCLUDES CERTAIN SHARES (SEE INSTRUCTIONS)</w:t>
      </w:r>
    </w:p>
    <w:p>
      <w:pPr>
        <w:spacing w:after="0" w:line="223" w:lineRule="exact"/>
        <w:rPr>
          <w:rFonts w:ascii="Times New Roman" w:cs="Times New Roman" w:eastAsia="Times New Roman" w:hAnsi="Times New Roman"/>
          <w:sz w:val="18"/>
          <w:szCs w:val="18"/>
          <w:color w:val="auto"/>
        </w:rPr>
      </w:pPr>
    </w:p>
    <w:p>
      <w:pPr>
        <w:ind w:left="62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20" w:right="5460" w:hanging="467"/>
        <w:spacing w:after="0" w:line="400" w:lineRule="auto"/>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10.3%</w:t>
      </w:r>
    </w:p>
    <w:p>
      <w:pPr>
        <w:ind w:left="620" w:right="6080" w:hanging="467"/>
        <w:spacing w:after="0" w:line="563" w:lineRule="auto"/>
        <w:tabs>
          <w:tab w:leader="none" w:pos="61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IA, OO</w:t>
      </w:r>
    </w:p>
    <w:p>
      <w:pPr>
        <w:sectPr>
          <w:pgSz w:w="11900" w:h="16838" w:orient="portrait"/>
          <w:cols w:equalWidth="0" w:num="1">
            <w:col w:w="11020"/>
          </w:cols>
          <w:pgMar w:left="440" w:top="270" w:right="4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CUSIP No. 81578P 106</w:t>
      </w:r>
    </w:p>
    <w:p>
      <w:pPr>
        <w:spacing w:after="0" w:line="144" w:lineRule="exact"/>
        <w:rPr>
          <w:sz w:val="20"/>
          <w:szCs w:val="20"/>
          <w:color w:val="auto"/>
        </w:rPr>
      </w:pPr>
    </w:p>
    <w:p>
      <w:pPr>
        <w:ind w:left="620" w:hanging="377"/>
        <w:spacing w:after="0"/>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color w:val="auto"/>
        </w:rPr>
      </w:pPr>
    </w:p>
    <w:p>
      <w:pPr>
        <w:ind w:left="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-276225</wp:posOffset>
            </wp:positionV>
            <wp:extent cx="7003415" cy="53574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03415" cy="5357495"/>
                    </a:xfrm>
                    <a:prstGeom prst="rect">
                      <a:avLst/>
                    </a:prstGeom>
                    <a:noFill/>
                  </pic:spPr>
                </pic:pic>
              </a:graphicData>
            </a:graphic>
          </wp:anchor>
        </w:drawing>
      </w:r>
    </w:p>
    <w:p>
      <w:pPr>
        <w:spacing w:after="0" w:line="2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Maverick Capital Management, LLC</w:t>
      </w:r>
    </w:p>
    <w:p>
      <w:pPr>
        <w:spacing w:after="0" w:line="36" w:lineRule="exact"/>
        <w:rPr>
          <w:sz w:val="20"/>
          <w:szCs w:val="20"/>
          <w:color w:val="auto"/>
        </w:rPr>
      </w:pPr>
    </w:p>
    <w:p>
      <w:pPr>
        <w:ind w:left="620" w:hanging="377"/>
        <w:spacing w:after="0"/>
        <w:tabs>
          <w:tab w:leader="none" w:pos="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 w:lineRule="exact"/>
        <w:rPr>
          <w:sz w:val="20"/>
          <w:szCs w:val="20"/>
          <w:color w:val="auto"/>
        </w:rPr>
      </w:pPr>
    </w:p>
    <w:p>
      <w:pPr>
        <w:ind w:left="620"/>
        <w:spacing w:after="0" w:line="207" w:lineRule="exact"/>
        <w:tabs>
          <w:tab w:leader="none" w:pos="140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20" w:hanging="377"/>
        <w:spacing w:after="0"/>
        <w:tabs>
          <w:tab w:leader="none" w:pos="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sz w:val="20"/>
          <w:szCs w:val="20"/>
          <w:color w:val="auto"/>
        </w:rPr>
      </w:pPr>
    </w:p>
    <w:p>
      <w:pPr>
        <w:ind w:left="620" w:hanging="377"/>
        <w:spacing w:after="0"/>
        <w:tabs>
          <w:tab w:leader="none" w:pos="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52" w:lineRule="exact"/>
        <w:rPr>
          <w:rFonts w:ascii="Times New Roman" w:cs="Times New Roman" w:eastAsia="Times New Roman" w:hAnsi="Times New Roman"/>
          <w:sz w:val="18"/>
          <w:szCs w:val="18"/>
          <w:color w:val="auto"/>
        </w:rPr>
      </w:pPr>
    </w:p>
    <w:p>
      <w:pPr>
        <w:ind w:left="6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Texas</w:t>
      </w:r>
    </w:p>
    <w:p>
      <w:pPr>
        <w:spacing w:after="0" w:line="36" w:lineRule="exact"/>
        <w:rPr>
          <w:rFonts w:ascii="Times New Roman" w:cs="Times New Roman" w:eastAsia="Times New Roman" w:hAnsi="Times New Roman"/>
          <w:sz w:val="18"/>
          <w:szCs w:val="18"/>
          <w:color w:val="auto"/>
        </w:rPr>
      </w:pPr>
    </w:p>
    <w:p>
      <w:pPr>
        <w:ind w:left="18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SOLE VOTING POWER</w:t>
      </w:r>
    </w:p>
    <w:p>
      <w:pPr>
        <w:spacing w:after="0" w:line="252" w:lineRule="exact"/>
        <w:rPr>
          <w:sz w:val="20"/>
          <w:szCs w:val="20"/>
          <w:color w:val="auto"/>
        </w:rPr>
      </w:pPr>
    </w:p>
    <w:tbl>
      <w:tblPr>
        <w:tblLayout w:type="fixed"/>
        <w:tblInd w:w="240" w:type="dxa"/>
        <w:tblCellMar>
          <w:top w:w="0" w:type="dxa"/>
          <w:left w:w="0" w:type="dxa"/>
          <w:bottom w:w="0" w:type="dxa"/>
          <w:right w:w="0" w:type="dxa"/>
        </w:tblCellMar>
      </w:tblPr>
      <w:tr>
        <w:trPr>
          <w:trHeight w:val="248"/>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NUMBER OF</w:t>
            </w:r>
          </w:p>
        </w:tc>
        <w:tc>
          <w:tcPr>
            <w:tcW w:w="460" w:type="dxa"/>
            <w:vAlign w:val="bottom"/>
            <w:tcBorders>
              <w:bottom w:val="single" w:sz="8" w:color="auto"/>
            </w:tcBorders>
          </w:tcPr>
          <w:p>
            <w:pPr>
              <w:spacing w:after="0"/>
              <w:rPr>
                <w:sz w:val="21"/>
                <w:szCs w:val="21"/>
                <w:color w:val="auto"/>
              </w:rPr>
            </w:pPr>
          </w:p>
        </w:tc>
        <w:tc>
          <w:tcPr>
            <w:tcW w:w="89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2"/>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SHARES</w:t>
            </w:r>
          </w:p>
        </w:tc>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w:t>
            </w:r>
          </w:p>
        </w:tc>
        <w:tc>
          <w:tcPr>
            <w:tcW w:w="8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460" w:type="dxa"/>
            <w:vAlign w:val="bottom"/>
          </w:tcPr>
          <w:p>
            <w:pPr>
              <w:spacing w:after="0"/>
              <w:rPr>
                <w:sz w:val="18"/>
                <w:szCs w:val="18"/>
                <w:color w:val="auto"/>
              </w:rPr>
            </w:pPr>
          </w:p>
        </w:tc>
        <w:tc>
          <w:tcPr>
            <w:tcW w:w="898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5,589,063</w:t>
            </w:r>
          </w:p>
        </w:tc>
        <w:tc>
          <w:tcPr>
            <w:tcW w:w="0" w:type="dxa"/>
            <w:vAlign w:val="bottom"/>
          </w:tcPr>
          <w:p>
            <w:pPr>
              <w:spacing w:after="0"/>
              <w:rPr>
                <w:sz w:val="1"/>
                <w:szCs w:val="1"/>
                <w:color w:val="auto"/>
              </w:rPr>
            </w:pPr>
          </w:p>
        </w:tc>
      </w:tr>
      <w:tr>
        <w:trPr>
          <w:trHeight w:val="234"/>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OWNED BY</w:t>
            </w:r>
          </w:p>
        </w:tc>
        <w:tc>
          <w:tcPr>
            <w:tcW w:w="460" w:type="dxa"/>
            <w:vAlign w:val="bottom"/>
            <w:tcBorders>
              <w:bottom w:val="single" w:sz="8" w:color="auto"/>
            </w:tcBorders>
          </w:tcPr>
          <w:p>
            <w:pPr>
              <w:spacing w:after="0"/>
              <w:rPr>
                <w:sz w:val="20"/>
                <w:szCs w:val="20"/>
                <w:color w:val="auto"/>
              </w:rPr>
            </w:pPr>
          </w:p>
        </w:tc>
        <w:tc>
          <w:tcPr>
            <w:tcW w:w="89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340" w:type="dxa"/>
            <w:vAlign w:val="bottom"/>
          </w:tcPr>
          <w:p>
            <w:pPr>
              <w:jc w:val="center"/>
              <w:ind w:right="10"/>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460" w:type="dxa"/>
            <w:vAlign w:val="bottom"/>
          </w:tcPr>
          <w:p>
            <w:pPr>
              <w:jc w:val="right"/>
              <w:ind w:right="5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8980" w:type="dxa"/>
            <w:vAlign w:val="bottom"/>
          </w:tcPr>
          <w:p>
            <w:pPr>
              <w:ind w:left="16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REPORTING</w:t>
            </w:r>
          </w:p>
        </w:tc>
        <w:tc>
          <w:tcPr>
            <w:tcW w:w="460" w:type="dxa"/>
            <w:vAlign w:val="bottom"/>
          </w:tcPr>
          <w:p>
            <w:pPr>
              <w:spacing w:after="0"/>
              <w:rPr>
                <w:sz w:val="18"/>
                <w:szCs w:val="18"/>
                <w:color w:val="auto"/>
              </w:rPr>
            </w:pPr>
          </w:p>
        </w:tc>
        <w:tc>
          <w:tcPr>
            <w:tcW w:w="8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PERSON</w:t>
            </w:r>
          </w:p>
        </w:tc>
        <w:tc>
          <w:tcPr>
            <w:tcW w:w="460" w:type="dxa"/>
            <w:vAlign w:val="bottom"/>
          </w:tcPr>
          <w:p>
            <w:pPr>
              <w:spacing w:after="0"/>
              <w:rPr>
                <w:sz w:val="19"/>
                <w:szCs w:val="19"/>
                <w:color w:val="auto"/>
              </w:rPr>
            </w:pPr>
          </w:p>
        </w:tc>
        <w:tc>
          <w:tcPr>
            <w:tcW w:w="8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134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w w:val="99"/>
              </w:rPr>
              <w:t>WITH:</w:t>
            </w:r>
          </w:p>
        </w:tc>
        <w:tc>
          <w:tcPr>
            <w:tcW w:w="460" w:type="dxa"/>
            <w:vAlign w:val="bottom"/>
            <w:tcBorders>
              <w:bottom w:val="single" w:sz="8" w:color="auto"/>
            </w:tcBorders>
          </w:tcPr>
          <w:p>
            <w:pPr>
              <w:spacing w:after="0"/>
              <w:rPr>
                <w:sz w:val="5"/>
                <w:szCs w:val="5"/>
                <w:color w:val="auto"/>
              </w:rPr>
            </w:pPr>
          </w:p>
        </w:tc>
        <w:tc>
          <w:tcPr>
            <w:tcW w:w="8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340" w:type="dxa"/>
            <w:vAlign w:val="bottom"/>
            <w:vMerge w:val="continue"/>
          </w:tcPr>
          <w:p>
            <w:pPr>
              <w:spacing w:after="0"/>
              <w:rPr>
                <w:sz w:val="12"/>
                <w:szCs w:val="12"/>
                <w:color w:val="auto"/>
              </w:rPr>
            </w:pPr>
          </w:p>
        </w:tc>
        <w:tc>
          <w:tcPr>
            <w:tcW w:w="4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898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134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8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color w:val="auto"/>
        </w:rPr>
        <w:t>5,589,063</w:t>
      </w:r>
    </w:p>
    <w:p>
      <w:pPr>
        <w:spacing w:after="0" w:line="36" w:lineRule="exact"/>
        <w:rPr>
          <w:sz w:val="20"/>
          <w:szCs w:val="20"/>
          <w:color w:val="auto"/>
        </w:rPr>
      </w:pPr>
    </w:p>
    <w:p>
      <w:pPr>
        <w:ind w:left="600" w:hanging="357"/>
        <w:spacing w:after="0"/>
        <w:tabs>
          <w:tab w:leader="none" w:pos="6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5,589,063</w:t>
      </w:r>
    </w:p>
    <w:p>
      <w:pPr>
        <w:spacing w:after="0" w:line="36" w:lineRule="exact"/>
        <w:rPr>
          <w:sz w:val="20"/>
          <w:szCs w:val="20"/>
          <w:color w:val="auto"/>
        </w:rPr>
      </w:pPr>
    </w:p>
    <w:p>
      <w:pPr>
        <w:ind w:left="620" w:hanging="467"/>
        <w:spacing w:after="0"/>
        <w:tabs>
          <w:tab w:leader="none" w:pos="6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(9) EXCLUDES CERTAIN SHARES (SEE INSTRUCTIONS)</w:t>
      </w:r>
    </w:p>
    <w:p>
      <w:pPr>
        <w:spacing w:after="0" w:line="223" w:lineRule="exact"/>
        <w:rPr>
          <w:rFonts w:ascii="Times New Roman" w:cs="Times New Roman" w:eastAsia="Times New Roman" w:hAnsi="Times New Roman"/>
          <w:sz w:val="18"/>
          <w:szCs w:val="18"/>
          <w:color w:val="auto"/>
        </w:rPr>
      </w:pPr>
    </w:p>
    <w:p>
      <w:pPr>
        <w:ind w:left="62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20" w:right="5460" w:hanging="467"/>
        <w:spacing w:after="0" w:line="400" w:lineRule="auto"/>
        <w:tabs>
          <w:tab w:leader="none" w:pos="6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10.4%</w:t>
      </w:r>
    </w:p>
    <w:p>
      <w:pPr>
        <w:ind w:left="620" w:right="6080" w:hanging="467"/>
        <w:spacing w:after="0" w:line="563" w:lineRule="auto"/>
        <w:tabs>
          <w:tab w:leader="none" w:pos="61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HC</w:t>
      </w:r>
    </w:p>
    <w:p>
      <w:pPr>
        <w:sectPr>
          <w:pgSz w:w="11900" w:h="16838" w:orient="portrait"/>
          <w:cols w:equalWidth="0" w:num="1">
            <w:col w:w="11020"/>
          </w:cols>
          <w:pgMar w:left="440" w:top="270" w:right="4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CUSIP No. 81578P 106</w:t>
      </w:r>
    </w:p>
    <w:p>
      <w:pPr>
        <w:spacing w:after="0" w:line="144" w:lineRule="exact"/>
        <w:rPr>
          <w:sz w:val="20"/>
          <w:szCs w:val="20"/>
          <w:color w:val="auto"/>
        </w:rPr>
      </w:pPr>
    </w:p>
    <w:p>
      <w:pPr>
        <w:ind w:left="620" w:hanging="377"/>
        <w:spacing w:after="0"/>
        <w:tabs>
          <w:tab w:leader="none" w:pos="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color w:val="auto"/>
        </w:rPr>
      </w:pPr>
    </w:p>
    <w:p>
      <w:pPr>
        <w:ind w:left="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-276225</wp:posOffset>
            </wp:positionV>
            <wp:extent cx="7003415" cy="53581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03415" cy="5358130"/>
                    </a:xfrm>
                    <a:prstGeom prst="rect">
                      <a:avLst/>
                    </a:prstGeom>
                    <a:noFill/>
                  </pic:spPr>
                </pic:pic>
              </a:graphicData>
            </a:graphic>
          </wp:anchor>
        </w:drawing>
      </w:r>
    </w:p>
    <w:p>
      <w:pPr>
        <w:spacing w:after="0" w:line="2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Lee S. Ainslie III</w:t>
      </w:r>
    </w:p>
    <w:p>
      <w:pPr>
        <w:spacing w:after="0" w:line="36" w:lineRule="exact"/>
        <w:rPr>
          <w:sz w:val="20"/>
          <w:szCs w:val="20"/>
          <w:color w:val="auto"/>
        </w:rPr>
      </w:pPr>
    </w:p>
    <w:p>
      <w:pPr>
        <w:ind w:left="620" w:hanging="377"/>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BOX IF A MEMBER OF A GROUP (SEE INSTRUCTIONS)</w:t>
      </w:r>
    </w:p>
    <w:p>
      <w:pPr>
        <w:spacing w:after="0" w:line="34" w:lineRule="exact"/>
        <w:rPr>
          <w:sz w:val="20"/>
          <w:szCs w:val="20"/>
          <w:color w:val="auto"/>
        </w:rPr>
      </w:pPr>
    </w:p>
    <w:p>
      <w:pPr>
        <w:ind w:left="620"/>
        <w:spacing w:after="0" w:line="207" w:lineRule="exact"/>
        <w:tabs>
          <w:tab w:leader="none" w:pos="140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20" w:hanging="377"/>
        <w:spacing w:after="0"/>
        <w:tabs>
          <w:tab w:leader="none" w:pos="6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sz w:val="20"/>
          <w:szCs w:val="20"/>
          <w:color w:val="auto"/>
        </w:rPr>
      </w:pPr>
    </w:p>
    <w:p>
      <w:pPr>
        <w:ind w:left="620" w:right="5739" w:hanging="377"/>
        <w:spacing w:after="0" w:line="406" w:lineRule="auto"/>
        <w:tabs>
          <w:tab w:leader="none" w:pos="6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United States of America</w:t>
      </w:r>
    </w:p>
    <w:p>
      <w:pPr>
        <w:sectPr>
          <w:pgSz w:w="11900" w:h="16838" w:orient="portrait"/>
          <w:cols w:equalWidth="0" w:num="1">
            <w:col w:w="10019"/>
          </w:cols>
          <w:pgMar w:left="440" w:top="270" w:right="1440" w:bottom="1440" w:gutter="0" w:footer="0" w:header="0"/>
        </w:sectPr>
      </w:pPr>
    </w:p>
    <w:p>
      <w:pPr>
        <w:spacing w:after="0" w:line="200" w:lineRule="exact"/>
        <w:rPr>
          <w:sz w:val="20"/>
          <w:szCs w:val="20"/>
          <w:color w:val="auto"/>
        </w:rPr>
      </w:pPr>
    </w:p>
    <w:p>
      <w:pPr>
        <w:spacing w:after="0" w:line="328"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18"/>
          <w:szCs w:val="18"/>
          <w:color w:val="auto"/>
        </w:rPr>
        <w:t>NUMBER OF</w:t>
      </w:r>
    </w:p>
    <w:p>
      <w:pPr>
        <w:spacing w:after="0" w:line="27"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18"/>
          <w:szCs w:val="18"/>
          <w:color w:val="auto"/>
        </w:rPr>
        <w:t>SHARES</w:t>
      </w:r>
    </w:p>
    <w:p>
      <w:pPr>
        <w:spacing w:after="0" w:line="9" w:lineRule="exact"/>
        <w:rPr>
          <w:sz w:val="20"/>
          <w:szCs w:val="20"/>
          <w:color w:val="auto"/>
        </w:rPr>
      </w:pPr>
    </w:p>
    <w:p>
      <w:pPr>
        <w:jc w:val="center"/>
        <w:ind w:left="240"/>
        <w:spacing w:after="0"/>
        <w:rPr>
          <w:sz w:val="20"/>
          <w:szCs w:val="20"/>
          <w:color w:val="auto"/>
        </w:rPr>
      </w:pPr>
      <w:r>
        <w:rPr>
          <w:rFonts w:ascii="Times New Roman" w:cs="Times New Roman" w:eastAsia="Times New Roman" w:hAnsi="Times New Roman"/>
          <w:sz w:val="17"/>
          <w:szCs w:val="17"/>
          <w:color w:val="auto"/>
        </w:rPr>
        <w:t>BENEFICIALLY</w:t>
      </w:r>
    </w:p>
    <w:p>
      <w:pPr>
        <w:spacing w:after="0" w:line="21"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18"/>
          <w:szCs w:val="18"/>
          <w:color w:val="auto"/>
        </w:rPr>
        <w:t>OWNED BY</w:t>
      </w:r>
    </w:p>
    <w:p>
      <w:pPr>
        <w:spacing w:after="0" w:line="9"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18"/>
          <w:szCs w:val="18"/>
          <w:color w:val="auto"/>
        </w:rPr>
        <w:t>EACH</w:t>
      </w:r>
    </w:p>
    <w:p>
      <w:pPr>
        <w:spacing w:after="0" w:line="9"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18"/>
          <w:szCs w:val="18"/>
          <w:color w:val="auto"/>
        </w:rPr>
        <w:t>REPORTING</w:t>
      </w:r>
    </w:p>
    <w:p>
      <w:pPr>
        <w:spacing w:after="0" w:line="9"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18"/>
          <w:szCs w:val="18"/>
          <w:color w:val="auto"/>
        </w:rPr>
        <w:t>PERSON</w:t>
      </w:r>
    </w:p>
    <w:p>
      <w:pPr>
        <w:spacing w:after="0" w:line="9"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18"/>
          <w:szCs w:val="18"/>
          <w:color w:val="auto"/>
        </w:rPr>
        <w:t>WITH:</w:t>
      </w:r>
    </w:p>
    <w:p>
      <w:pPr>
        <w:spacing w:after="0" w:line="20" w:lineRule="exact"/>
        <w:rPr>
          <w:sz w:val="20"/>
          <w:szCs w:val="20"/>
          <w:color w:val="auto"/>
        </w:rPr>
      </w:pPr>
      <w:r>
        <w:rPr>
          <w:sz w:val="20"/>
          <w:szCs w:val="20"/>
          <w:color w:val="auto"/>
        </w:rPr>
        <w:br w:type="column"/>
      </w:r>
    </w:p>
    <w:p>
      <w:pPr>
        <w:ind w:left="386" w:hanging="386"/>
        <w:spacing w:after="0"/>
        <w:tabs>
          <w:tab w:leader="none" w:pos="38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52" w:lineRule="exact"/>
        <w:rPr>
          <w:sz w:val="20"/>
          <w:szCs w:val="20"/>
          <w:color w:val="auto"/>
        </w:rPr>
      </w:pPr>
    </w:p>
    <w:p>
      <w:pPr>
        <w:ind w:left="386"/>
        <w:spacing w:after="0"/>
        <w:rPr>
          <w:sz w:val="20"/>
          <w:szCs w:val="20"/>
          <w:color w:val="auto"/>
        </w:rPr>
      </w:pPr>
      <w:r>
        <w:rPr>
          <w:rFonts w:ascii="Times New Roman" w:cs="Times New Roman" w:eastAsia="Times New Roman" w:hAnsi="Times New Roman"/>
          <w:sz w:val="18"/>
          <w:szCs w:val="18"/>
          <w:color w:val="auto"/>
        </w:rPr>
        <w:t>0</w:t>
      </w:r>
    </w:p>
    <w:p>
      <w:pPr>
        <w:spacing w:after="0" w:line="36" w:lineRule="exact"/>
        <w:rPr>
          <w:sz w:val="20"/>
          <w:szCs w:val="20"/>
          <w:color w:val="auto"/>
        </w:rPr>
      </w:pPr>
    </w:p>
    <w:p>
      <w:pPr>
        <w:ind w:left="386" w:hanging="386"/>
        <w:spacing w:after="0"/>
        <w:tabs>
          <w:tab w:leader="none" w:pos="38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VOTING POWER</w:t>
      </w:r>
    </w:p>
    <w:p>
      <w:pPr>
        <w:spacing w:after="0" w:line="252" w:lineRule="exact"/>
        <w:rPr>
          <w:sz w:val="20"/>
          <w:szCs w:val="20"/>
          <w:color w:val="auto"/>
        </w:rPr>
      </w:pPr>
    </w:p>
    <w:p>
      <w:pPr>
        <w:ind w:left="386"/>
        <w:spacing w:after="0"/>
        <w:rPr>
          <w:sz w:val="20"/>
          <w:szCs w:val="20"/>
          <w:color w:val="auto"/>
        </w:rPr>
      </w:pPr>
      <w:r>
        <w:rPr>
          <w:rFonts w:ascii="Times New Roman" w:cs="Times New Roman" w:eastAsia="Times New Roman" w:hAnsi="Times New Roman"/>
          <w:sz w:val="18"/>
          <w:szCs w:val="18"/>
          <w:color w:val="auto"/>
        </w:rPr>
        <w:t>5,589,063</w:t>
      </w:r>
    </w:p>
    <w:p>
      <w:pPr>
        <w:spacing w:after="0" w:line="36" w:lineRule="exact"/>
        <w:rPr>
          <w:sz w:val="20"/>
          <w:szCs w:val="20"/>
          <w:color w:val="auto"/>
        </w:rPr>
      </w:pPr>
    </w:p>
    <w:p>
      <w:pPr>
        <w:ind w:left="386" w:hanging="386"/>
        <w:spacing w:after="0"/>
        <w:tabs>
          <w:tab w:leader="none" w:pos="38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DISPOSITIVE POWER</w:t>
      </w:r>
    </w:p>
    <w:p>
      <w:pPr>
        <w:spacing w:after="0" w:line="252" w:lineRule="exact"/>
        <w:rPr>
          <w:sz w:val="20"/>
          <w:szCs w:val="20"/>
          <w:color w:val="auto"/>
        </w:rPr>
      </w:pPr>
    </w:p>
    <w:p>
      <w:pPr>
        <w:ind w:left="386"/>
        <w:spacing w:after="0"/>
        <w:rPr>
          <w:sz w:val="20"/>
          <w:szCs w:val="20"/>
          <w:color w:val="auto"/>
        </w:rPr>
      </w:pPr>
      <w:r>
        <w:rPr>
          <w:rFonts w:ascii="Times New Roman" w:cs="Times New Roman" w:eastAsia="Times New Roman" w:hAnsi="Times New Roman"/>
          <w:sz w:val="18"/>
          <w:szCs w:val="18"/>
          <w:color w:val="auto"/>
        </w:rPr>
        <w:t>0</w:t>
      </w:r>
    </w:p>
    <w:p>
      <w:pPr>
        <w:spacing w:after="0" w:line="36" w:lineRule="exact"/>
        <w:rPr>
          <w:sz w:val="20"/>
          <w:szCs w:val="20"/>
          <w:color w:val="auto"/>
        </w:rPr>
      </w:pPr>
    </w:p>
    <w:p>
      <w:pPr>
        <w:ind w:left="386" w:right="5299" w:hanging="386"/>
        <w:spacing w:after="0" w:line="406" w:lineRule="auto"/>
        <w:tabs>
          <w:tab w:leader="none" w:pos="38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5,589,063</w:t>
      </w:r>
    </w:p>
    <w:p>
      <w:pPr>
        <w:spacing w:after="0" w:line="2" w:lineRule="exact"/>
        <w:rPr>
          <w:sz w:val="20"/>
          <w:szCs w:val="20"/>
          <w:color w:val="auto"/>
        </w:rPr>
      </w:pPr>
    </w:p>
    <w:p>
      <w:pPr>
        <w:sectPr>
          <w:pgSz w:w="11900" w:h="16838" w:orient="portrait"/>
          <w:cols w:equalWidth="0" w:num="2">
            <w:col w:w="1520" w:space="294"/>
            <w:col w:w="8205"/>
          </w:cols>
          <w:pgMar w:left="440" w:top="270" w:right="1440" w:bottom="1440" w:gutter="0" w:footer="0" w:header="0"/>
          <w:type w:val="continuous"/>
        </w:sectPr>
      </w:pPr>
    </w:p>
    <w:p>
      <w:pPr>
        <w:ind w:left="600" w:hanging="357"/>
        <w:spacing w:after="0"/>
        <w:tabs>
          <w:tab w:leader="none" w:pos="6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5,589,063</w:t>
      </w:r>
    </w:p>
    <w:p>
      <w:pPr>
        <w:spacing w:after="0" w:line="36" w:lineRule="exact"/>
        <w:rPr>
          <w:sz w:val="20"/>
          <w:szCs w:val="20"/>
          <w:color w:val="auto"/>
        </w:rPr>
      </w:pPr>
    </w:p>
    <w:p>
      <w:pPr>
        <w:ind w:left="620" w:hanging="467"/>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BOX IF THE AGGREGATE AMOUNT IN ROW (9) EXCLUDES CERTAIN SHARES (SEE INSTRUCTIONS)</w:t>
      </w:r>
    </w:p>
    <w:p>
      <w:pPr>
        <w:spacing w:after="0" w:line="234" w:lineRule="exact"/>
        <w:rPr>
          <w:rFonts w:ascii="Times New Roman" w:cs="Times New Roman" w:eastAsia="Times New Roman" w:hAnsi="Times New Roman"/>
          <w:sz w:val="17"/>
          <w:szCs w:val="17"/>
          <w:color w:val="auto"/>
        </w:rPr>
      </w:pPr>
    </w:p>
    <w:p>
      <w:pPr>
        <w:ind w:left="620"/>
        <w:spacing w:after="0" w:line="181" w:lineRule="exact"/>
        <w:rPr>
          <w:rFonts w:ascii="Times New Roman" w:cs="Times New Roman" w:eastAsia="Times New Roman" w:hAnsi="Times New Roman"/>
          <w:sz w:val="17"/>
          <w:szCs w:val="17"/>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7"/>
          <w:szCs w:val="17"/>
          <w:color w:val="auto"/>
        </w:rPr>
      </w:pPr>
    </w:p>
    <w:p>
      <w:pPr>
        <w:ind w:left="620" w:right="4459" w:hanging="467"/>
        <w:spacing w:after="0" w:line="400" w:lineRule="auto"/>
        <w:tabs>
          <w:tab w:leader="none" w:pos="6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10.4%</w:t>
      </w:r>
    </w:p>
    <w:p>
      <w:pPr>
        <w:ind w:left="620" w:right="5079" w:hanging="467"/>
        <w:spacing w:after="0" w:line="563" w:lineRule="auto"/>
        <w:tabs>
          <w:tab w:leader="none" w:pos="61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IN</w:t>
      </w:r>
    </w:p>
    <w:p>
      <w:pPr>
        <w:sectPr>
          <w:pgSz w:w="11900" w:h="16838" w:orient="portrait"/>
          <w:cols w:equalWidth="0" w:num="1">
            <w:col w:w="10019"/>
          </w:cols>
          <w:pgMar w:left="440" w:top="270" w:right="1440" w:bottom="1440" w:gutter="0" w:footer="0" w:header="0"/>
          <w:type w:val="continuous"/>
        </w:sectPr>
      </w:pPr>
    </w:p>
    <w:bookmarkStart w:id="4" w:name="page5"/>
    <w:bookmarkEnd w:id="4"/>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1(a).</w:t>
      </w:r>
      <w:r>
        <w:rPr>
          <w:sz w:val="20"/>
          <w:szCs w:val="20"/>
          <w:color w:val="auto"/>
        </w:rPr>
        <w:tab/>
      </w:r>
      <w:r>
        <w:rPr>
          <w:rFonts w:ascii="Times New Roman" w:cs="Times New Roman" w:eastAsia="Times New Roman" w:hAnsi="Times New Roman"/>
          <w:sz w:val="17"/>
          <w:szCs w:val="17"/>
          <w:b w:val="1"/>
          <w:bCs w:val="1"/>
          <w:u w:val="single" w:color="auto"/>
          <w:color w:val="auto"/>
        </w:rPr>
        <w:t>Name of Issuer</w:t>
      </w:r>
      <w:r>
        <w:rPr>
          <w:rFonts w:ascii="Times New Roman" w:cs="Times New Roman" w:eastAsia="Times New Roman" w:hAnsi="Times New Roman"/>
          <w:sz w:val="17"/>
          <w:szCs w:val="17"/>
          <w:b w:val="1"/>
          <w:bCs w:val="1"/>
          <w:color w:val="auto"/>
        </w:rPr>
        <w:t>:</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Seer, Inc. (the “Issuer”)</w:t>
      </w:r>
    </w:p>
    <w:p>
      <w:pPr>
        <w:spacing w:after="0" w:line="37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u w:val="single" w:color="auto"/>
          <w:color w:val="auto"/>
        </w:rPr>
        <w:t>Address of Issuer’s Principal Executive Offices</w:t>
      </w:r>
      <w:r>
        <w:rPr>
          <w:rFonts w:ascii="Times New Roman" w:cs="Times New Roman" w:eastAsia="Times New Roman" w:hAnsi="Times New Roman"/>
          <w:sz w:val="17"/>
          <w:szCs w:val="17"/>
          <w:b w:val="1"/>
          <w:bCs w:val="1"/>
          <w:color w:val="auto"/>
        </w:rPr>
        <w:t>:</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3800 Bridge Parkway, Suite 102</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Redwood City, California</w:t>
      </w:r>
    </w:p>
    <w:p>
      <w:pPr>
        <w:spacing w:after="0" w:line="35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2(a).</w:t>
      </w:r>
      <w:r>
        <w:rPr>
          <w:sz w:val="20"/>
          <w:szCs w:val="20"/>
          <w:color w:val="auto"/>
        </w:rPr>
        <w:tab/>
      </w:r>
      <w:r>
        <w:rPr>
          <w:rFonts w:ascii="Times New Roman" w:cs="Times New Roman" w:eastAsia="Times New Roman" w:hAnsi="Times New Roman"/>
          <w:sz w:val="18"/>
          <w:szCs w:val="18"/>
          <w:b w:val="1"/>
          <w:bCs w:val="1"/>
          <w:u w:val="single" w:color="auto"/>
          <w:color w:val="auto"/>
        </w:rPr>
        <w:t>Names of Persons Filing</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Schedule 13G (the “Schedule 13G”) is being filed on behalf of each of the following persons (each, a “Reporting Person”):</w:t>
      </w:r>
    </w:p>
    <w:p>
      <w:pPr>
        <w:spacing w:after="0" w:line="131" w:lineRule="exact"/>
        <w:rPr>
          <w:sz w:val="20"/>
          <w:szCs w:val="20"/>
          <w:color w:val="auto"/>
        </w:rPr>
      </w:pPr>
    </w:p>
    <w:p>
      <w:pPr>
        <w:ind w:left="1420" w:hanging="439"/>
        <w:spacing w:after="0"/>
        <w:tabs>
          <w:tab w:leader="none" w:pos="14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MCV Management Company, LLC</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Maverick Capital Management, LLC (“Maverick Capital Management”); and</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Lee S. Ainslie III (“Mr. Ainslie”).</w:t>
      </w:r>
    </w:p>
    <w:p>
      <w:pPr>
        <w:spacing w:after="0" w:line="117" w:lineRule="exact"/>
        <w:rPr>
          <w:sz w:val="20"/>
          <w:szCs w:val="20"/>
          <w:color w:val="auto"/>
        </w:rPr>
      </w:pPr>
    </w:p>
    <w:p>
      <w:pPr>
        <w:ind w:left="440" w:right="20"/>
        <w:spacing w:after="0" w:line="282" w:lineRule="auto"/>
        <w:rPr>
          <w:sz w:val="20"/>
          <w:szCs w:val="20"/>
          <w:color w:val="auto"/>
        </w:rPr>
      </w:pPr>
      <w:r>
        <w:rPr>
          <w:rFonts w:ascii="Times New Roman" w:cs="Times New Roman" w:eastAsia="Times New Roman" w:hAnsi="Times New Roman"/>
          <w:sz w:val="18"/>
          <w:szCs w:val="18"/>
          <w:color w:val="auto"/>
        </w:rPr>
        <w:t>This Schedule 13G relates to Class A common stock (as defined herein) held for the accounts of the clients of MCV Management Company, LLC and Maverick Capital, Ltd.</w:t>
      </w:r>
    </w:p>
    <w:p>
      <w:pPr>
        <w:spacing w:after="0" w:line="30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2(b).</w:t>
      </w:r>
      <w:r>
        <w:rPr>
          <w:sz w:val="20"/>
          <w:szCs w:val="20"/>
          <w:color w:val="auto"/>
        </w:rPr>
        <w:tab/>
      </w:r>
      <w:r>
        <w:rPr>
          <w:rFonts w:ascii="Times New Roman" w:cs="Times New Roman" w:eastAsia="Times New Roman" w:hAnsi="Times New Roman"/>
          <w:sz w:val="17"/>
          <w:szCs w:val="17"/>
          <w:b w:val="1"/>
          <w:bCs w:val="1"/>
          <w:u w:val="single" w:color="auto"/>
          <w:color w:val="auto"/>
        </w:rPr>
        <w:t>Address of Principal Business Office or, if None, Residence</w:t>
      </w:r>
      <w:r>
        <w:rPr>
          <w:rFonts w:ascii="Times New Roman" w:cs="Times New Roman" w:eastAsia="Times New Roman" w:hAnsi="Times New Roman"/>
          <w:sz w:val="17"/>
          <w:szCs w:val="17"/>
          <w:b w:val="1"/>
          <w:bCs w:val="1"/>
          <w:color w:val="auto"/>
        </w:rPr>
        <w:t>:</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address of the principal business office of each of the Reporting Persons is:</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The address of the principal business office of (i) MCV Management Company, LLC and Maverick Capital Management, LLC is 1900 N.</w:t>
      </w:r>
    </w:p>
    <w:p>
      <w:pPr>
        <w:spacing w:after="0" w:line="3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Pearl Street, 20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Floor, Dallas, Texas 75201, and (ii) Mr. Ainslie is 767 Fifth Avenue, 11</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Floor, New York, New York 10153.</w:t>
      </w:r>
    </w:p>
    <w:p>
      <w:pPr>
        <w:spacing w:after="0" w:line="35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2(c).</w:t>
      </w:r>
      <w:r>
        <w:rPr>
          <w:sz w:val="20"/>
          <w:szCs w:val="20"/>
          <w:color w:val="auto"/>
        </w:rPr>
        <w:tab/>
      </w:r>
      <w:r>
        <w:rPr>
          <w:rFonts w:ascii="Times New Roman" w:cs="Times New Roman" w:eastAsia="Times New Roman" w:hAnsi="Times New Roman"/>
          <w:sz w:val="18"/>
          <w:szCs w:val="18"/>
          <w:b w:val="1"/>
          <w:bCs w:val="1"/>
          <w:u w:val="single" w:color="auto"/>
          <w:color w:val="auto"/>
        </w:rPr>
        <w:t>Citizenship</w:t>
      </w:r>
      <w:r>
        <w:rPr>
          <w:rFonts w:ascii="Times New Roman" w:cs="Times New Roman" w:eastAsia="Times New Roman" w:hAnsi="Times New Roman"/>
          <w:sz w:val="18"/>
          <w:szCs w:val="18"/>
          <w:b w:val="1"/>
          <w:bCs w:val="1"/>
          <w:color w:val="auto"/>
        </w:rPr>
        <w:t>:</w:t>
      </w:r>
    </w:p>
    <w:p>
      <w:pPr>
        <w:spacing w:after="0" w:line="135" w:lineRule="exact"/>
        <w:rPr>
          <w:sz w:val="20"/>
          <w:szCs w:val="20"/>
          <w:color w:val="auto"/>
        </w:rPr>
      </w:pPr>
    </w:p>
    <w:p>
      <w:pPr>
        <w:ind w:left="1420" w:hanging="439"/>
        <w:spacing w:after="0"/>
        <w:tabs>
          <w:tab w:leader="none" w:pos="14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MCV Management Company, LLC. is a Delaware limited liability company;</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Maverick Capital Management, LLC is a Texas limited liability company; and</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Ainslie is a citizen of the United States.</w:t>
      </w:r>
    </w:p>
    <w:p>
      <w:pPr>
        <w:spacing w:after="0" w:line="37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2(d).</w:t>
      </w:r>
      <w:r>
        <w:rPr>
          <w:sz w:val="20"/>
          <w:szCs w:val="20"/>
          <w:color w:val="auto"/>
        </w:rPr>
        <w:tab/>
      </w:r>
      <w:r>
        <w:rPr>
          <w:rFonts w:ascii="Times New Roman" w:cs="Times New Roman" w:eastAsia="Times New Roman" w:hAnsi="Times New Roman"/>
          <w:sz w:val="17"/>
          <w:szCs w:val="17"/>
          <w:b w:val="1"/>
          <w:bCs w:val="1"/>
          <w:u w:val="single" w:color="auto"/>
          <w:color w:val="auto"/>
        </w:rPr>
        <w:t>Title of Class of Securities</w:t>
      </w:r>
      <w:r>
        <w:rPr>
          <w:rFonts w:ascii="Times New Roman" w:cs="Times New Roman" w:eastAsia="Times New Roman" w:hAnsi="Times New Roman"/>
          <w:sz w:val="17"/>
          <w:szCs w:val="17"/>
          <w:b w:val="1"/>
          <w:bCs w:val="1"/>
          <w:color w:val="auto"/>
        </w:rPr>
        <w:t>:</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Class A common stock, $0.00001 par value per share (“Class A common stock”)</w:t>
      </w:r>
    </w:p>
    <w:p>
      <w:pPr>
        <w:spacing w:after="0" w:line="37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2(e).</w:t>
      </w:r>
      <w:r>
        <w:rPr>
          <w:sz w:val="20"/>
          <w:szCs w:val="20"/>
          <w:color w:val="auto"/>
        </w:rPr>
        <w:tab/>
      </w:r>
      <w:r>
        <w:rPr>
          <w:rFonts w:ascii="Times New Roman" w:cs="Times New Roman" w:eastAsia="Times New Roman" w:hAnsi="Times New Roman"/>
          <w:sz w:val="17"/>
          <w:szCs w:val="17"/>
          <w:b w:val="1"/>
          <w:bCs w:val="1"/>
          <w:u w:val="single" w:color="auto"/>
          <w:color w:val="auto"/>
        </w:rPr>
        <w:t>CUSIP Number</w:t>
      </w:r>
      <w:r>
        <w:rPr>
          <w:rFonts w:ascii="Times New Roman" w:cs="Times New Roman" w:eastAsia="Times New Roman" w:hAnsi="Times New Roman"/>
          <w:sz w:val="17"/>
          <w:szCs w:val="17"/>
          <w:b w:val="1"/>
          <w:bCs w:val="1"/>
          <w:color w:val="auto"/>
        </w:rPr>
        <w:t>:</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81578P 106</w:t>
      </w:r>
    </w:p>
    <w:p>
      <w:pPr>
        <w:sectPr>
          <w:pgSz w:w="11900" w:h="16838" w:orient="portrait"/>
          <w:cols w:equalWidth="0" w:num="1">
            <w:col w:w="10940"/>
          </w:cols>
          <w:pgMar w:left="440" w:top="266" w:right="519" w:bottom="1440" w:gutter="0" w:footer="0" w:header="0"/>
        </w:sectPr>
      </w:pPr>
    </w:p>
    <w:bookmarkStart w:id="5" w:name="page6"/>
    <w:bookmarkEnd w:id="5"/>
    <w:p>
      <w:pPr>
        <w:ind w:left="4"/>
        <w:spacing w:after="0"/>
        <w:tabs>
          <w:tab w:leader="none" w:pos="106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3.</w:t>
      </w:r>
      <w:r>
        <w:rPr>
          <w:sz w:val="20"/>
          <w:szCs w:val="20"/>
          <w:color w:val="auto"/>
        </w:rPr>
        <w:tab/>
      </w:r>
      <w:r>
        <w:rPr>
          <w:rFonts w:ascii="Times New Roman" w:cs="Times New Roman" w:eastAsia="Times New Roman" w:hAnsi="Times New Roman"/>
          <w:sz w:val="18"/>
          <w:szCs w:val="18"/>
          <w:b w:val="1"/>
          <w:bCs w:val="1"/>
          <w:u w:val="single" w:color="auto"/>
          <w:color w:val="auto"/>
        </w:rPr>
        <w:t>If this statement is filed pursuant to §§ 240.13d-1(b) or 240.13d-2(b) or (c), check whether the person filing is a:</w:t>
      </w:r>
    </w:p>
    <w:p>
      <w:pPr>
        <w:spacing w:after="0" w:line="92" w:lineRule="exact"/>
        <w:rPr>
          <w:sz w:val="20"/>
          <w:szCs w:val="20"/>
          <w:color w:val="auto"/>
        </w:rPr>
      </w:pPr>
    </w:p>
    <w:p>
      <w:pPr>
        <w:ind w:left="344" w:hanging="344"/>
        <w:spacing w:after="0" w:line="207" w:lineRule="exact"/>
        <w:tabs>
          <w:tab w:leader="none" w:pos="344" w:val="left"/>
        </w:tabs>
        <w:numPr>
          <w:ilvl w:val="0"/>
          <w:numId w:val="2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or dealer registered under section 15 of the Act (15 U.S.C. 78o).</w:t>
      </w:r>
    </w:p>
    <w:p>
      <w:pPr>
        <w:spacing w:after="0" w:line="117" w:lineRule="exact"/>
        <w:rPr>
          <w:rFonts w:ascii="Times New Roman" w:cs="Times New Roman" w:eastAsia="Times New Roman" w:hAnsi="Times New Roman"/>
          <w:sz w:val="18"/>
          <w:szCs w:val="18"/>
          <w:color w:val="auto"/>
        </w:rPr>
      </w:pPr>
    </w:p>
    <w:p>
      <w:pPr>
        <w:ind w:left="344" w:hanging="344"/>
        <w:spacing w:after="0" w:line="207" w:lineRule="exact"/>
        <w:tabs>
          <w:tab w:leader="none" w:pos="344" w:val="left"/>
        </w:tabs>
        <w:numPr>
          <w:ilvl w:val="0"/>
          <w:numId w:val="2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Bank as defined in section 3(a)(6) of the Act (15 U.S.C. 78c).</w:t>
      </w:r>
    </w:p>
    <w:p>
      <w:pPr>
        <w:spacing w:after="0" w:line="117" w:lineRule="exact"/>
        <w:rPr>
          <w:rFonts w:ascii="Times New Roman" w:cs="Times New Roman" w:eastAsia="Times New Roman" w:hAnsi="Times New Roman"/>
          <w:sz w:val="18"/>
          <w:szCs w:val="18"/>
          <w:color w:val="auto"/>
        </w:rPr>
      </w:pPr>
    </w:p>
    <w:p>
      <w:pPr>
        <w:ind w:left="344" w:hanging="344"/>
        <w:spacing w:after="0" w:line="207" w:lineRule="exact"/>
        <w:tabs>
          <w:tab w:leader="none" w:pos="344" w:val="left"/>
        </w:tabs>
        <w:numPr>
          <w:ilvl w:val="0"/>
          <w:numId w:val="2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Insurance company as defined in section 3(a)(19) of the Act (15 U.S.C. 78c).</w:t>
      </w:r>
    </w:p>
    <w:p>
      <w:pPr>
        <w:spacing w:after="0" w:line="117" w:lineRule="exact"/>
        <w:rPr>
          <w:rFonts w:ascii="Times New Roman" w:cs="Times New Roman" w:eastAsia="Times New Roman" w:hAnsi="Times New Roman"/>
          <w:sz w:val="18"/>
          <w:szCs w:val="18"/>
          <w:color w:val="auto"/>
        </w:rPr>
      </w:pPr>
    </w:p>
    <w:p>
      <w:pPr>
        <w:ind w:left="344" w:hanging="344"/>
        <w:spacing w:after="0" w:line="207" w:lineRule="exact"/>
        <w:tabs>
          <w:tab w:leader="none" w:pos="344" w:val="left"/>
        </w:tabs>
        <w:numPr>
          <w:ilvl w:val="0"/>
          <w:numId w:val="2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Investment company registered under section 8 of the Investment Company Act of 1940 (15 U.S.C. 80a-8).</w:t>
      </w:r>
    </w:p>
    <w:p>
      <w:pPr>
        <w:spacing w:after="0" w:line="117" w:lineRule="exact"/>
        <w:rPr>
          <w:rFonts w:ascii="Times New Roman" w:cs="Times New Roman" w:eastAsia="Times New Roman" w:hAnsi="Times New Roman"/>
          <w:sz w:val="18"/>
          <w:szCs w:val="18"/>
          <w:color w:val="auto"/>
        </w:rPr>
      </w:pPr>
    </w:p>
    <w:p>
      <w:pPr>
        <w:ind w:left="344" w:hanging="344"/>
        <w:spacing w:after="0" w:line="207" w:lineRule="exact"/>
        <w:tabs>
          <w:tab w:leader="none" w:pos="344" w:val="left"/>
        </w:tabs>
        <w:numPr>
          <w:ilvl w:val="0"/>
          <w:numId w:val="2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investment advisor in accordance with §240.13d-1(b)(1)(ii)(E).</w:t>
      </w:r>
    </w:p>
    <w:p>
      <w:pPr>
        <w:spacing w:after="0" w:line="117" w:lineRule="exact"/>
        <w:rPr>
          <w:rFonts w:ascii="Times New Roman" w:cs="Times New Roman" w:eastAsia="Times New Roman" w:hAnsi="Times New Roman"/>
          <w:sz w:val="18"/>
          <w:szCs w:val="18"/>
          <w:color w:val="auto"/>
        </w:rPr>
      </w:pPr>
    </w:p>
    <w:p>
      <w:pPr>
        <w:ind w:left="344" w:hanging="344"/>
        <w:spacing w:after="0" w:line="207" w:lineRule="exact"/>
        <w:tabs>
          <w:tab w:leader="none" w:pos="344" w:val="left"/>
        </w:tabs>
        <w:numPr>
          <w:ilvl w:val="0"/>
          <w:numId w:val="2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employee benefit plan or endowment fund in accordance with §240.13d-1(b)(1)(ii)(F).</w:t>
      </w:r>
    </w:p>
    <w:p>
      <w:pPr>
        <w:spacing w:after="0" w:line="117" w:lineRule="exact"/>
        <w:rPr>
          <w:rFonts w:ascii="Times New Roman" w:cs="Times New Roman" w:eastAsia="Times New Roman" w:hAnsi="Times New Roman"/>
          <w:sz w:val="18"/>
          <w:szCs w:val="18"/>
          <w:color w:val="auto"/>
        </w:rPr>
      </w:pPr>
    </w:p>
    <w:p>
      <w:pPr>
        <w:ind w:left="344" w:hanging="344"/>
        <w:spacing w:after="0" w:line="207" w:lineRule="exact"/>
        <w:tabs>
          <w:tab w:leader="none" w:pos="344" w:val="left"/>
        </w:tabs>
        <w:numPr>
          <w:ilvl w:val="0"/>
          <w:numId w:val="2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parent holding company or control person in accordance with §240.13d-1(b)(1)(ii)(G).</w:t>
      </w:r>
    </w:p>
    <w:p>
      <w:pPr>
        <w:spacing w:after="0" w:line="117" w:lineRule="exact"/>
        <w:rPr>
          <w:rFonts w:ascii="Times New Roman" w:cs="Times New Roman" w:eastAsia="Times New Roman" w:hAnsi="Times New Roman"/>
          <w:sz w:val="18"/>
          <w:szCs w:val="18"/>
          <w:color w:val="auto"/>
        </w:rPr>
      </w:pPr>
    </w:p>
    <w:p>
      <w:pPr>
        <w:ind w:left="344" w:hanging="344"/>
        <w:spacing w:after="0" w:line="207" w:lineRule="exact"/>
        <w:tabs>
          <w:tab w:leader="none" w:pos="344" w:val="left"/>
        </w:tabs>
        <w:numPr>
          <w:ilvl w:val="0"/>
          <w:numId w:val="2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savings association as defined in Section 3(b) of the Federal Deposit Insurance Act (12 U.S.C. 1813).</w:t>
      </w:r>
    </w:p>
    <w:p>
      <w:pPr>
        <w:spacing w:after="0" w:line="117" w:lineRule="exact"/>
        <w:rPr>
          <w:rFonts w:ascii="Times New Roman" w:cs="Times New Roman" w:eastAsia="Times New Roman" w:hAnsi="Times New Roman"/>
          <w:sz w:val="18"/>
          <w:szCs w:val="18"/>
          <w:color w:val="auto"/>
        </w:rPr>
      </w:pPr>
    </w:p>
    <w:p>
      <w:pPr>
        <w:ind w:left="664" w:right="100" w:hanging="664"/>
        <w:spacing w:after="0" w:line="239" w:lineRule="exact"/>
        <w:tabs>
          <w:tab w:leader="none" w:pos="340" w:val="left"/>
        </w:tabs>
        <w:numPr>
          <w:ilvl w:val="0"/>
          <w:numId w:val="2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church plan that is excluded from the definition of an investment company under Section 3(c)(14) of the Investment Company Act of 1940 (15 U.S.C. 80a-3).</w:t>
      </w:r>
    </w:p>
    <w:p>
      <w:pPr>
        <w:spacing w:after="0" w:line="62" w:lineRule="exact"/>
        <w:rPr>
          <w:rFonts w:ascii="Times New Roman" w:cs="Times New Roman" w:eastAsia="Times New Roman" w:hAnsi="Times New Roman"/>
          <w:sz w:val="18"/>
          <w:szCs w:val="18"/>
          <w:color w:val="auto"/>
        </w:rPr>
      </w:pPr>
    </w:p>
    <w:p>
      <w:pPr>
        <w:ind w:left="344" w:hanging="344"/>
        <w:spacing w:after="0" w:line="207" w:lineRule="exact"/>
        <w:tabs>
          <w:tab w:leader="none" w:pos="344" w:val="left"/>
        </w:tabs>
        <w:numPr>
          <w:ilvl w:val="0"/>
          <w:numId w:val="2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non-U.S. institution in accordance with § 240.13d-1(b)(1)(ii)(J);</w:t>
      </w:r>
    </w:p>
    <w:p>
      <w:pPr>
        <w:spacing w:after="0" w:line="117" w:lineRule="exact"/>
        <w:rPr>
          <w:rFonts w:ascii="Times New Roman" w:cs="Times New Roman" w:eastAsia="Times New Roman" w:hAnsi="Times New Roman"/>
          <w:sz w:val="18"/>
          <w:szCs w:val="18"/>
          <w:color w:val="auto"/>
        </w:rPr>
      </w:pPr>
    </w:p>
    <w:p>
      <w:pPr>
        <w:ind w:left="344" w:hanging="344"/>
        <w:spacing w:after="0" w:line="207" w:lineRule="exact"/>
        <w:tabs>
          <w:tab w:leader="none" w:pos="344" w:val="left"/>
        </w:tabs>
        <w:numPr>
          <w:ilvl w:val="0"/>
          <w:numId w:val="2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Group, in accordance with § 240.13d-1(b)(1)(ii)(K).</w:t>
      </w:r>
    </w:p>
    <w:p>
      <w:pPr>
        <w:spacing w:after="0" w:line="398" w:lineRule="exact"/>
        <w:rPr>
          <w:sz w:val="20"/>
          <w:szCs w:val="20"/>
          <w:color w:val="auto"/>
        </w:rPr>
      </w:pPr>
    </w:p>
    <w:p>
      <w:pPr>
        <w:ind w:left="4"/>
        <w:spacing w:after="0"/>
        <w:tabs>
          <w:tab w:leader="none" w:pos="964"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u w:val="single" w:color="auto"/>
          <w:color w:val="auto"/>
        </w:rPr>
        <w:t>Ownership</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Items (5) – (9) and (11) of the cover pages of this Schedule 13G are incorporated herein.</w:t>
      </w:r>
    </w:p>
    <w:p>
      <w:pPr>
        <w:spacing w:after="0" w:line="117" w:lineRule="exact"/>
        <w:rPr>
          <w:sz w:val="20"/>
          <w:szCs w:val="20"/>
          <w:color w:val="auto"/>
        </w:rPr>
      </w:pPr>
    </w:p>
    <w:p>
      <w:pPr>
        <w:ind w:left="984"/>
        <w:spacing w:after="0" w:line="274" w:lineRule="auto"/>
        <w:rPr>
          <w:sz w:val="20"/>
          <w:szCs w:val="20"/>
          <w:color w:val="auto"/>
        </w:rPr>
      </w:pPr>
      <w:r>
        <w:rPr>
          <w:rFonts w:ascii="Times New Roman" w:cs="Times New Roman" w:eastAsia="Times New Roman" w:hAnsi="Times New Roman"/>
          <w:sz w:val="17"/>
          <w:szCs w:val="17"/>
          <w:color w:val="auto"/>
        </w:rPr>
        <w:t>The shares of Class A common stock reported on this Schedule 13G include (i) 3,390,559 shares of Class A common stock and 101,761 shares of Class B common stock held of record by Maverick Ventures Investment Fund, L.P. (“Maverick Ventures Fund”), (ii) 1,934,954 shares of Class A common stock and 61,789 shares of Class B common stock held of record by Maverick Advisors Fund, L.P. (“Maverick Advisors”), and (iii) 100,000 shares of Class A common stock held by funds managed by Maverick Capital, Ltd. Each share of Class B common stock is convertible at any time into shares of Class A common stock at the option of the holder. The percentages reported on the cover pages of this Schedule 13G are based on 53,350,763 outstanding shares of Class A common stock as reported by the Issuer.</w:t>
      </w:r>
    </w:p>
    <w:p>
      <w:pPr>
        <w:spacing w:after="0" w:line="6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Maverick Capital Ventures, LLC (“Maverick Ventures”) is the general partner of Maverick Ventures Fund and Maverick Advisors.</w:t>
      </w:r>
    </w:p>
    <w:p>
      <w:pPr>
        <w:spacing w:after="0" w:line="2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Mr. Ainslie and David B. Singer are the Managing Partners of Maverick Ventures.</w:t>
      </w:r>
    </w:p>
    <w:p>
      <w:pPr>
        <w:spacing w:after="0" w:line="99" w:lineRule="exact"/>
        <w:rPr>
          <w:sz w:val="20"/>
          <w:szCs w:val="20"/>
          <w:color w:val="auto"/>
        </w:rPr>
      </w:pPr>
    </w:p>
    <w:p>
      <w:pPr>
        <w:ind w:left="984" w:right="140"/>
        <w:spacing w:after="0" w:line="261" w:lineRule="auto"/>
        <w:rPr>
          <w:sz w:val="20"/>
          <w:szCs w:val="20"/>
          <w:color w:val="auto"/>
        </w:rPr>
      </w:pPr>
      <w:r>
        <w:rPr>
          <w:rFonts w:ascii="Times New Roman" w:cs="Times New Roman" w:eastAsia="Times New Roman" w:hAnsi="Times New Roman"/>
          <w:sz w:val="18"/>
          <w:szCs w:val="18"/>
          <w:color w:val="auto"/>
        </w:rPr>
        <w:t>MCV Management Company, LLC is the investment manager of Maverick Ventures Fund and Maverick Advisors. Maverick Capital Management is the general partner of Maverick Capital Advisors, L.P. (the controlling member of Maverick Capital Ventures, LLC) and Maverick Capital, Ltd. (the controlling member of MCV Management Company, LLC). Mr. Ainslie is the manager of Maverick Capital Management, LLC.</w:t>
      </w:r>
    </w:p>
    <w:p>
      <w:pPr>
        <w:spacing w:after="0" w:line="324" w:lineRule="exact"/>
        <w:rPr>
          <w:sz w:val="20"/>
          <w:szCs w:val="20"/>
          <w:color w:val="auto"/>
        </w:rPr>
      </w:pPr>
    </w:p>
    <w:p>
      <w:pPr>
        <w:ind w:left="4"/>
        <w:spacing w:after="0"/>
        <w:tabs>
          <w:tab w:leader="none" w:pos="964"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u w:val="single" w:color="auto"/>
          <w:color w:val="auto"/>
        </w:rPr>
        <w:t>Ownership of Five Percent or Less of a Class</w:t>
      </w:r>
      <w:r>
        <w:rPr>
          <w:rFonts w:ascii="Times New Roman" w:cs="Times New Roman" w:eastAsia="Times New Roman" w:hAnsi="Times New Roman"/>
          <w:sz w:val="17"/>
          <w:szCs w:val="17"/>
          <w:b w:val="1"/>
          <w:bCs w:val="1"/>
          <w:color w:val="auto"/>
        </w:rPr>
        <w:t>.</w:t>
      </w:r>
    </w:p>
    <w:p>
      <w:pPr>
        <w:spacing w:after="0" w:line="121" w:lineRule="exact"/>
        <w:rPr>
          <w:sz w:val="20"/>
          <w:szCs w:val="20"/>
          <w:color w:val="auto"/>
        </w:rPr>
      </w:pPr>
    </w:p>
    <w:p>
      <w:pPr>
        <w:ind w:left="984" w:right="100"/>
        <w:spacing w:after="0" w:line="235"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Persons have ceased to be the beneficial owner of more than five percent of the class of securities, check the following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ectPr>
          <w:pgSz w:w="11900" w:h="16838" w:orient="portrait"/>
          <w:cols w:equalWidth="0" w:num="1">
            <w:col w:w="10944"/>
          </w:cols>
          <w:pgMar w:left="436" w:top="266" w:right="519" w:bottom="1440" w:gutter="0" w:footer="0" w:header="0"/>
        </w:sectPr>
      </w:pPr>
    </w:p>
    <w:bookmarkStart w:id="6" w:name="page7"/>
    <w:bookmarkEnd w:id="6"/>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Item 6.</w:t>
      </w:r>
      <w:r>
        <w:rPr>
          <w:sz w:val="20"/>
          <w:szCs w:val="20"/>
          <w:color w:val="auto"/>
        </w:rPr>
        <w:tab/>
      </w:r>
      <w:r>
        <w:rPr>
          <w:rFonts w:ascii="Times New Roman" w:cs="Times New Roman" w:eastAsia="Times New Roman" w:hAnsi="Times New Roman"/>
          <w:sz w:val="17"/>
          <w:szCs w:val="17"/>
          <w:b w:val="1"/>
          <w:bCs w:val="1"/>
          <w:u w:val="single" w:color="auto"/>
          <w:color w:val="auto"/>
        </w:rPr>
        <w:t>Ownership of More than Five Percent on Behalf of Another Person</w:t>
      </w:r>
      <w:r>
        <w:rPr>
          <w:rFonts w:ascii="Times New Roman" w:cs="Times New Roman" w:eastAsia="Times New Roman" w:hAnsi="Times New Roman"/>
          <w:sz w:val="17"/>
          <w:szCs w:val="17"/>
          <w:b w:val="1"/>
          <w:bCs w:val="1"/>
          <w:color w:val="auto"/>
        </w:rPr>
        <w:t>.</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ind w:left="980" w:right="580" w:hanging="984"/>
        <w:spacing w:after="0" w:line="286"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u w:val="single" w:color="auto"/>
          <w:color w:val="auto"/>
        </w:rPr>
        <w:t>Identification and Classification of the Subsidiary Which Acquired the Security Being Reported on by the Parent Holding Company or Control Person</w:t>
      </w:r>
      <w:r>
        <w:rPr>
          <w:rFonts w:ascii="Times New Roman" w:cs="Times New Roman" w:eastAsia="Times New Roman" w:hAnsi="Times New Roman"/>
          <w:sz w:val="18"/>
          <w:szCs w:val="18"/>
          <w:b w:val="1"/>
          <w:bCs w:val="1"/>
          <w:color w:val="auto"/>
        </w:rPr>
        <w:t>.</w:t>
      </w:r>
    </w:p>
    <w:p>
      <w:pPr>
        <w:spacing w:after="0" w:line="5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u w:val="single" w:color="auto"/>
          <w:color w:val="auto"/>
        </w:rPr>
        <w:t>Identification and Classification of Members of the Group</w:t>
      </w:r>
      <w:r>
        <w:rPr>
          <w:rFonts w:ascii="Times New Roman" w:cs="Times New Roman" w:eastAsia="Times New Roman" w:hAnsi="Times New Roman"/>
          <w:sz w:val="17"/>
          <w:szCs w:val="17"/>
          <w:b w:val="1"/>
          <w:bCs w:val="1"/>
          <w:color w:val="auto"/>
        </w:rPr>
        <w:t>.</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u w:val="single" w:color="auto"/>
          <w:color w:val="auto"/>
        </w:rPr>
        <w:t>Notice of Dissolution of Group</w:t>
      </w:r>
      <w:r>
        <w:rPr>
          <w:rFonts w:ascii="Times New Roman" w:cs="Times New Roman" w:eastAsia="Times New Roman" w:hAnsi="Times New Roman"/>
          <w:sz w:val="17"/>
          <w:szCs w:val="17"/>
          <w:b w:val="1"/>
          <w:bCs w:val="1"/>
          <w:color w:val="auto"/>
        </w:rPr>
        <w:t>.</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u w:val="single" w:color="auto"/>
          <w:color w:val="auto"/>
        </w:rPr>
        <w:t>Certification</w:t>
      </w:r>
      <w:r>
        <w:rPr>
          <w:rFonts w:ascii="Times New Roman" w:cs="Times New Roman" w:eastAsia="Times New Roman" w:hAnsi="Times New Roman"/>
          <w:sz w:val="17"/>
          <w:szCs w:val="17"/>
          <w:b w:val="1"/>
          <w:bCs w:val="1"/>
          <w:color w:val="auto"/>
        </w:rPr>
        <w:t>.</w:t>
      </w:r>
    </w:p>
    <w:p>
      <w:pPr>
        <w:spacing w:after="0" w:line="121"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By signing below each of the Reporting Persons certifies that, to the best of such person’s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0900"/>
          </w:cols>
          <w:pgMar w:left="440" w:top="266" w:right="559" w:bottom="1440" w:gutter="0" w:footer="0" w:header="0"/>
        </w:sectPr>
      </w:pPr>
    </w:p>
    <w:bookmarkStart w:id="7" w:name="page8"/>
    <w:bookmarkEnd w:id="7"/>
    <w:p>
      <w:pPr>
        <w:jc w:val="center"/>
        <w:ind w:right="-679"/>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its knowledge and belief, each of the undersigned certifies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31, 2020</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MCV MANAGEMENT COMPANY,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Lee S. Ainslie III, Manager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Mark Gurevich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Mark Gurevich</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Under Power of Attorney dated March 15, 2018</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MAVERICK CAPITAL MANAGEMENT,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Lee S. Ainslie III, Manager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Mark Gurevich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Mark Gurevich</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Under Power of Attorney dated March 15, 2018</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LEE S. AINSLE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Mark Gurevich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Mark Gurevich</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Under Power of Attorney dated March 15, 2018</w:t>
      </w:r>
    </w:p>
    <w:p>
      <w:pPr>
        <w:sectPr>
          <w:pgSz w:w="11900" w:h="16838" w:orient="portrait"/>
          <w:cols w:equalWidth="0" w:num="1">
            <w:col w:w="10320"/>
          </w:cols>
          <w:pgMar w:left="440" w:top="270" w:right="1139" w:bottom="1440" w:gutter="0" w:footer="0" w:header="0"/>
        </w:sectPr>
      </w:pPr>
    </w:p>
    <w:bookmarkStart w:id="8" w:name="page9"/>
    <w:bookmarkEnd w:id="8"/>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INDEX</w:t>
      </w:r>
    </w:p>
    <w:p>
      <w:pPr>
        <w:spacing w:after="0" w:line="256" w:lineRule="exact"/>
        <w:rPr>
          <w:sz w:val="20"/>
          <w:szCs w:val="20"/>
          <w:color w:val="auto"/>
        </w:rPr>
      </w:pPr>
    </w:p>
    <w:p>
      <w:pPr>
        <w:ind w:left="544" w:hanging="544"/>
        <w:spacing w:after="0" w:line="282" w:lineRule="auto"/>
        <w:tabs>
          <w:tab w:leader="none" w:pos="54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Joint Filing Agreement, dated December 31, 2020, by and among MCV Management Company, LLC, Maverick Capital Management, LLC, and Lee S. Ainslie III.</w:t>
      </w:r>
    </w:p>
    <w:p>
      <w:pPr>
        <w:spacing w:after="0" w:line="67"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 of Attorney, Lee S. Ainslie III, dated March 15, 2018</w:t>
      </w:r>
    </w:p>
    <w:p>
      <w:pPr>
        <w:sectPr>
          <w:pgSz w:w="11900" w:h="16838" w:orient="portrait"/>
          <w:cols w:equalWidth="0" w:num="1">
            <w:col w:w="10964"/>
          </w:cols>
          <w:pgMar w:left="436" w:top="266" w:right="4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JOINT FILING AGREEMENT</w:t>
      </w:r>
    </w:p>
    <w:p>
      <w:pPr>
        <w:spacing w:after="0" w:line="20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undersigned hereby agree that the statement on Schedule 13G with respect to the Class A common stock, par value $0.00001 of Seer, Inc., dated as of December 31, 2020, is, and any amendments thereto (including amendments on Schedule 13D) signed by each of the undersigned shall be, filed on behalf of each of us pursuant to and in accordance with the provisions of Rule 13d-1(k) under the Securities Exchange Act of 1934.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MCV MANAGEMENT COMPANY,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Lee S. Ainslie III, Manager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Mark Gurevich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Mark Gurevich</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Under Power of Attorney dated March 15, 2018</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MAVERICK CAPITAL MANAGEMENT,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Lee S. Ainslie III, Manager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Mark Gurevich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Mark Gurevich</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Under Power of Attorney dated March 15, 2018</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LEE S. AINSLE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Mark Gurevich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Mark Gurevich</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Under Power of Attorney dated March 15, 2018</w:t>
      </w:r>
    </w:p>
    <w:p>
      <w:pPr>
        <w:sectPr>
          <w:pgSz w:w="11900" w:h="16838" w:orient="portrait"/>
          <w:cols w:equalWidth="0" w:num="1">
            <w:col w:w="10900"/>
          </w:cols>
          <w:pgMar w:left="440" w:top="117" w:right="5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Exhibit B</w:t>
      </w: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KNOW ALL MEN BY THESE PRESENTS, that I, Lee S. Ainslie III, hereby make, constitute and appoint Mark Gurevich as my agent and attorney-in -fact for the purpose of executing (i) in my personal capacity or (ii) in my capacity as manager or other officer or representative of Maverick Capital Management, LLC, Maverick Capital, Ltd. or any affiliate of either, all documents to be filed with or delivered to any foreign or domestic governmental or regulatory body or other person pursuant to any legal or regulatory requirement relating to the issuance, acquisition, ownership, management or disposition of securities or investments, including without limitation all documents required to be filed with the United States Securities and Exchange Commission pursuant to Sections 13 and 16 of the Securities Exchange Act of 1934 and any joint filing agreements pursuant to Rule 13d-1(k).</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past acts of the attorney-in-fact in furtherance of the foregoing are hereby ratified and confirmed.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power of attorney shall be valid from the date hereof until revoked by me.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I have executed this instrument as of the 15</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day of March, 2018.</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Lee S. Ainslie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Lee S. Ainslie III</w:t>
      </w:r>
    </w:p>
    <w:sectPr>
      <w:pgSz w:w="11900" w:h="16838" w:orient="portrait"/>
      <w:cols w:equalWidth="0" w:num="1">
        <w:col w:w="10960"/>
      </w:cols>
      <w:pgMar w:left="440" w:top="121"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lvl w:ilvl="1">
      <w:lvlJc w:val="left"/>
      <w:lvlText w:val="☐"/>
      <w:numFmt w:val="bullet"/>
      <w:start w:val="1"/>
    </w:lvl>
  </w:abstractNum>
  <w:abstractNum w:abstractNumId="2">
    <w:nsid w:val="41A7C4C9"/>
    <w:multiLevelType w:val="hybridMultilevel"/>
    <w:lvl w:ilvl="0">
      <w:lvlJc w:val="left"/>
      <w:lvlText w:val="1"/>
      <w:numFmt w:val="bullet"/>
      <w:start w:val="1"/>
    </w:lvl>
  </w:abstractNum>
  <w:abstractNum w:abstractNumId="3">
    <w:nsid w:val="6B68079A"/>
    <w:multiLevelType w:val="hybridMultilevel"/>
    <w:lvl w:ilvl="0">
      <w:lvlJc w:val="left"/>
      <w:lvlText w:val="2"/>
      <w:numFmt w:val="bullet"/>
      <w:start w:val="1"/>
    </w:lvl>
  </w:abstractNum>
  <w:abstractNum w:abstractNumId="4">
    <w:nsid w:val="4E6AFB66"/>
    <w:multiLevelType w:val="hybridMultilevel"/>
    <w:lvl w:ilvl="0">
      <w:lvlJc w:val="left"/>
      <w:lvlText w:val="3"/>
      <w:numFmt w:val="bullet"/>
      <w:start w:val="1"/>
    </w:lvl>
  </w:abstractNum>
  <w:abstractNum w:abstractNumId="5">
    <w:nsid w:val="25E45D32"/>
    <w:multiLevelType w:val="hybridMultilevel"/>
    <w:lvl w:ilvl="0">
      <w:lvlJc w:val="left"/>
      <w:lvlText w:val="4"/>
      <w:numFmt w:val="bullet"/>
      <w:start w:val="1"/>
    </w:lvl>
  </w:abstractNum>
  <w:abstractNum w:abstractNumId="6">
    <w:nsid w:val="519B500D"/>
    <w:multiLevelType w:val="hybridMultilevel"/>
    <w:lvl w:ilvl="0">
      <w:lvlJc w:val="left"/>
      <w:lvlText w:val="9"/>
      <w:numFmt w:val="bullet"/>
      <w:start w:val="1"/>
    </w:lvl>
  </w:abstractNum>
  <w:abstractNum w:abstractNumId="7">
    <w:nsid w:val="431BD7B7"/>
    <w:multiLevelType w:val="hybridMultilevel"/>
    <w:lvl w:ilvl="0">
      <w:lvlJc w:val="left"/>
      <w:lvlText w:val="%1"/>
      <w:numFmt w:val="decimal"/>
      <w:start w:val="10"/>
    </w:lvl>
  </w:abstractNum>
  <w:abstractNum w:abstractNumId="8">
    <w:nsid w:val="3F2DBA31"/>
    <w:multiLevelType w:val="hybridMultilevel"/>
    <w:lvl w:ilvl="0">
      <w:lvlJc w:val="left"/>
      <w:lvlText w:val="1"/>
      <w:numFmt w:val="bullet"/>
      <w:start w:val="1"/>
    </w:lvl>
  </w:abstractNum>
  <w:abstractNum w:abstractNumId="9">
    <w:nsid w:val="7C83E458"/>
    <w:multiLevelType w:val="hybridMultilevel"/>
    <w:lvl w:ilvl="0">
      <w:lvlJc w:val="left"/>
      <w:lvlText w:val="2"/>
      <w:numFmt w:val="bullet"/>
      <w:start w:val="1"/>
    </w:lvl>
  </w:abstractNum>
  <w:abstractNum w:abstractNumId="10">
    <w:nsid w:val="257130A3"/>
    <w:multiLevelType w:val="hybridMultilevel"/>
    <w:lvl w:ilvl="0">
      <w:lvlJc w:val="left"/>
      <w:lvlText w:val="3"/>
      <w:numFmt w:val="bullet"/>
      <w:start w:val="1"/>
    </w:lvl>
  </w:abstractNum>
  <w:abstractNum w:abstractNumId="11">
    <w:nsid w:val="62BBD95A"/>
    <w:multiLevelType w:val="hybridMultilevel"/>
    <w:lvl w:ilvl="0">
      <w:lvlJc w:val="left"/>
      <w:lvlText w:val="4"/>
      <w:numFmt w:val="bullet"/>
      <w:start w:val="1"/>
    </w:lvl>
  </w:abstractNum>
  <w:abstractNum w:abstractNumId="12">
    <w:nsid w:val="436C6125"/>
    <w:multiLevelType w:val="hybridMultilevel"/>
    <w:lvl w:ilvl="0">
      <w:lvlJc w:val="left"/>
      <w:lvlText w:val="9"/>
      <w:numFmt w:val="bullet"/>
      <w:start w:val="1"/>
    </w:lvl>
  </w:abstractNum>
  <w:abstractNum w:abstractNumId="13">
    <w:nsid w:val="628C895D"/>
    <w:multiLevelType w:val="hybridMultilevel"/>
    <w:lvl w:ilvl="0">
      <w:lvlJc w:val="left"/>
      <w:lvlText w:val="%1"/>
      <w:numFmt w:val="decimal"/>
      <w:start w:val="10"/>
    </w:lvl>
  </w:abstractNum>
  <w:abstractNum w:abstractNumId="14">
    <w:nsid w:val="333AB105"/>
    <w:multiLevelType w:val="hybridMultilevel"/>
    <w:lvl w:ilvl="0">
      <w:lvlJc w:val="left"/>
      <w:lvlText w:val="1"/>
      <w:numFmt w:val="bullet"/>
      <w:start w:val="1"/>
    </w:lvl>
  </w:abstractNum>
  <w:abstractNum w:abstractNumId="15">
    <w:nsid w:val="721DA317"/>
    <w:multiLevelType w:val="hybridMultilevel"/>
    <w:lvl w:ilvl="0">
      <w:lvlJc w:val="left"/>
      <w:lvlText w:val="2"/>
      <w:numFmt w:val="bullet"/>
      <w:start w:val="1"/>
    </w:lvl>
  </w:abstractNum>
  <w:abstractNum w:abstractNumId="16">
    <w:nsid w:val="2443A858"/>
    <w:multiLevelType w:val="hybridMultilevel"/>
    <w:lvl w:ilvl="0">
      <w:lvlJc w:val="left"/>
      <w:lvlText w:val="3"/>
      <w:numFmt w:val="bullet"/>
      <w:start w:val="1"/>
    </w:lvl>
  </w:abstractNum>
  <w:abstractNum w:abstractNumId="17">
    <w:nsid w:val="2D1D5AE9"/>
    <w:multiLevelType w:val="hybridMultilevel"/>
    <w:lvl w:ilvl="0">
      <w:lvlJc w:val="left"/>
      <w:lvlText w:val="4"/>
      <w:numFmt w:val="bullet"/>
      <w:start w:val="1"/>
    </w:lvl>
  </w:abstractNum>
  <w:abstractNum w:abstractNumId="18">
    <w:nsid w:val="6763845E"/>
    <w:multiLevelType w:val="hybridMultilevel"/>
    <w:lvl w:ilvl="0">
      <w:lvlJc w:val="left"/>
      <w:lvlText w:val="5"/>
      <w:numFmt w:val="bullet"/>
      <w:start w:val="1"/>
    </w:lvl>
  </w:abstractNum>
  <w:abstractNum w:abstractNumId="19">
    <w:nsid w:val="75A2A8D4"/>
    <w:multiLevelType w:val="hybridMultilevel"/>
    <w:lvl w:ilvl="0">
      <w:lvlJc w:val="left"/>
      <w:lvlText w:val="6"/>
      <w:numFmt w:val="bullet"/>
      <w:start w:val="1"/>
    </w:lvl>
  </w:abstractNum>
  <w:abstractNum w:abstractNumId="20">
    <w:nsid w:val="8EDBDAB"/>
    <w:multiLevelType w:val="hybridMultilevel"/>
    <w:lvl w:ilvl="0">
      <w:lvlJc w:val="left"/>
      <w:lvlText w:val="7"/>
      <w:numFmt w:val="bullet"/>
      <w:start w:val="1"/>
    </w:lvl>
  </w:abstractNum>
  <w:abstractNum w:abstractNumId="21">
    <w:nsid w:val="79838CB2"/>
    <w:multiLevelType w:val="hybridMultilevel"/>
    <w:lvl w:ilvl="0">
      <w:lvlJc w:val="left"/>
      <w:lvlText w:val="8"/>
      <w:numFmt w:val="bullet"/>
      <w:start w:val="1"/>
    </w:lvl>
  </w:abstractNum>
  <w:abstractNum w:abstractNumId="22">
    <w:nsid w:val="4353D0CD"/>
    <w:multiLevelType w:val="hybridMultilevel"/>
    <w:lvl w:ilvl="0">
      <w:lvlJc w:val="left"/>
      <w:lvlText w:val="9"/>
      <w:numFmt w:val="bullet"/>
      <w:start w:val="1"/>
    </w:lvl>
  </w:abstractNum>
  <w:abstractNum w:abstractNumId="23">
    <w:nsid w:val="B03E0C6"/>
    <w:multiLevelType w:val="hybridMultilevel"/>
    <w:lvl w:ilvl="0">
      <w:lvlJc w:val="left"/>
      <w:lvlText w:val="%1"/>
      <w:numFmt w:val="decimal"/>
      <w:start w:val="10"/>
    </w:lvl>
  </w:abstractNum>
  <w:abstractNum w:abstractNumId="24">
    <w:nsid w:val="189A769B"/>
    <w:multiLevelType w:val="hybridMultilevel"/>
    <w:lvl w:ilvl="0">
      <w:lvlJc w:val="left"/>
      <w:lvlText w:val="(%1)"/>
      <w:numFmt w:val="lowerRoman"/>
      <w:start w:val="1"/>
    </w:lvl>
  </w:abstractNum>
  <w:abstractNum w:abstractNumId="25">
    <w:nsid w:val="54E49EB4"/>
    <w:multiLevelType w:val="hybridMultilevel"/>
    <w:lvl w:ilvl="0">
      <w:lvlJc w:val="left"/>
      <w:lvlText w:val="(%1)"/>
      <w:numFmt w:val="lowerRoman"/>
      <w:start w:val="1"/>
    </w:lvl>
  </w:abstractNum>
  <w:abstractNum w:abstractNumId="26">
    <w:nsid w:val="71F32454"/>
    <w:multiLevelType w:val="hybridMultilevel"/>
    <w:lvl w:ilvl="0">
      <w:lvlJc w:val="left"/>
      <w:lvlText w:val="(%1)"/>
      <w:numFmt w:val="lowerLetter"/>
      <w:start w:val="1"/>
    </w:lvl>
  </w:abstractNum>
  <w:abstractNum w:abstractNumId="27">
    <w:nsid w:val="2CA88611"/>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2021-01-04T05:09:21Z</dcterms:created>
  <dcterms:modified xsi:type="dcterms:W3CDTF">2021-01-04T05:09:21Z</dcterms:modified>
</cp:coreProperties>
</file>