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81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121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93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Seer,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C/O SEER, INC.</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w w:val="98"/>
              </w:rPr>
              <w:t>12/09/2025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3800 BRIDGE PARKWAY</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500" w:type="dxa"/>
            <w:vAlign w:val="bottom"/>
            <w:tcBorders>
              <w:top w:val="single" w:sz="8" w:color="2C2C2C"/>
            </w:tcBorders>
            <w:gridSpan w:val="17"/>
          </w:tcPr>
          <w:p>
            <w:pPr>
              <w:ind w:left="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5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4,088</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215,070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7"/>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112,066</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78,947</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7"/>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500" w:type="dxa"/>
            <w:vAlign w:val="bottom"/>
            <w:gridSpan w:val="17"/>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4,088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12/09/2025</w:t>
            </w: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4"/>
                <w:szCs w:val="4"/>
                <w:color w:val="auto"/>
              </w:rPr>
            </w:pPr>
          </w:p>
        </w:tc>
        <w:tc>
          <w:tcPr>
            <w:tcW w:w="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0000FF"/>
              </w:rPr>
              <w:t>4,088</w:t>
            </w:r>
          </w:p>
        </w:tc>
        <w:tc>
          <w:tcPr>
            <w:tcW w:w="8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4"/>
                <w:szCs w:val="4"/>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4"/>
                <w:szCs w:val="4"/>
                <w:color w:val="auto"/>
              </w:rPr>
            </w:pP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18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61"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amended and restated certificate of incorporation, as amended, each share of the Issuer's Class B Common Stock automatically converted into one share of Class A Common Stock at the close of business on the first day following the fifth anniversary of the closing of the Issuer's initial public offering.</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Strong Bridge, LLC for which the Reporting Person serves as an operating manager.</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p>
      <w:pPr>
        <w:spacing w:after="0" w:line="4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12/11/2025</w:t>
            </w:r>
          </w:p>
        </w:tc>
        <w:tc>
          <w:tcPr>
            <w:tcW w:w="0" w:type="dxa"/>
            <w:vAlign w:val="bottom"/>
          </w:tcPr>
          <w:p>
            <w:pPr>
              <w:spacing w:after="0"/>
              <w:rPr>
                <w:sz w:val="1"/>
                <w:szCs w:val="1"/>
                <w:color w:val="auto"/>
              </w:rPr>
            </w:pPr>
          </w:p>
        </w:tc>
      </w:tr>
      <w:tr>
        <w:trPr>
          <w:trHeight w:val="89"/>
        </w:trPr>
        <w:tc>
          <w:tcPr>
            <w:tcW w:w="190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2025-12-11T19:41:17Z</dcterms:created>
  <dcterms:modified xsi:type="dcterms:W3CDTF">2025-12-11T19:41:17Z</dcterms:modified>
</cp:coreProperties>
</file>