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FRIEDMAN CATHY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06/17/2031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17, 2022 or (ii) the day prior to the date of the Issuer's next annual meeting of stockholders.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253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11874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2021-06-22T17:24:46Z</dcterms:created>
  <dcterms:modified xsi:type="dcterms:W3CDTF">2021-06-22T17:24:46Z</dcterms:modified>
</cp:coreProperties>
</file>