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285115</wp:posOffset>
            </wp:positionH>
            <wp:positionV relativeFrom="page">
              <wp:posOffset>1023620</wp:posOffset>
            </wp:positionV>
            <wp:extent cx="69862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1714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997585</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jc w:val="center"/>
        <w:ind w:right="-73"/>
        <w:spacing w:after="0"/>
        <w:rPr>
          <w:sz w:val="20"/>
          <w:szCs w:val="20"/>
          <w:color w:val="auto"/>
        </w:rPr>
      </w:pPr>
      <w:r>
        <w:rPr>
          <w:rFonts w:ascii="Arial" w:cs="Arial" w:eastAsia="Arial" w:hAnsi="Arial"/>
          <w:sz w:val="29"/>
          <w:szCs w:val="29"/>
          <w:b w:val="1"/>
          <w:bCs w:val="1"/>
          <w:color w:val="auto"/>
        </w:rPr>
        <w:t>UNITED STATES</w:t>
      </w:r>
    </w:p>
    <w:p>
      <w:pPr>
        <w:spacing w:after="0" w:line="112"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SECURITIES AND EXCHANGE COMMISSION</w:t>
      </w:r>
    </w:p>
    <w:p>
      <w:pPr>
        <w:spacing w:after="0" w:line="41" w:lineRule="exact"/>
        <w:rPr>
          <w:sz w:val="24"/>
          <w:szCs w:val="24"/>
          <w:color w:val="auto"/>
        </w:rPr>
      </w:pPr>
    </w:p>
    <w:p>
      <w:pPr>
        <w:jc w:val="center"/>
        <w:ind w:right="-73"/>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65405</wp:posOffset>
            </wp:positionV>
            <wp:extent cx="23056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66"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40005</wp:posOffset>
            </wp:positionV>
            <wp:extent cx="23056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86" w:lineRule="exact"/>
        <w:rPr>
          <w:sz w:val="24"/>
          <w:szCs w:val="24"/>
          <w:color w:val="auto"/>
        </w:rPr>
      </w:pPr>
    </w:p>
    <w:p>
      <w:pPr>
        <w:jc w:val="center"/>
        <w:ind w:right="-73"/>
        <w:spacing w:after="0"/>
        <w:rPr>
          <w:sz w:val="20"/>
          <w:szCs w:val="20"/>
          <w:color w:val="auto"/>
        </w:rPr>
      </w:pPr>
      <w:r>
        <w:rPr>
          <w:rFonts w:ascii="Arial" w:cs="Arial" w:eastAsia="Arial" w:hAnsi="Arial"/>
          <w:sz w:val="22"/>
          <w:szCs w:val="22"/>
          <w:b w:val="1"/>
          <w:bCs w:val="1"/>
          <w:color w:val="auto"/>
        </w:rPr>
        <w:t>CURRENT REPORT</w:t>
      </w:r>
    </w:p>
    <w:p>
      <w:pPr>
        <w:spacing w:after="0" w:line="107"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81" w:lineRule="exact"/>
        <w:rPr>
          <w:sz w:val="24"/>
          <w:szCs w:val="24"/>
          <w:color w:val="auto"/>
        </w:rPr>
      </w:pPr>
    </w:p>
    <w:p>
      <w:pPr>
        <w:jc w:val="center"/>
        <w:ind w:right="-73"/>
        <w:spacing w:after="0"/>
        <w:rPr>
          <w:sz w:val="20"/>
          <w:szCs w:val="20"/>
          <w:color w:val="auto"/>
        </w:rPr>
      </w:pPr>
      <w:r>
        <w:rPr>
          <w:rFonts w:ascii="Arial" w:cs="Arial" w:eastAsia="Arial" w:hAnsi="Arial"/>
          <w:sz w:val="22"/>
          <w:szCs w:val="22"/>
          <w:b w:val="1"/>
          <w:bCs w:val="1"/>
          <w:color w:val="auto"/>
        </w:rPr>
        <w:t>January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62230</wp:posOffset>
            </wp:positionV>
            <wp:extent cx="23056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62"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Seer, Inc.</w:t>
      </w:r>
    </w:p>
    <w:p>
      <w:pPr>
        <w:spacing w:after="0" w:line="29"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22225</wp:posOffset>
            </wp:positionV>
            <wp:extent cx="23056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76" w:lineRule="exact"/>
        <w:rPr>
          <w:sz w:val="24"/>
          <w:szCs w:val="24"/>
          <w:color w:val="auto"/>
        </w:rPr>
      </w:pPr>
    </w:p>
    <w:tbl>
      <w:tblPr>
        <w:tblLayout w:type="fixed"/>
        <w:tblInd w:w="894" w:type="dxa"/>
        <w:tblCellMar>
          <w:top w:w="0" w:type="dxa"/>
          <w:left w:w="0" w:type="dxa"/>
          <w:bottom w:w="0" w:type="dxa"/>
          <w:right w:w="0" w:type="dxa"/>
        </w:tblCellMar>
      </w:tblPr>
      <w:tr>
        <w:trPr>
          <w:trHeight w:val="186"/>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4"/>
              </w:rPr>
              <w:t>Delaware</w:t>
            </w:r>
          </w:p>
        </w:tc>
        <w:tc>
          <w:tcPr>
            <w:tcW w:w="3460" w:type="dxa"/>
            <w:vAlign w:val="bottom"/>
          </w:tcPr>
          <w:p>
            <w:pPr>
              <w:jc w:val="center"/>
              <w:ind w:right="128"/>
              <w:spacing w:after="0"/>
              <w:rPr>
                <w:sz w:val="20"/>
                <w:szCs w:val="20"/>
                <w:color w:val="auto"/>
              </w:rPr>
            </w:pPr>
            <w:r>
              <w:rPr>
                <w:rFonts w:ascii="Arial" w:cs="Arial" w:eastAsia="Arial" w:hAnsi="Arial"/>
                <w:sz w:val="14"/>
                <w:szCs w:val="14"/>
                <w:b w:val="1"/>
                <w:bCs w:val="1"/>
                <w:color w:val="auto"/>
                <w:w w:val="92"/>
              </w:rPr>
              <w:t>001-39747</w:t>
            </w:r>
          </w:p>
        </w:tc>
        <w:tc>
          <w:tcPr>
            <w:tcW w:w="2560" w:type="dxa"/>
            <w:vAlign w:val="bottom"/>
          </w:tcPr>
          <w:p>
            <w:pPr>
              <w:jc w:val="center"/>
              <w:ind w:left="1348"/>
              <w:spacing w:after="0"/>
              <w:rPr>
                <w:sz w:val="20"/>
                <w:szCs w:val="20"/>
                <w:color w:val="auto"/>
              </w:rPr>
            </w:pPr>
            <w:r>
              <w:rPr>
                <w:rFonts w:ascii="Arial" w:cs="Arial" w:eastAsia="Arial" w:hAnsi="Arial"/>
                <w:sz w:val="14"/>
                <w:szCs w:val="14"/>
                <w:b w:val="1"/>
                <w:bCs w:val="1"/>
                <w:color w:val="auto"/>
                <w:w w:val="93"/>
              </w:rPr>
              <w:t>82-1153150</w:t>
            </w:r>
          </w:p>
        </w:tc>
      </w:tr>
      <w:tr>
        <w:trPr>
          <w:trHeight w:val="189"/>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2"/>
              </w:rPr>
              <w:t>(State or other jurisdiction of</w:t>
            </w:r>
          </w:p>
        </w:tc>
        <w:tc>
          <w:tcPr>
            <w:tcW w:w="3460" w:type="dxa"/>
            <w:vAlign w:val="bottom"/>
          </w:tcPr>
          <w:p>
            <w:pPr>
              <w:jc w:val="center"/>
              <w:ind w:right="108"/>
              <w:spacing w:after="0"/>
              <w:rPr>
                <w:sz w:val="20"/>
                <w:szCs w:val="20"/>
                <w:color w:val="auto"/>
              </w:rPr>
            </w:pPr>
            <w:r>
              <w:rPr>
                <w:rFonts w:ascii="Arial" w:cs="Arial" w:eastAsia="Arial" w:hAnsi="Arial"/>
                <w:sz w:val="14"/>
                <w:szCs w:val="14"/>
                <w:b w:val="1"/>
                <w:bCs w:val="1"/>
                <w:color w:val="auto"/>
                <w:w w:val="90"/>
              </w:rPr>
              <w:t>(Commission</w:t>
            </w:r>
          </w:p>
        </w:tc>
        <w:tc>
          <w:tcPr>
            <w:tcW w:w="2560" w:type="dxa"/>
            <w:vAlign w:val="bottom"/>
          </w:tcPr>
          <w:p>
            <w:pPr>
              <w:jc w:val="center"/>
              <w:ind w:left="1368"/>
              <w:spacing w:after="0"/>
              <w:rPr>
                <w:sz w:val="20"/>
                <w:szCs w:val="20"/>
                <w:color w:val="auto"/>
              </w:rPr>
            </w:pPr>
            <w:r>
              <w:rPr>
                <w:rFonts w:ascii="Arial" w:cs="Arial" w:eastAsia="Arial" w:hAnsi="Arial"/>
                <w:sz w:val="14"/>
                <w:szCs w:val="14"/>
                <w:b w:val="1"/>
                <w:bCs w:val="1"/>
                <w:color w:val="auto"/>
                <w:w w:val="96"/>
              </w:rPr>
              <w:t>(I.R.S. Employer</w:t>
            </w:r>
          </w:p>
        </w:tc>
      </w:tr>
      <w:tr>
        <w:trPr>
          <w:trHeight w:val="189"/>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4"/>
              </w:rPr>
              <w:t>incorporation)</w:t>
            </w:r>
          </w:p>
        </w:tc>
        <w:tc>
          <w:tcPr>
            <w:tcW w:w="346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File Number)</w:t>
            </w:r>
          </w:p>
        </w:tc>
        <w:tc>
          <w:tcPr>
            <w:tcW w:w="2560" w:type="dxa"/>
            <w:vAlign w:val="bottom"/>
          </w:tcPr>
          <w:p>
            <w:pPr>
              <w:jc w:val="center"/>
              <w:ind w:left="1348"/>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ind w:left="4374"/>
        <w:spacing w:after="0"/>
        <w:rPr>
          <w:sz w:val="20"/>
          <w:szCs w:val="20"/>
          <w:color w:val="auto"/>
        </w:rPr>
      </w:pPr>
      <w:r>
        <w:rPr>
          <w:rFonts w:ascii="Arial" w:cs="Arial" w:eastAsia="Arial" w:hAnsi="Arial"/>
          <w:sz w:val="18"/>
          <w:szCs w:val="18"/>
          <w:b w:val="1"/>
          <w:bCs w:val="1"/>
          <w:color w:val="auto"/>
        </w:rPr>
        <w:t>3800 Bridge Parkway, Suite 102</w:t>
      </w:r>
    </w:p>
    <w:p>
      <w:pPr>
        <w:spacing w:after="0" w:line="27" w:lineRule="exact"/>
        <w:rPr>
          <w:sz w:val="24"/>
          <w:szCs w:val="24"/>
          <w:color w:val="auto"/>
        </w:rPr>
      </w:pPr>
    </w:p>
    <w:p>
      <w:pPr>
        <w:ind w:left="4374"/>
        <w:spacing w:after="0"/>
        <w:rPr>
          <w:sz w:val="20"/>
          <w:szCs w:val="20"/>
          <w:color w:val="auto"/>
        </w:rPr>
      </w:pPr>
      <w:r>
        <w:rPr>
          <w:rFonts w:ascii="Arial" w:cs="Arial" w:eastAsia="Arial" w:hAnsi="Arial"/>
          <w:sz w:val="18"/>
          <w:szCs w:val="18"/>
          <w:b w:val="1"/>
          <w:bCs w:val="1"/>
          <w:color w:val="auto"/>
        </w:rPr>
        <w:t>Redwood City, California 94065</w:t>
      </w:r>
    </w:p>
    <w:p>
      <w:pPr>
        <w:spacing w:after="0" w:line="2"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232"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650-453-0000</w:t>
      </w:r>
    </w:p>
    <w:p>
      <w:pPr>
        <w:spacing w:after="0" w:line="21"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32"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22225</wp:posOffset>
            </wp:positionV>
            <wp:extent cx="23056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61" w:lineRule="exact"/>
        <w:rPr>
          <w:sz w:val="24"/>
          <w:szCs w:val="24"/>
          <w:color w:val="auto"/>
        </w:rPr>
      </w:pPr>
    </w:p>
    <w:p>
      <w:pPr>
        <w:ind w:left="13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00" w:lineRule="exact"/>
        <w:rPr>
          <w:sz w:val="24"/>
          <w:szCs w:val="24"/>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0"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16" w:lineRule="exact"/>
        <w:rPr>
          <w:sz w:val="24"/>
          <w:szCs w:val="24"/>
          <w:color w:val="auto"/>
        </w:rPr>
      </w:pPr>
    </w:p>
    <w:tbl>
      <w:tblPr>
        <w:tblLayout w:type="fixed"/>
        <w:tblInd w:w="104" w:type="dxa"/>
        <w:tblCellMar>
          <w:top w:w="0" w:type="dxa"/>
          <w:left w:w="0" w:type="dxa"/>
          <w:bottom w:w="0" w:type="dxa"/>
          <w:right w:w="0" w:type="dxa"/>
        </w:tblCellMar>
      </w:tblPr>
      <w:tr>
        <w:trPr>
          <w:trHeight w:val="227"/>
        </w:trPr>
        <w:tc>
          <w:tcPr>
            <w:tcW w:w="4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43"/>
        </w:trPr>
        <w:tc>
          <w:tcPr>
            <w:tcW w:w="4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Class A Common Stock, par value $0.00001 per share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SEER</w:t>
            </w:r>
          </w:p>
        </w:tc>
        <w:tc>
          <w:tcPr>
            <w:tcW w:w="4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r>
      <w:tr>
        <w:trPr>
          <w:trHeight w:val="219"/>
        </w:trPr>
        <w:tc>
          <w:tcPr>
            <w:tcW w:w="4360" w:type="dxa"/>
            <w:vAlign w:val="bottom"/>
            <w:tcBorders>
              <w:left w:val="single" w:sz="8" w:color="auto"/>
              <w:bottom w:val="single" w:sz="8" w:color="auto"/>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spacing w:after="0"/>
              <w:rPr>
                <w:sz w:val="19"/>
                <w:szCs w:val="19"/>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(The NASDAQ Global Select Market)</w:t>
            </w:r>
          </w:p>
        </w:tc>
      </w:tr>
    </w:tbl>
    <w:p>
      <w:pPr>
        <w:spacing w:after="0" w:line="202" w:lineRule="exact"/>
        <w:rPr>
          <w:sz w:val="24"/>
          <w:szCs w:val="24"/>
          <w:color w:val="auto"/>
        </w:rPr>
      </w:pPr>
    </w:p>
    <w:p>
      <w:pPr>
        <w:ind w:left="634" w:right="80"/>
        <w:spacing w:after="0" w:line="277"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634"/>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99" w:lineRule="exact"/>
        <w:rPr>
          <w:sz w:val="24"/>
          <w:szCs w:val="24"/>
          <w:color w:val="auto"/>
        </w:rPr>
      </w:pPr>
    </w:p>
    <w:p>
      <w:pPr>
        <w:ind w:left="634" w:right="160"/>
        <w:spacing w:after="0" w:line="16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1061085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36195</wp:posOffset>
            </wp:positionV>
            <wp:extent cx="69862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6270" cy="171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10795</wp:posOffset>
            </wp:positionV>
            <wp:extent cx="69862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114"/>
          </w:cols>
          <w:pgMar w:left="346" w:top="1440" w:right="439" w:bottom="1440" w:gutter="0" w:footer="0" w:header="0"/>
        </w:sectPr>
      </w:pPr>
    </w:p>
    <w:bookmarkStart w:id="1" w:name="page2"/>
    <w:bookmarkEnd w:id="1"/>
    <w:p>
      <w:pPr>
        <w:ind w:right="600"/>
        <w:spacing w:after="0" w:line="28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45"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0"/>
          <w:szCs w:val="20"/>
          <w:color w:val="auto"/>
        </w:rPr>
        <w:t>On January 18, 2022, Meeta Gulyani was appointed to fill a vacancy on the Audit Committee (the “Audit Committee”) of the Board of Directors (the “Board”) of Seer, Inc. (the “Company”) in connection with the resignation of Mr. Dipchand (Deep) Nishar from the Audit Committee. Mr. Nishar is not resigning from the Audit Committee as a result of any disagreement with the Company. The Board, including the Corporate Governance and Nominating Committee of the Board, determined that Ms. Gulyani qualifies as independent under the director independence standards set forth in the rules and regulations of the Securities and Exchange Commission (the “SEC”) and the applicable listing standards of the Nasdaq Stock Market (the “Nasdaq”), and also satisfies the additional requirements of financial literacy and audit committee independence for audit committee service under the applicable rules and regulations of the SEC and the listing standards of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960" w:type="dxa"/>
            <w:vAlign w:val="bottom"/>
          </w:tcPr>
          <w:p>
            <w:pPr>
              <w:spacing w:after="0"/>
              <w:rPr>
                <w:sz w:val="20"/>
                <w:szCs w:val="20"/>
                <w:color w:val="auto"/>
              </w:rPr>
            </w:pPr>
          </w:p>
        </w:tc>
        <w:tc>
          <w:tcPr>
            <w:tcW w:w="7260" w:type="dxa"/>
            <w:vAlign w:val="bottom"/>
            <w:gridSpan w:val="2"/>
          </w:tcPr>
          <w:p>
            <w:pPr>
              <w:ind w:left="1940"/>
              <w:spacing w:after="0"/>
              <w:rPr>
                <w:sz w:val="20"/>
                <w:szCs w:val="20"/>
                <w:color w:val="auto"/>
              </w:rPr>
            </w:pPr>
            <w:r>
              <w:rPr>
                <w:rFonts w:ascii="Arial" w:cs="Arial" w:eastAsia="Arial" w:hAnsi="Arial"/>
                <w:sz w:val="18"/>
                <w:szCs w:val="18"/>
                <w:b w:val="1"/>
                <w:bCs w:val="1"/>
                <w:color w:val="auto"/>
              </w:rPr>
              <w:t>SEER, INC.</w:t>
            </w:r>
          </w:p>
        </w:tc>
      </w:tr>
      <w:tr>
        <w:trPr>
          <w:trHeight w:val="459"/>
        </w:trPr>
        <w:tc>
          <w:tcPr>
            <w:tcW w:w="3960" w:type="dxa"/>
            <w:vAlign w:val="bottom"/>
          </w:tcPr>
          <w:p>
            <w:pPr>
              <w:spacing w:after="0"/>
              <w:rPr>
                <w:sz w:val="20"/>
                <w:szCs w:val="20"/>
                <w:color w:val="auto"/>
              </w:rPr>
            </w:pPr>
            <w:r>
              <w:rPr>
                <w:rFonts w:ascii="Arial" w:cs="Arial" w:eastAsia="Arial" w:hAnsi="Arial"/>
                <w:sz w:val="18"/>
                <w:szCs w:val="18"/>
                <w:color w:val="auto"/>
              </w:rPr>
              <w:t>Date:   January 21, 2022</w:t>
            </w:r>
          </w:p>
        </w:tc>
        <w:tc>
          <w:tcPr>
            <w:tcW w:w="7260" w:type="dxa"/>
            <w:vAlign w:val="bottom"/>
            <w:gridSpan w:val="2"/>
          </w:tcPr>
          <w:p>
            <w:pPr>
              <w:ind w:left="1940"/>
              <w:spacing w:after="0"/>
              <w:rPr>
                <w:sz w:val="20"/>
                <w:szCs w:val="20"/>
                <w:color w:val="auto"/>
              </w:rPr>
            </w:pPr>
            <w:r>
              <w:rPr>
                <w:rFonts w:ascii="Arial" w:cs="Arial" w:eastAsia="Arial" w:hAnsi="Arial"/>
                <w:sz w:val="18"/>
                <w:szCs w:val="18"/>
                <w:color w:val="auto"/>
              </w:rPr>
              <w:t>By:   /s/ David Horn</w:t>
            </w:r>
          </w:p>
        </w:tc>
      </w:tr>
      <w:tr>
        <w:trPr>
          <w:trHeight w:val="223"/>
        </w:trPr>
        <w:tc>
          <w:tcPr>
            <w:tcW w:w="39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David Horn</w:t>
            </w:r>
          </w:p>
        </w:tc>
      </w:tr>
      <w:tr>
        <w:trPr>
          <w:trHeight w:val="230"/>
        </w:trPr>
        <w:tc>
          <w:tcPr>
            <w:tcW w:w="39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2022-01-24T05:14:38Z</dcterms:created>
  <dcterms:modified xsi:type="dcterms:W3CDTF">2022-01-24T05:14:38Z</dcterms:modified>
</cp:coreProperties>
</file>