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Farokhzad Omid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SEER,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3800 BRIDGE PARKWAY, SUITE 102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Seer,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SEER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CEO, President and Chair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52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ind w:left="50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11/08/2022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59,171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0.04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392,763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94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59,171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11/08/2022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59,171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05/17/2028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151,764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94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-2190115</wp:posOffset>
            </wp:positionV>
            <wp:extent cx="29210" cy="21951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5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8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the option are subject to an early exercise provision and are immediately exercisable. One-fourth of the shares underlying the option vested on March 23, 2019 and 1/48th of the shares vest monthly thereafter.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Elona Kogan, by power of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11/09/2022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86852" TargetMode="External"/><Relationship Id="rId13" Type="http://schemas.openxmlformats.org/officeDocument/2006/relationships/hyperlink" Target="http://www.sec.gov/cgi-bin/browse-edgar?action=getcompany&amp;CIK=0001726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2022-11-09T21:00:02Z</dcterms:created>
  <dcterms:modified xsi:type="dcterms:W3CDTF">2022-11-09T21:00:02Z</dcterms:modified>
</cp:coreProperties>
</file>