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March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960"/>
        <w:spacing w:after="0" w:line="237"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2" w:lineRule="exact"/>
        <w:rPr>
          <w:sz w:val="20"/>
          <w:szCs w:val="20"/>
          <w:color w:val="auto"/>
        </w:rPr>
      </w:pPr>
    </w:p>
    <w:p>
      <w:pPr>
        <w:sectPr>
          <w:pgSz w:w="11900" w:h="16838" w:orient="portrait"/>
          <w:cols w:equalWidth="0" w:num="2">
            <w:col w:w="860" w:space="620"/>
            <w:col w:w="9760"/>
          </w:cols>
          <w:pgMar w:left="320" w:top="1440" w:right="339" w:bottom="1440" w:gutter="0" w:footer="0" w:header="0"/>
        </w:sectPr>
      </w:pPr>
    </w:p>
    <w:p>
      <w:pPr>
        <w:jc w:val="both"/>
        <w:ind w:firstLine="648"/>
        <w:spacing w:after="0" w:line="277" w:lineRule="auto"/>
        <w:rPr>
          <w:sz w:val="20"/>
          <w:szCs w:val="20"/>
          <w:color w:val="auto"/>
        </w:rPr>
      </w:pPr>
      <w:r>
        <w:rPr>
          <w:rFonts w:ascii="Arial" w:cs="Arial" w:eastAsia="Arial" w:hAnsi="Arial"/>
          <w:sz w:val="18"/>
          <w:szCs w:val="18"/>
          <w:color w:val="auto"/>
        </w:rPr>
        <w:t>On March 16, 2022, Seer, Inc., (the “Company”) announced that Scott Thomas has been appointed to the role of Chief Commercial Officer, effective upon commencement of his employment with the Company on March 21, 2022 (the “Effective Date”).</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Mr. Thomas previously served as Senior Vice President, Sales and Marketing at Singular Genomics Systems, a life sciences company focused on delivering genomic technologies, from May 2021 to March 2022. From August 2009 to May 2021, Mr. Thomas served in numerous roles with escalating commercial responsibilities at Illumina, a life science tools company. Most recently, Mr. Thomas served as Vice President, Global Commercial Strategy and Enablement at Illumina. Previously, he served as Vice President and General Manager of Illumina Japan, and Senior Director, Sales for Europe, Middle East and Africa. Mr. Thomas holds a B.A. in Public Relations from the University of Idaho, Moscow, a Master of Healthcare Administration from the University of Washington, Seattle and completed the Advanced Management Program at IESE Business School in Barcelona, Spain.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his offer letter, Mr. Thomas will receive an annual base salary of $395,000. Mr. Thomas will have a target annual cash bonus opportunity for calendar year 2022 equal to forty percent (40%) of his base salary, prorated to reflect the number of days in the year during which Mr. Thomas is employed with the Company. Mr. Thomas will also receive a sign-on bonus of $50,000, grossed up for taxes, provided that he agrees to re-pay the Company if he terminates employment before the two-year anniversary of the Effective Date.</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terms of Mr. Thomas’ offer letter also provide for the recommendation of a grant of a stock option to purchase 110,000 shares of the Company’s Class A common stock under the Company’s 2020 Equity Incentive Plan (the “Plan”) with an exercise price per share equal to the fair market value per share on the date of grant, which will be scheduled to vest as to 1/4th of the shares subject to the option on the one-year anniversary of the Effective Date and as to 1/48th of the shares each month thereafter, subject to his continued service to the Company through each applicable vesting date. Mr. Thomas’ offer letter also provides for the recommendation of a grant of an award of restricted stock units under the Plan of 26,000 shares of the Company’s Class A common stock that will be scheduled to vest as to 1/4th of the shares on the first Quarterly Vesting Date (as defined in the offer letter) on or immediately following the one-year anniversary of the Effective Date and as to 1/4th of the shares each year thereafter, subject to his continued service to the Company through each applicable vesting date.</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Mr. Thomas will also be eligible to enter into a participation agreement under the Company’s Key Executive Change in Control and Severance Plan (the “Participation Agreement”), which will provide that if Mr. Thomas’ employment is terminated outside the period beginning on the date of a change in control and ending on the one-year anniversary date of such change in control (the “Change in Control Period”) either (1) by the Company without “cause” and not by reason of death or disability or (2) by the named executive officer as a “good reason termination” (as such terms are defined in the Participation Agreement), Mr. Thomas would be entitled to: (i) continued payments of base salary for a period of nine months following the date of such termination; and (ii) Company-paid COBRA continuation coverage for up to nine months. If, during the Change in Control Period, Mr. Thomas’ employment is terminated either (1) by the Company without cause and not by reason of death or disability or (2) by the named executive officer as a good reason termination, Mr. Thomas would be entitled to: (i) continued payments of base salary for a period of twelve months following the date of such termination; (ii) a cash payment equal to 100% of his annualized target bonus as in effect for the performance period in which such termination occurs, or if, greater, as in effect for the performance period in which the change in control occurs; (iii) Company-paid COBRA continuation coverage for up to twelve months; and (iv) vesting acceleration of 100% of the unvested portion of his then-outstanding time-based equity awards.</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severance benefits under the Participation Agreement will be subject to Mr. Thomas entering into and not revoking a separation agreement and release of claims with the Company as well as his compliance with the terms of any confidentiality, information and inventions agreements or other written agreement with the Company under which he has a material duty or obligation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arrangement or understanding between Mr. Thomas and any other persons pursuant to which Mr. Thomas was selected as Chief Commercial Officer. There are no family relationships between Mr. Thomas and any director or executive officer of the Company, and no transactions involving Mr. Thomas that would require disclosure under Item 404(a) of Regulation S-K.</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The press release announcing Mr. Thomas’ appointment is furnished as Exhibit 99.1 to this Current Report on Form 8-K and shall not be deemed “filed” for purposes of Section 18 of the Securities Exchange Act of 1934, as amended, or otherwise subject to the liabilities of that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8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56"/>
        </w:trPr>
        <w:tc>
          <w:tcPr>
            <w:tcW w:w="1400" w:type="dxa"/>
            <w:vAlign w:val="bottom"/>
          </w:tcPr>
          <w:p>
            <w:pPr>
              <w:ind w:left="440"/>
              <w:spacing w:after="0"/>
              <w:rPr>
                <w:sz w:val="20"/>
                <w:szCs w:val="20"/>
                <w:color w:val="auto"/>
              </w:rPr>
            </w:pPr>
            <w:r>
              <w:rPr>
                <w:rFonts w:ascii="Arial" w:cs="Arial" w:eastAsia="Arial" w:hAnsi="Arial"/>
                <w:sz w:val="18"/>
                <w:szCs w:val="18"/>
                <w:b w:val="1"/>
                <w:bCs w:val="1"/>
                <w:color w:val="auto"/>
                <w:w w:val="99"/>
              </w:rPr>
              <w:t>Exhibit No.</w:t>
            </w:r>
          </w:p>
        </w:tc>
        <w:tc>
          <w:tcPr>
            <w:tcW w:w="660" w:type="dxa"/>
            <w:vAlign w:val="bottom"/>
          </w:tcPr>
          <w:p>
            <w:pPr>
              <w:spacing w:after="0"/>
              <w:rPr>
                <w:sz w:val="22"/>
                <w:szCs w:val="22"/>
                <w:color w:val="auto"/>
              </w:rPr>
            </w:pPr>
          </w:p>
        </w:tc>
        <w:tc>
          <w:tcPr>
            <w:tcW w:w="9160" w:type="dxa"/>
            <w:vAlign w:val="bottom"/>
            <w:tcBorders>
              <w:bottom w:val="single" w:sz="8" w:color="auto"/>
            </w:tcBorders>
          </w:tcPr>
          <w:p>
            <w:pPr>
              <w:ind w:left="4140"/>
              <w:spacing w:after="0"/>
              <w:rPr>
                <w:sz w:val="20"/>
                <w:szCs w:val="20"/>
                <w:color w:val="auto"/>
              </w:rPr>
            </w:pPr>
            <w:r>
              <w:rPr>
                <w:rFonts w:ascii="Arial" w:cs="Arial" w:eastAsia="Arial" w:hAnsi="Arial"/>
                <w:sz w:val="18"/>
                <w:szCs w:val="18"/>
                <w:b w:val="1"/>
                <w:bCs w:val="1"/>
                <w:color w:val="auto"/>
              </w:rPr>
              <w:t>Description</w:t>
            </w:r>
          </w:p>
        </w:tc>
      </w:tr>
    </w:tbl>
    <w:p>
      <w:pPr>
        <w:spacing w:after="0" w:line="323" w:lineRule="exact"/>
        <w:rPr>
          <w:sz w:val="20"/>
          <w:szCs w:val="20"/>
          <w:color w:val="auto"/>
        </w:rPr>
      </w:pPr>
    </w:p>
    <w:p>
      <w:pPr>
        <w:ind w:left="640"/>
        <w:spacing w:after="0"/>
        <w:tabs>
          <w:tab w:leader="none" w:pos="1120" w:val="left"/>
        </w:tabs>
        <w:rPr>
          <w:rFonts w:ascii="Arial" w:cs="Arial" w:eastAsia="Arial" w:hAnsi="Arial"/>
          <w:sz w:val="18"/>
          <w:szCs w:val="18"/>
          <w:color w:val="0000FF"/>
        </w:rPr>
      </w:pPr>
      <w:hyperlink w:anchor="page8">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Confirmatory Offer Letter between the Registrant and Scott Thomas, effective March 21, 2022.</w:t>
      </w:r>
    </w:p>
    <w:p>
      <w:pPr>
        <w:ind w:left="640"/>
        <w:spacing w:after="0"/>
        <w:tabs>
          <w:tab w:leader="none" w:pos="1120" w:val="left"/>
        </w:tabs>
        <w:rPr>
          <w:rFonts w:ascii="Arial" w:cs="Arial" w:eastAsia="Arial" w:hAnsi="Arial"/>
          <w:sz w:val="18"/>
          <w:szCs w:val="18"/>
          <w:color w:val="0000FF"/>
        </w:rPr>
      </w:pPr>
      <w:hyperlink w:anchor="page6">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5"/>
          <w:szCs w:val="15"/>
          <w:color w:val="0000FF"/>
        </w:rPr>
        <w:t>Press Release, dated March 16, 2022.</w:t>
      </w:r>
    </w:p>
    <w:p>
      <w:pPr>
        <w:spacing w:after="0" w:line="1"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6884035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 w:name="page5"/>
    <w:bookmarkEnd w:id="4"/>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18, 2022</w:t>
      </w:r>
    </w:p>
    <w:p>
      <w:pPr>
        <w:spacing w:after="0" w:line="23" w:lineRule="exact"/>
        <w:rPr>
          <w:sz w:val="20"/>
          <w:szCs w:val="20"/>
          <w:color w:val="auto"/>
        </w:rPr>
      </w:pPr>
    </w:p>
    <w:p>
      <w:pPr>
        <w:ind w:left="576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320" w:top="1440" w:right="5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Ex 99.1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Seer Announces Appointment of Scott D. Thomas as Chief Commercial Officer</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Seasoned life sciences executive adds extensive global sales expertise to drive commercial efforts</w:t>
      </w:r>
    </w:p>
    <w:p>
      <w:pPr>
        <w:spacing w:after="0" w:line="262"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b w:val="1"/>
          <w:bCs w:val="1"/>
          <w:color w:val="auto"/>
        </w:rPr>
        <w:t xml:space="preserve">REDWOOD CITY, Calif., March 16, 2022 </w:t>
      </w:r>
      <w:r>
        <w:rPr>
          <w:rFonts w:ascii="Arial" w:cs="Arial" w:eastAsia="Arial" w:hAnsi="Arial"/>
          <w:sz w:val="18"/>
          <w:szCs w:val="18"/>
          <w:color w:val="auto"/>
        </w:rPr>
        <w:t>– Seer, Inc. (Nasdaq: SEER), a life sciences company commercializing a disruptive new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proteomics, announced today the appointment of Scott D. Thomas as Chief Commercial Officer effective March 21, 2022. Mr. Thomas joins Seer from Singular Genomics, where he served as Senior Vice President, Sales and Marketing. Prior to Singular, he spent over two decades with increasing commercial responsibilities within the life sciences industry, including 11 years at Illumina.</w:t>
      </w:r>
    </w:p>
    <w:p>
      <w:pPr>
        <w:spacing w:after="0" w:line="213"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“I’m thrilled to welcome Scott, whose leadership and breadth of expertise in the commercialization of life sciences tools complements the balance of our talented executive team,” said Omid Farokhzad, Chief Executive Officer and Chair of Seer. “As we accelerate our commercial efforts following the broad release of our Proteograph Product Suite, we’re excited to have Scott lead the expansion and building of our global commercial organization, and to leverage his extensive knowledge of markets around the world to reach and empower a broad range of customers to achieve exceptional outcomes.”</w:t>
      </w:r>
    </w:p>
    <w:p>
      <w:pPr>
        <w:spacing w:after="0" w:line="183"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Prior to joining Singular Genomics, where he led the go-to-market strategy for the company’s next generation benchtop sequencer, consumables, and service products, Mr. Thomas served numerous roles with escalating commercial responsibilities at Illumina, most recently as Vice President, Global Commercial Strategy and Enablement. Previously he served as Vice President and General Manager of Illumina Japan, and Senior Director, Sales for Europe, Middle East and Africa. Before his tenure at Illumina, Mr. Thomas held roles for Providence Health and Services, Roche, and Abbott Laboratories.</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“We’re at a pivotal time in the proteomics field, where unconstrained access to deep unbiased content can unlock biology; open entirely new markets and expand existing markets in ways previously not possible,” said Mr. Thomas. “The Proteograph Product Suite is uniquely able to provide deep access to the proteome at scale and drive the next wave of breakthrough scientific discoveries. I couldn’t be joining the Seer team at a more exciting time in the company’s journey,”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27"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 xml:space="preserve">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17"/>
          <w:szCs w:val="17"/>
          <w:u w:val="single" w:color="auto"/>
          <w:color w:val="1155CC"/>
        </w:rPr>
        <w:t>www.seer.bio</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that reflect the Company’s current views with respect to certain current and future events and performance. Such forward-looking statements are based on the Company’s beliefs and assumptions and on information currently available to it at the time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acceleration of commercial efforts, a global commercial organization, and a broad range of customers and outcomes. These and other risks are described more fully in the</w:t>
      </w:r>
    </w:p>
    <w:p>
      <w:pPr>
        <w:sectPr>
          <w:pgSz w:w="11900" w:h="16838" w:orient="portrait"/>
          <w:cols w:equalWidth="0" w:num="1">
            <w:col w:w="11220"/>
          </w:cols>
          <w:pgMar w:left="320" w:top="1431" w:right="359" w:bottom="1440" w:gutter="0" w:footer="0" w:header="0"/>
        </w:sectPr>
      </w:pPr>
    </w:p>
    <w:bookmarkStart w:id="6" w:name="page7"/>
    <w:bookmarkEnd w:id="6"/>
    <w:p>
      <w:pPr>
        <w:jc w:val="both"/>
        <w:spacing w:after="0" w:line="329" w:lineRule="auto"/>
        <w:rPr>
          <w:sz w:val="20"/>
          <w:szCs w:val="20"/>
          <w:color w:val="auto"/>
        </w:rPr>
      </w:pPr>
      <w:r>
        <w:rPr>
          <w:rFonts w:ascii="Arial" w:cs="Arial" w:eastAsia="Arial" w:hAnsi="Arial"/>
          <w:sz w:val="16"/>
          <w:szCs w:val="16"/>
          <w:color w:val="auto"/>
        </w:rPr>
        <w:t>Company’s filings with the Securities and Exchange Commission (“SEC”), including the Company’s Annual Report on Form 10-K for the year ended December 31, 2021, and other filings that the Company may make with the SEC from time to time. Except to the extent required by law, the Company undertakes no obligation to update such statements, and specifically disclaims, any obligation to update any forward-looking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03" w:lineRule="auto"/>
        <w:rPr>
          <w:sz w:val="20"/>
          <w:szCs w:val="20"/>
          <w:color w:val="auto"/>
        </w:rPr>
      </w:pPr>
      <w:r>
        <w:rPr>
          <w:rFonts w:ascii="Arial" w:cs="Arial" w:eastAsia="Arial" w:hAnsi="Arial"/>
          <w:sz w:val="18"/>
          <w:szCs w:val="18"/>
          <w:color w:val="auto"/>
        </w:rPr>
        <w:t>Karen Possemato</w:t>
      </w:r>
    </w:p>
    <w:p>
      <w:pPr>
        <w:spacing w:after="0"/>
        <w:rPr>
          <w:sz w:val="20"/>
          <w:szCs w:val="20"/>
          <w:color w:val="auto"/>
        </w:rPr>
      </w:pPr>
      <w:r>
        <w:rPr>
          <w:rFonts w:ascii="Arial" w:cs="Arial" w:eastAsia="Arial" w:hAnsi="Arial"/>
          <w:sz w:val="18"/>
          <w:szCs w:val="18"/>
          <w:color w:val="auto"/>
        </w:rPr>
        <w:t>pr@seer.bio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03" w:lineRule="auto"/>
        <w:rPr>
          <w:sz w:val="20"/>
          <w:szCs w:val="20"/>
          <w:color w:val="auto"/>
        </w:rPr>
      </w:pPr>
      <w:r>
        <w:rPr>
          <w:rFonts w:ascii="Arial" w:cs="Arial" w:eastAsia="Arial" w:hAnsi="Arial"/>
          <w:sz w:val="18"/>
          <w:szCs w:val="18"/>
          <w:color w:val="auto"/>
        </w:rPr>
        <w:t>Carrie Mendivil</w:t>
      </w:r>
    </w:p>
    <w:p>
      <w:pPr>
        <w:spacing w:after="0"/>
        <w:rPr>
          <w:sz w:val="20"/>
          <w:szCs w:val="20"/>
          <w:color w:val="auto"/>
        </w:rPr>
      </w:pPr>
      <w:r>
        <w:rPr>
          <w:rFonts w:ascii="Arial" w:cs="Arial" w:eastAsia="Arial" w:hAnsi="Arial"/>
          <w:sz w:val="18"/>
          <w:szCs w:val="18"/>
          <w:color w:val="auto"/>
        </w:rPr>
        <w:t>investor@seer.bio</w:t>
      </w:r>
    </w:p>
    <w:p>
      <w:pPr>
        <w:sectPr>
          <w:pgSz w:w="11900" w:h="16838" w:orient="portrait"/>
          <w:cols w:equalWidth="0" w:num="1">
            <w:col w:w="10860"/>
          </w:cols>
          <w:pgMar w:left="320" w:top="1435" w:right="71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 10.1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March 2,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Scott Thomas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Offer of Employment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Dear Scott,</w:t>
      </w:r>
    </w:p>
    <w:p>
      <w:pPr>
        <w:spacing w:after="0" w:line="210"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I am pleased to offer you a position with Seer, Inc. (the “</w:t>
      </w:r>
      <w:r>
        <w:rPr>
          <w:rFonts w:ascii="Arial" w:cs="Arial" w:eastAsia="Arial" w:hAnsi="Arial"/>
          <w:sz w:val="20"/>
          <w:szCs w:val="20"/>
          <w:b w:val="1"/>
          <w:bCs w:val="1"/>
          <w:color w:val="auto"/>
        </w:rPr>
        <w:t>Company</w:t>
      </w:r>
      <w:r>
        <w:rPr>
          <w:rFonts w:ascii="Arial" w:cs="Arial" w:eastAsia="Arial" w:hAnsi="Arial"/>
          <w:sz w:val="20"/>
          <w:szCs w:val="20"/>
          <w:color w:val="auto"/>
        </w:rPr>
        <w:t>”) in accordance with the terms of this employment letter agreement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49" w:lineRule="exact"/>
        <w:rPr>
          <w:sz w:val="20"/>
          <w:szCs w:val="20"/>
          <w:color w:val="auto"/>
        </w:rPr>
      </w:pPr>
    </w:p>
    <w:p>
      <w:pPr>
        <w:jc w:val="both"/>
        <w:ind w:firstLine="656"/>
        <w:spacing w:after="0" w:line="211" w:lineRule="auto"/>
        <w:tabs>
          <w:tab w:leader="none" w:pos="1296"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Title; Position; Location</w:t>
      </w:r>
      <w:r>
        <w:rPr>
          <w:rFonts w:ascii="Arial" w:cs="Arial" w:eastAsia="Arial" w:hAnsi="Arial"/>
          <w:sz w:val="20"/>
          <w:szCs w:val="20"/>
          <w:color w:val="auto"/>
        </w:rPr>
        <w:t>. You will serve as the Company’s Chief Commercial Officer (CCO). You will report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Chief Executive Officer (the “</w:t>
      </w:r>
      <w:r>
        <w:rPr>
          <w:rFonts w:ascii="Arial" w:cs="Arial" w:eastAsia="Arial" w:hAnsi="Arial"/>
          <w:sz w:val="20"/>
          <w:szCs w:val="20"/>
          <w:b w:val="1"/>
          <w:bCs w:val="1"/>
          <w:color w:val="auto"/>
        </w:rPr>
        <w:t>CEO</w:t>
      </w:r>
      <w:r>
        <w:rPr>
          <w:rFonts w:ascii="Arial" w:cs="Arial" w:eastAsia="Arial" w:hAnsi="Arial"/>
          <w:sz w:val="20"/>
          <w:szCs w:val="20"/>
          <w:color w:val="auto"/>
        </w:rPr>
        <w:t>”) and will perform the duties and responsibilities customary for such position and such other related duties as are reasonably assigned by the CEO or such officer designated by the CEO. You will perform your duties from your home office in Portland, OR, subject to frequent and customary travel as reasonably required by the Company and necessary to perform your job duties.</w:t>
      </w:r>
    </w:p>
    <w:p>
      <w:pPr>
        <w:spacing w:after="0" w:line="150" w:lineRule="exact"/>
        <w:rPr>
          <w:rFonts w:ascii="Arial" w:cs="Arial" w:eastAsia="Arial" w:hAnsi="Arial"/>
          <w:sz w:val="20"/>
          <w:szCs w:val="20"/>
          <w:color w:val="auto"/>
        </w:rPr>
      </w:pPr>
    </w:p>
    <w:p>
      <w:pPr>
        <w:jc w:val="both"/>
        <w:ind w:firstLine="656"/>
        <w:spacing w:after="0" w:line="247" w:lineRule="auto"/>
        <w:tabs>
          <w:tab w:leader="none" w:pos="129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Your initial annual base salary will be $395,000, which will be payable, less any applicable withholdings,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normal payroll practices. Your annual base salary will be subject to review and adjustment from time to time by our Board of Directors (our “</w:t>
      </w:r>
      <w:r>
        <w:rPr>
          <w:rFonts w:ascii="Arial" w:cs="Arial" w:eastAsia="Arial" w:hAnsi="Arial"/>
          <w:sz w:val="18"/>
          <w:szCs w:val="18"/>
          <w:b w:val="1"/>
          <w:bCs w:val="1"/>
          <w:color w:val="auto"/>
        </w:rPr>
        <w:t>Board</w:t>
      </w:r>
      <w:r>
        <w:rPr>
          <w:rFonts w:ascii="Arial" w:cs="Arial" w:eastAsia="Arial" w:hAnsi="Arial"/>
          <w:sz w:val="18"/>
          <w:szCs w:val="18"/>
          <w:color w:val="auto"/>
        </w:rPr>
        <w:t>”) or its Talent and Compensation Committee (the “</w:t>
      </w:r>
      <w:r>
        <w:rPr>
          <w:rFonts w:ascii="Arial" w:cs="Arial" w:eastAsia="Arial" w:hAnsi="Arial"/>
          <w:sz w:val="18"/>
          <w:szCs w:val="18"/>
          <w:b w:val="1"/>
          <w:bCs w:val="1"/>
          <w:color w:val="auto"/>
        </w:rPr>
        <w:t>Committee</w:t>
      </w:r>
      <w:r>
        <w:rPr>
          <w:rFonts w:ascii="Arial" w:cs="Arial" w:eastAsia="Arial" w:hAnsi="Arial"/>
          <w:sz w:val="18"/>
          <w:szCs w:val="18"/>
          <w:color w:val="auto"/>
        </w:rPr>
        <w:t>”), as applicable, in its sole discretion.</w:t>
      </w:r>
    </w:p>
    <w:p>
      <w:pPr>
        <w:spacing w:after="0" w:line="143" w:lineRule="exact"/>
        <w:rPr>
          <w:rFonts w:ascii="Arial" w:cs="Arial" w:eastAsia="Arial" w:hAnsi="Arial"/>
          <w:sz w:val="18"/>
          <w:szCs w:val="18"/>
          <w:color w:val="auto"/>
        </w:rPr>
      </w:pPr>
    </w:p>
    <w:p>
      <w:pPr>
        <w:jc w:val="both"/>
        <w:ind w:firstLine="656"/>
        <w:spacing w:after="0" w:line="208" w:lineRule="auto"/>
        <w:tabs>
          <w:tab w:leader="none" w:pos="1296"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Annual Bonus</w:t>
      </w:r>
      <w:r>
        <w:rPr>
          <w:rFonts w:ascii="Arial" w:cs="Arial" w:eastAsia="Arial" w:hAnsi="Arial"/>
          <w:sz w:val="20"/>
          <w:szCs w:val="20"/>
          <w:color w:val="auto"/>
        </w:rPr>
        <w:t>. For the 2022 calendar year, your target annual cash bonus opportunity will be forty percent (40%)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annual base salary, prorated to reflect the number of days in the year during which you are employed with the Company.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w:t>
      </w:r>
    </w:p>
    <w:p>
      <w:pPr>
        <w:spacing w:after="0" w:line="154" w:lineRule="exact"/>
        <w:rPr>
          <w:rFonts w:ascii="Arial" w:cs="Arial" w:eastAsia="Arial" w:hAnsi="Arial"/>
          <w:sz w:val="20"/>
          <w:szCs w:val="20"/>
          <w:color w:val="auto"/>
        </w:rPr>
      </w:pPr>
    </w:p>
    <w:p>
      <w:pPr>
        <w:jc w:val="both"/>
        <w:ind w:firstLine="656"/>
        <w:spacing w:after="0" w:line="220" w:lineRule="auto"/>
        <w:tabs>
          <w:tab w:leader="none" w:pos="1296"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Sign On Bonus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222222"/>
        </w:rPr>
        <w:t>Upon employment, you will be eligible for a cash sign-on bonus of $50,000.00 (grossed up for taxes),</w:t>
      </w:r>
      <w:r>
        <w:rPr>
          <w:rFonts w:ascii="Arial" w:cs="Arial" w:eastAsia="Arial" w:hAnsi="Arial"/>
          <w:sz w:val="20"/>
          <w:szCs w:val="20"/>
          <w:b w:val="1"/>
          <w:bCs w:val="1"/>
          <w:color w:val="auto"/>
        </w:rPr>
        <w:t xml:space="preserve"> </w:t>
      </w:r>
      <w:r>
        <w:rPr>
          <w:rFonts w:ascii="Arial" w:cs="Arial" w:eastAsia="Arial" w:hAnsi="Arial"/>
          <w:sz w:val="20"/>
          <w:szCs w:val="20"/>
          <w:color w:val="222222"/>
        </w:rPr>
        <w:t>provided that you agree to re-pay Seer the $50,000.00 if you terminate your employment with Seer before the two-year anniversary of your Start Date.</w:t>
      </w:r>
    </w:p>
    <w:p>
      <w:pPr>
        <w:spacing w:after="0" w:line="150"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Equity Awards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296"/>
        <w:spacing w:after="0" w:line="226" w:lineRule="auto"/>
        <w:rPr>
          <w:rFonts w:ascii="Arial" w:cs="Arial" w:eastAsia="Arial" w:hAnsi="Arial"/>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Stock Options</w:t>
      </w:r>
      <w:r>
        <w:rPr>
          <w:rFonts w:ascii="Arial" w:cs="Arial" w:eastAsia="Arial" w:hAnsi="Arial"/>
          <w:sz w:val="18"/>
          <w:szCs w:val="18"/>
          <w:color w:val="auto"/>
        </w:rPr>
        <w:t>. It will be recommended that, subject to the approval of the Board or the Committee, in its sole discretion, the Company grant you an award of stock options (the “</w:t>
      </w:r>
      <w:r>
        <w:rPr>
          <w:rFonts w:ascii="Arial" w:cs="Arial" w:eastAsia="Arial" w:hAnsi="Arial"/>
          <w:sz w:val="18"/>
          <w:szCs w:val="18"/>
          <w:b w:val="1"/>
          <w:bCs w:val="1"/>
          <w:color w:val="auto"/>
        </w:rPr>
        <w:t>Initial Option</w:t>
      </w:r>
      <w:r>
        <w:rPr>
          <w:rFonts w:ascii="Arial" w:cs="Arial" w:eastAsia="Arial" w:hAnsi="Arial"/>
          <w:sz w:val="18"/>
          <w:szCs w:val="18"/>
          <w:color w:val="auto"/>
        </w:rPr>
        <w:t>”) to purchase 110,000 shares of the Company’s Class A common stock (“</w:t>
      </w:r>
      <w:r>
        <w:rPr>
          <w:rFonts w:ascii="Arial" w:cs="Arial" w:eastAsia="Arial" w:hAnsi="Arial"/>
          <w:sz w:val="18"/>
          <w:szCs w:val="18"/>
          <w:b w:val="1"/>
          <w:bCs w:val="1"/>
          <w:color w:val="auto"/>
        </w:rPr>
        <w:t>Shares</w:t>
      </w:r>
      <w:r>
        <w:rPr>
          <w:rFonts w:ascii="Arial" w:cs="Arial" w:eastAsia="Arial" w:hAnsi="Arial"/>
          <w:sz w:val="18"/>
          <w:szCs w:val="18"/>
          <w:color w:val="auto"/>
        </w:rPr>
        <w:t>”) under the Company’s 2020 Equity Incentive Plan (or any successor plan, as applicable) and applicable option agreement thereunder, with an exercise price per Share equal to the fair market value per Share on the Initial Option’s date of grant, as determined by the Board or Committee, as applicable. For purposes of your Initial Option,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means the date you commence employment with the Company. The Company will recommend that the Initial Option will be scheduled to vest as to one-fourth (1/4th) of the Shares subject to the Option on the one (1) year anniversary of the Optionee’s start date with the Company (or its Subsidiary, as applicable) as an Employee, and thereafter, as to one forty-eighth (1/48th) of the Shares subject to the Option on the same day of the month as the Optionee’s start date with the Company (or its Subsidiary, as applicable) as an Employee (or, if there is no corresponding day in a particular month, then on the last day of that month), in each case subject to the Optionee’s continued status as a Service Provider (as defined in the Plan) through the applicable vesting date.</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56" w:firstLine="1304"/>
        <w:spacing w:after="0" w:line="198" w:lineRule="auto"/>
        <w:tabs>
          <w:tab w:leader="none" w:pos="1288" w:val="left"/>
        </w:tabs>
        <w:numPr>
          <w:ilvl w:val="1"/>
          <w:numId w:val="3"/>
        </w:numPr>
        <w:rPr>
          <w:rFonts w:ascii="Arial" w:cs="Arial" w:eastAsia="Arial" w:hAnsi="Arial"/>
          <w:sz w:val="19"/>
          <w:szCs w:val="19"/>
          <w:color w:val="auto"/>
        </w:rPr>
      </w:pPr>
      <w:r>
        <w:rPr>
          <w:rFonts w:ascii="Arial" w:cs="Arial" w:eastAsia="Arial" w:hAnsi="Arial"/>
          <w:sz w:val="19"/>
          <w:szCs w:val="19"/>
          <w:b w:val="1"/>
          <w:bCs w:val="1"/>
          <w:color w:val="auto"/>
        </w:rPr>
        <w:t>Restricted Stock Units</w:t>
      </w:r>
      <w:r>
        <w:rPr>
          <w:rFonts w:ascii="Arial" w:cs="Arial" w:eastAsia="Arial" w:hAnsi="Arial"/>
          <w:sz w:val="19"/>
          <w:szCs w:val="19"/>
          <w:color w:val="auto"/>
        </w:rPr>
        <w:t>. It will be recommended that, subject to the approval of the Board or the Committee, in its</w:t>
      </w:r>
      <w:r>
        <w:rPr>
          <w:rFonts w:ascii="Arial" w:cs="Arial" w:eastAsia="Arial" w:hAnsi="Arial"/>
          <w:sz w:val="19"/>
          <w:szCs w:val="19"/>
          <w:b w:val="1"/>
          <w:bCs w:val="1"/>
          <w:color w:val="auto"/>
        </w:rPr>
        <w:t xml:space="preserve"> </w:t>
      </w:r>
      <w:r>
        <w:rPr>
          <w:rFonts w:ascii="Arial" w:cs="Arial" w:eastAsia="Arial" w:hAnsi="Arial"/>
          <w:sz w:val="19"/>
          <w:szCs w:val="19"/>
          <w:color w:val="auto"/>
        </w:rPr>
        <w:t>sole discretion, the Company grant you an award of restricted stock units covering 26,000 Shares (the “</w:t>
      </w:r>
      <w:r>
        <w:rPr>
          <w:rFonts w:ascii="Arial" w:cs="Arial" w:eastAsia="Arial" w:hAnsi="Arial"/>
          <w:sz w:val="19"/>
          <w:szCs w:val="19"/>
          <w:b w:val="1"/>
          <w:bCs w:val="1"/>
          <w:color w:val="auto"/>
        </w:rPr>
        <w:t>Initial RSUs</w:t>
      </w:r>
      <w:r>
        <w:rPr>
          <w:rFonts w:ascii="Arial" w:cs="Arial" w:eastAsia="Arial" w:hAnsi="Arial"/>
          <w:sz w:val="19"/>
          <w:szCs w:val="19"/>
          <w:color w:val="auto"/>
        </w:rPr>
        <w:t>”). The Company will recommend that the Initial RSUs be scheduled to vest as to one-fourth (1/4</w:t>
      </w:r>
      <w:r>
        <w:rPr>
          <w:rFonts w:ascii="Arial" w:cs="Arial" w:eastAsia="Arial" w:hAnsi="Arial"/>
          <w:sz w:val="24"/>
          <w:szCs w:val="24"/>
          <w:color w:val="auto"/>
          <w:vertAlign w:val="superscript"/>
        </w:rPr>
        <w:t>th</w:t>
      </w:r>
      <w:r>
        <w:rPr>
          <w:rFonts w:ascii="Arial" w:cs="Arial" w:eastAsia="Arial" w:hAnsi="Arial"/>
          <w:sz w:val="19"/>
          <w:szCs w:val="19"/>
          <w:color w:val="auto"/>
        </w:rPr>
        <w:t>) of the Shares subject to the RSU Award on the first Quarterly Vesting Date (as defined below) on or immediately following the one (1) year anniversary of the RSU Award’s grant date, and thereafter, as to one-fourth (1/4</w:t>
      </w:r>
      <w:r>
        <w:rPr>
          <w:rFonts w:ascii="Arial" w:cs="Arial" w:eastAsia="Arial" w:hAnsi="Arial"/>
          <w:sz w:val="24"/>
          <w:szCs w:val="24"/>
          <w:color w:val="auto"/>
          <w:vertAlign w:val="superscript"/>
        </w:rPr>
        <w:t>th</w:t>
      </w:r>
      <w:r>
        <w:rPr>
          <w:rFonts w:ascii="Arial" w:cs="Arial" w:eastAsia="Arial" w:hAnsi="Arial"/>
          <w:sz w:val="19"/>
          <w:szCs w:val="19"/>
          <w:color w:val="auto"/>
        </w:rPr>
        <w:t>) of the Shares subject to the RSU Award each year for the next three (3) years on the same day of the year as the first vesting date, in each case subject to the Participant’s continued status as a Service Provider through the applicable vesting date. For purposes of the Initial RSUs, the Vesting Commencement Date means the Company’s first Quarterly Vesting Date that occurs on or after the date you commence employment with the Company. Quarterly Vesting Dates for the Company are the fifteenth (15</w:t>
      </w:r>
      <w:r>
        <w:rPr>
          <w:rFonts w:ascii="Arial" w:cs="Arial" w:eastAsia="Arial" w:hAnsi="Arial"/>
          <w:sz w:val="24"/>
          <w:szCs w:val="24"/>
          <w:color w:val="auto"/>
          <w:vertAlign w:val="superscript"/>
        </w:rPr>
        <w:t>th</w:t>
      </w:r>
      <w:r>
        <w:rPr>
          <w:rFonts w:ascii="Arial" w:cs="Arial" w:eastAsia="Arial" w:hAnsi="Arial"/>
          <w:sz w:val="19"/>
          <w:szCs w:val="19"/>
          <w:color w:val="auto"/>
        </w:rPr>
        <w:t>) day of each of February, May, August and November.</w:t>
      </w:r>
    </w:p>
    <w:p>
      <w:pPr>
        <w:spacing w:after="0" w:line="152" w:lineRule="exact"/>
        <w:rPr>
          <w:rFonts w:ascii="Arial" w:cs="Arial" w:eastAsia="Arial" w:hAnsi="Arial"/>
          <w:sz w:val="19"/>
          <w:szCs w:val="19"/>
          <w:color w:val="auto"/>
        </w:rPr>
      </w:pPr>
    </w:p>
    <w:p>
      <w:pPr>
        <w:jc w:val="both"/>
        <w:ind w:left="-656" w:firstLine="656"/>
        <w:spacing w:after="0" w:line="208"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Employee Benefits</w:t>
      </w:r>
      <w:r>
        <w:rPr>
          <w:rFonts w:ascii="Arial" w:cs="Arial" w:eastAsia="Arial" w:hAnsi="Arial"/>
          <w:sz w:val="20"/>
          <w:szCs w:val="20"/>
          <w:color w:val="auto"/>
        </w:rPr>
        <w:t>. You will be eligible to participate in the benefit plans and programs established by the Company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54" w:lineRule="exact"/>
        <w:rPr>
          <w:rFonts w:ascii="Arial" w:cs="Arial" w:eastAsia="Arial" w:hAnsi="Arial"/>
          <w:sz w:val="20"/>
          <w:szCs w:val="20"/>
          <w:color w:val="auto"/>
        </w:rPr>
      </w:pPr>
    </w:p>
    <w:p>
      <w:pPr>
        <w:jc w:val="both"/>
        <w:ind w:left="-656" w:firstLine="656"/>
        <w:spacing w:after="0" w:line="232"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Severance</w:t>
      </w:r>
      <w:r>
        <w:rPr>
          <w:rFonts w:ascii="Arial" w:cs="Arial" w:eastAsia="Arial" w:hAnsi="Arial"/>
          <w:sz w:val="19"/>
          <w:szCs w:val="19"/>
          <w:color w:val="auto"/>
        </w:rPr>
        <w:t>. You will be eligible to participate in the Company’s Key Executive Change in Control and Severance Plan</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for senior-level employees that is applicable to you consistent with your position within the Company. Additional information regarding such arrangement will be provided to you following your commencement of employment with the Company.</w:t>
      </w:r>
    </w:p>
    <w:p>
      <w:pPr>
        <w:spacing w:after="0" w:line="149" w:lineRule="exact"/>
        <w:rPr>
          <w:rFonts w:ascii="Arial" w:cs="Arial" w:eastAsia="Arial" w:hAnsi="Arial"/>
          <w:sz w:val="19"/>
          <w:szCs w:val="19"/>
          <w:color w:val="auto"/>
        </w:rPr>
      </w:pPr>
    </w:p>
    <w:p>
      <w:pPr>
        <w:jc w:val="both"/>
        <w:ind w:left="-656" w:firstLine="656"/>
        <w:spacing w:after="0" w:line="232"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Confidentiality Agreement</w:t>
      </w:r>
      <w:r>
        <w:rPr>
          <w:rFonts w:ascii="Arial" w:cs="Arial" w:eastAsia="Arial" w:hAnsi="Arial"/>
          <w:sz w:val="18"/>
          <w:szCs w:val="18"/>
          <w:color w:val="auto"/>
        </w:rPr>
        <w:t>. As an employee of the Company, you will have access to certain confidential information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during the course of your employment, you may develop certain information or inventions that will be the property of the Company. To protect the interests of the Company, you agree to sign and comply with an At-Will Employment, Confidential Information, Invention Assignment Agreement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requires, among other provisions, the assignment of patent rights to any invention made during your employment at the Company, and non-disclosure of Company proprietary information. Please note that we must receive your signed Confidentiality Agreement before your first day of employment.</w:t>
      </w:r>
    </w:p>
    <w:p>
      <w:pPr>
        <w:spacing w:after="0" w:line="149" w:lineRule="exact"/>
        <w:rPr>
          <w:rFonts w:ascii="Arial" w:cs="Arial" w:eastAsia="Arial" w:hAnsi="Arial"/>
          <w:sz w:val="18"/>
          <w:szCs w:val="18"/>
          <w:color w:val="auto"/>
        </w:rPr>
      </w:pPr>
    </w:p>
    <w:p>
      <w:pPr>
        <w:jc w:val="both"/>
        <w:ind w:left="-656" w:firstLine="656"/>
        <w:spacing w:after="0" w:line="211"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At-Will Employment</w:t>
      </w:r>
      <w:r>
        <w:rPr>
          <w:rFonts w:ascii="Arial" w:cs="Arial" w:eastAsia="Arial" w:hAnsi="Arial"/>
          <w:sz w:val="20"/>
          <w:szCs w:val="20"/>
          <w:color w:val="auto"/>
        </w:rPr>
        <w:t>. This Agreement does not imply any right to your continued employment for any period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parent, subsidiary, or other affiliate of the Company. Your employment with the 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50" w:lineRule="exact"/>
        <w:rPr>
          <w:rFonts w:ascii="Arial" w:cs="Arial" w:eastAsia="Arial" w:hAnsi="Arial"/>
          <w:sz w:val="20"/>
          <w:szCs w:val="20"/>
          <w:color w:val="auto"/>
        </w:rPr>
      </w:pPr>
    </w:p>
    <w:p>
      <w:pPr>
        <w:jc w:val="both"/>
        <w:ind w:left="-656" w:firstLine="656"/>
        <w:spacing w:after="0" w:line="226"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Protected Activity Not Prohibited</w:t>
      </w:r>
      <w:r>
        <w:rPr>
          <w:rFonts w:ascii="Arial" w:cs="Arial" w:eastAsia="Arial" w:hAnsi="Arial"/>
          <w:sz w:val="18"/>
          <w:szCs w:val="18"/>
          <w:color w:val="auto"/>
        </w:rPr>
        <w:t>. The Company and you acknowledge and agree that nothing in this Agreement limits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8"/>
          <w:szCs w:val="18"/>
          <w:b w:val="1"/>
          <w:bCs w:val="1"/>
          <w:color w:val="auto"/>
        </w:rPr>
        <w:t>Government Agencies</w:t>
      </w:r>
      <w:r>
        <w:rPr>
          <w:rFonts w:ascii="Arial" w:cs="Arial" w:eastAsia="Arial" w:hAnsi="Arial"/>
          <w:sz w:val="18"/>
          <w:szCs w:val="18"/>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w:t>
      </w:r>
    </w:p>
    <w:p>
      <w:pPr>
        <w:sectPr>
          <w:pgSz w:w="11900" w:h="16838" w:orient="portrait"/>
          <w:cols w:equalWidth="0" w:num="1">
            <w:col w:w="10584"/>
          </w:cols>
          <w:pgMar w:left="976"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56"/>
        <w:spacing w:after="0" w:line="223" w:lineRule="auto"/>
        <w:tabs>
          <w:tab w:leader="none" w:pos="127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Additional Employment Provisions</w:t>
      </w:r>
      <w:r>
        <w:rPr>
          <w:rFonts w:ascii="Arial" w:cs="Arial" w:eastAsia="Arial" w:hAnsi="Arial"/>
          <w:sz w:val="18"/>
          <w:szCs w:val="18"/>
          <w:color w:val="auto"/>
        </w:rPr>
        <w:t>. For purposes of federal immigration law, you will be required to provide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During the term of your employment with the Company, you agree to 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spacing w:after="0" w:line="152" w:lineRule="exact"/>
        <w:rPr>
          <w:rFonts w:ascii="Arial" w:cs="Arial" w:eastAsia="Arial" w:hAnsi="Arial"/>
          <w:sz w:val="18"/>
          <w:szCs w:val="18"/>
          <w:color w:val="auto"/>
        </w:rPr>
      </w:pPr>
    </w:p>
    <w:p>
      <w:pPr>
        <w:jc w:val="both"/>
        <w:ind w:firstLine="656"/>
        <w:spacing w:after="0" w:line="226" w:lineRule="auto"/>
        <w:tabs>
          <w:tab w:leader="none" w:pos="1287"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Company (or its affiliate, as applicable) will have the right and authority to deduct from any payments or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all applicable federal, state, and local taxes or other required withholdings and payroll deductions (“</w:t>
      </w:r>
      <w:r>
        <w:rPr>
          <w:rFonts w:ascii="Arial" w:cs="Arial" w:eastAsia="Arial" w:hAnsi="Arial"/>
          <w:sz w:val="18"/>
          <w:szCs w:val="18"/>
          <w:b w:val="1"/>
          <w:bCs w:val="1"/>
          <w:color w:val="auto"/>
        </w:rPr>
        <w:t>Withholdings</w:t>
      </w:r>
      <w:r>
        <w:rPr>
          <w:rFonts w:ascii="Arial" w:cs="Arial" w:eastAsia="Arial" w:hAnsi="Arial"/>
          <w:sz w:val="18"/>
          <w:szCs w:val="18"/>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Neither the Company nor any of its affiliates will have any responsibility, liability or obligation to pay your taxes arising from or relating to any payments or benefits under this Agreement. This Agreement and the terms herein are intended to comply with or be exempt from the requirements of Section 409A of the Internal Revenue Code of 1986, as amended, and the Treasury Regulations and any formal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so that none of the payments and benefits to be provided hereunder will be subject to the additional tax imposed by Section 409A, and any ambiguities or ambiguous terms herein will be interpreted to so comply or be so exempt. In no event will the Company or any of its affiliates have any responsibility, liability or obligation to reimburse or indemnify you, or hold you harmless, for any tax imposed, or other costs incurred, as a result of Section 409A.</w:t>
      </w:r>
    </w:p>
    <w:p>
      <w:pPr>
        <w:spacing w:after="0" w:line="40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To accept the Company’s offer, please sign and date in the spaces indicated below and return this Agreement to me. A duplicate original is enclosed for your records. If you accept our offer, your first day of employment will be March 21, 2022 (your “</w:t>
      </w:r>
      <w:r>
        <w:rPr>
          <w:rFonts w:ascii="Arial" w:cs="Arial" w:eastAsia="Arial" w:hAnsi="Arial"/>
          <w:sz w:val="18"/>
          <w:szCs w:val="18"/>
          <w:b w:val="1"/>
          <w:bCs w:val="1"/>
          <w:color w:val="auto"/>
        </w:rPr>
        <w:t>Start Date</w:t>
      </w:r>
      <w:r>
        <w:rPr>
          <w:rFonts w:ascii="Arial" w:cs="Arial" w:eastAsia="Arial" w:hAnsi="Arial"/>
          <w:sz w:val="18"/>
          <w:szCs w:val="18"/>
          <w:color w:val="auto"/>
        </w:rPr>
        <w:t>”). This Agreement, along with the Confidentiality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governed by the laws of the State of California but without regard to the conflict of law provision. This offer of employment will terminate if it is not accepted, signed and returned by March 4, 2022.</w:t>
      </w: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look forward to your favorable reply and to working with you at Seer, Inc.</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SEER,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Omid Farokhzad</w:t>
      </w:r>
    </w:p>
    <w:p>
      <w:pPr>
        <w:ind w:left="4860"/>
        <w:spacing w:after="0" w:line="227" w:lineRule="auto"/>
        <w:rPr>
          <w:sz w:val="20"/>
          <w:szCs w:val="20"/>
          <w:color w:val="auto"/>
        </w:rPr>
      </w:pPr>
      <w:r>
        <w:rPr>
          <w:rFonts w:ascii="Arial" w:cs="Arial" w:eastAsia="Arial" w:hAnsi="Arial"/>
          <w:sz w:val="20"/>
          <w:szCs w:val="20"/>
          <w:color w:val="auto"/>
        </w:rPr>
        <w:t>Omid Farokhzad</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Chief Executive Officer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Scott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134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 xml:space="preserve">Dated: </w:t>
      </w:r>
      <w:r>
        <w:rPr>
          <w:rFonts w:ascii="Arial" w:cs="Arial" w:eastAsia="Arial" w:hAnsi="Arial"/>
          <w:sz w:val="20"/>
          <w:szCs w:val="20"/>
          <w:u w:val="single" w:color="auto"/>
          <w:color w:val="auto"/>
        </w:rPr>
        <w:t>March 2, 2022</w:t>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 of the Defend Trade Secrets Act of 2016</w:t>
      </w: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2"/>
    </w:lvl>
  </w:abstractNum>
  <w:abstractNum w:abstractNumId="3">
    <w:nsid w:val="46E87CCD"/>
    <w:multiLevelType w:val="hybridMultilevel"/>
    <w:lvl w:ilvl="0">
      <w:lvlJc w:val="left"/>
      <w:lvlText w:val="%1."/>
      <w:numFmt w:val="decimal"/>
      <w:start w:val="6"/>
    </w:lvl>
    <w:lvl w:ilvl="1">
      <w:lvlJc w:val="left"/>
      <w:lvlText w:val="%2"/>
      <w:numFmt w:val="lowerLetter"/>
      <w:start w:val="1"/>
    </w:lvl>
  </w:abstractNum>
  <w:abstractNum w:abstractNumId="4">
    <w:nsid w:val="3D1B58BA"/>
    <w:multiLevelType w:val="hybridMultilevel"/>
    <w:lvl w:ilvl="0">
      <w:lvlJc w:val="left"/>
      <w:lvlText w:val="%1."/>
      <w:numFmt w:val="decimal"/>
      <w:start w:val="11"/>
    </w:lvl>
  </w:abstractNum>
  <w:abstractNum w:abstractNumId="5">
    <w:nsid w:val="507ED7AB"/>
    <w:multiLevelType w:val="hybridMultilevel"/>
    <w:lvl w:ilvl="0">
      <w:lvlJc w:val="left"/>
      <w:lvlText w:val="\ldblquot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2022-03-18T15:14:49Z</dcterms:created>
  <dcterms:modified xsi:type="dcterms:W3CDTF">2022-03-18T15:14:49Z</dcterms:modified>
</cp:coreProperties>
</file>