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Amendment No. 1 to Draft Registration Statement, as confidentially submitted to the Securities and Exchange Commission on October 30, 2020.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 Securities and Exchange Commission and all information herein remains strictly confidential.</w:t>
      </w:r>
    </w:p>
    <w:p>
      <w:pPr>
        <w:spacing w:after="0" w:line="78"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-94615</wp:posOffset>
            </wp:positionV>
            <wp:extent cx="192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81915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6" w:lineRule="exact"/>
        <w:rPr>
          <w:sz w:val="24"/>
          <w:szCs w:val="24"/>
          <w:color w:val="auto"/>
        </w:rPr>
      </w:pPr>
    </w:p>
    <w:tbl>
      <w:tblPr>
        <w:tblLayout w:type="fixed"/>
        <w:tblInd w:w="440" w:type="dxa"/>
        <w:tblCellMar>
          <w:top w:w="0" w:type="dxa"/>
          <w:left w:w="0" w:type="dxa"/>
          <w:bottom w:w="0" w:type="dxa"/>
          <w:right w:w="0" w:type="dxa"/>
        </w:tblCellMar>
      </w:tblPr>
      <w:tr>
        <w:trPr>
          <w:trHeight w:val="189"/>
        </w:trPr>
        <w:tc>
          <w:tcPr>
            <w:tcW w:w="3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2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3826</w:t>
            </w:r>
          </w:p>
        </w:tc>
        <w:tc>
          <w:tcPr>
            <w:tcW w:w="28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176"/>
        </w:trPr>
        <w:tc>
          <w:tcPr>
            <w:tcW w:w="3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4240" w:type="dxa"/>
            <w:vAlign w:val="bottom"/>
          </w:tcPr>
          <w:p>
            <w:pPr>
              <w:spacing w:after="0"/>
              <w:rPr>
                <w:sz w:val="15"/>
                <w:szCs w:val="15"/>
                <w:color w:val="auto"/>
              </w:rPr>
            </w:pPr>
          </w:p>
        </w:tc>
        <w:tc>
          <w:tcPr>
            <w:tcW w:w="28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204"/>
        </w:trPr>
        <w:tc>
          <w:tcPr>
            <w:tcW w:w="3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42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(Primary Standard Industrial Classification Code Number)</w:t>
            </w:r>
          </w:p>
        </w:tc>
        <w:tc>
          <w:tcPr>
            <w:tcW w:w="2840" w:type="dxa"/>
            <w:vAlign w:val="bottom"/>
          </w:tcPr>
          <w:p>
            <w:pPr>
              <w:spacing w:after="0"/>
              <w:rPr>
                <w:sz w:val="17"/>
                <w:szCs w:val="17"/>
                <w:color w:val="auto"/>
              </w:rPr>
            </w:pPr>
          </w:p>
        </w:tc>
      </w:tr>
      <w:tr>
        <w:trPr>
          <w:trHeight w:val="309"/>
        </w:trPr>
        <w:tc>
          <w:tcPr>
            <w:tcW w:w="3100" w:type="dxa"/>
            <w:vAlign w:val="bottom"/>
          </w:tcPr>
          <w:p>
            <w:pPr>
              <w:spacing w:after="0"/>
              <w:rPr>
                <w:sz w:val="24"/>
                <w:szCs w:val="24"/>
                <w:color w:val="auto"/>
              </w:rPr>
            </w:pPr>
          </w:p>
        </w:tc>
        <w:tc>
          <w:tcPr>
            <w:tcW w:w="4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tc>
        <w:tc>
          <w:tcPr>
            <w:tcW w:w="2840" w:type="dxa"/>
            <w:vAlign w:val="bottom"/>
          </w:tcPr>
          <w:p>
            <w:pPr>
              <w:spacing w:after="0"/>
              <w:rPr>
                <w:sz w:val="24"/>
                <w:szCs w:val="24"/>
                <w:color w:val="auto"/>
              </w:rPr>
            </w:pPr>
          </w:p>
        </w:tc>
      </w:tr>
      <w:tr>
        <w:trPr>
          <w:trHeight w:val="162"/>
        </w:trPr>
        <w:tc>
          <w:tcPr>
            <w:tcW w:w="3100" w:type="dxa"/>
            <w:vAlign w:val="bottom"/>
          </w:tcPr>
          <w:p>
            <w:pPr>
              <w:spacing w:after="0"/>
              <w:rPr>
                <w:sz w:val="14"/>
                <w:szCs w:val="14"/>
                <w:color w:val="auto"/>
              </w:rPr>
            </w:pPr>
          </w:p>
        </w:tc>
        <w:tc>
          <w:tcPr>
            <w:tcW w:w="4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tc>
        <w:tc>
          <w:tcPr>
            <w:tcW w:w="2840" w:type="dxa"/>
            <w:vAlign w:val="bottom"/>
          </w:tcPr>
          <w:p>
            <w:pPr>
              <w:spacing w:after="0"/>
              <w:rPr>
                <w:sz w:val="14"/>
                <w:szCs w:val="14"/>
                <w:color w:val="auto"/>
              </w:rPr>
            </w:pPr>
          </w:p>
        </w:tc>
      </w:tr>
      <w:tr>
        <w:trPr>
          <w:trHeight w:val="180"/>
        </w:trPr>
        <w:tc>
          <w:tcPr>
            <w:tcW w:w="3100" w:type="dxa"/>
            <w:vAlign w:val="bottom"/>
          </w:tcPr>
          <w:p>
            <w:pPr>
              <w:spacing w:after="0"/>
              <w:rPr>
                <w:sz w:val="15"/>
                <w:szCs w:val="15"/>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650-453-0000</w:t>
            </w:r>
          </w:p>
        </w:tc>
        <w:tc>
          <w:tcPr>
            <w:tcW w:w="2840" w:type="dxa"/>
            <w:vAlign w:val="bottom"/>
          </w:tcPr>
          <w:p>
            <w:pPr>
              <w:spacing w:after="0"/>
              <w:rPr>
                <w:sz w:val="15"/>
                <w:szCs w:val="15"/>
                <w:color w:val="auto"/>
              </w:rPr>
            </w:pPr>
          </w:p>
        </w:tc>
      </w:tr>
    </w:tbl>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Omid Farokhzad, M.D.</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Seer, Inc.</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74"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5880" w:type="dxa"/>
            <w:vAlign w:val="bottom"/>
          </w:tcPr>
          <w:p>
            <w:pPr>
              <w:ind w:left="1020"/>
              <w:spacing w:after="0"/>
              <w:rPr>
                <w:sz w:val="20"/>
                <w:szCs w:val="20"/>
                <w:color w:val="auto"/>
              </w:rPr>
            </w:pPr>
            <w:r>
              <w:rPr>
                <w:rFonts w:ascii="Times New Roman" w:cs="Times New Roman" w:eastAsia="Times New Roman" w:hAnsi="Times New Roman"/>
                <w:sz w:val="16"/>
                <w:szCs w:val="16"/>
                <w:i w:val="1"/>
                <w:iCs w:val="1"/>
                <w:color w:val="auto"/>
              </w:rPr>
              <w:t>Copies to:</w:t>
            </w:r>
          </w:p>
        </w:tc>
      </w:tr>
      <w:tr>
        <w:trPr>
          <w:trHeight w:val="346"/>
        </w:trPr>
        <w:tc>
          <w:tcPr>
            <w:tcW w:w="34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Tony Jeffries</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Alan F. Denenberg</w:t>
            </w:r>
          </w:p>
        </w:tc>
      </w:tr>
      <w:tr>
        <w:trPr>
          <w:trHeight w:val="162"/>
        </w:trPr>
        <w:tc>
          <w:tcPr>
            <w:tcW w:w="34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Christina L. Poulsen</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62"/>
        </w:trPr>
        <w:tc>
          <w:tcPr>
            <w:tcW w:w="34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Wilson Sonsini Goodrich &amp; Rosati, P.C.</w:t>
            </w:r>
          </w:p>
        </w:tc>
        <w:tc>
          <w:tcPr>
            <w:tcW w:w="5880" w:type="dxa"/>
            <w:vAlign w:val="bottom"/>
          </w:tcPr>
          <w:p>
            <w:pPr>
              <w:jc w:val="center"/>
              <w:ind w:left="3987"/>
              <w:spacing w:after="0"/>
              <w:rPr>
                <w:sz w:val="20"/>
                <w:szCs w:val="20"/>
                <w:color w:val="auto"/>
              </w:rPr>
            </w:pPr>
            <w:r>
              <w:rPr>
                <w:rFonts w:ascii="Times New Roman" w:cs="Times New Roman" w:eastAsia="Times New Roman" w:hAnsi="Times New Roman"/>
                <w:sz w:val="14"/>
                <w:szCs w:val="14"/>
                <w:b w:val="1"/>
                <w:bCs w:val="1"/>
                <w:color w:val="auto"/>
              </w:rPr>
              <w:t>1600 El Camino Real</w:t>
            </w:r>
          </w:p>
        </w:tc>
      </w:tr>
      <w:tr>
        <w:trPr>
          <w:trHeight w:val="162"/>
        </w:trPr>
        <w:tc>
          <w:tcPr>
            <w:tcW w:w="34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650 Page Mill Road</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Menlo Park, California 94025</w:t>
            </w:r>
          </w:p>
        </w:tc>
      </w:tr>
      <w:tr>
        <w:trPr>
          <w:trHeight w:val="162"/>
        </w:trPr>
        <w:tc>
          <w:tcPr>
            <w:tcW w:w="34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Palo Alto, California 94304</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650-752-2000</w:t>
            </w:r>
          </w:p>
        </w:tc>
      </w:tr>
      <w:tr>
        <w:trPr>
          <w:trHeight w:val="190"/>
        </w:trPr>
        <w:tc>
          <w:tcPr>
            <w:tcW w:w="34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650-493-9300</w:t>
            </w:r>
          </w:p>
        </w:tc>
        <w:tc>
          <w:tcPr>
            <w:tcW w:w="5880" w:type="dxa"/>
            <w:vAlign w:val="bottom"/>
          </w:tcPr>
          <w:p>
            <w:pPr>
              <w:spacing w:after="0"/>
              <w:rPr>
                <w:sz w:val="16"/>
                <w:szCs w:val="16"/>
                <w:color w:val="auto"/>
              </w:rPr>
            </w:pPr>
          </w:p>
        </w:tc>
      </w:tr>
    </w:tbl>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 As soon as practicable after the effective date of this registration statement.</w:t>
      </w:r>
    </w:p>
    <w:p>
      <w:pPr>
        <w:spacing w:after="0" w:line="4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0" w:lineRule="exact"/>
        <w:rPr>
          <w:sz w:val="24"/>
          <w:szCs w:val="24"/>
          <w:color w:val="auto"/>
        </w:rPr>
      </w:pPr>
    </w:p>
    <w:p>
      <w:pPr>
        <w:ind w:right="100"/>
        <w:spacing w:after="0" w:line="176"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380"/>
        <w:spacing w:after="0" w:line="17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380"/>
        <w:spacing w:after="0" w:line="17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120"/>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9" w:lineRule="exact"/>
        <w:rPr>
          <w:sz w:val="24"/>
          <w:szCs w:val="24"/>
          <w:color w:val="auto"/>
        </w:rPr>
      </w:pPr>
    </w:p>
    <w:p>
      <w:pPr>
        <w:jc w:val="both"/>
        <w:ind w:right="180"/>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71120</wp:posOffset>
            </wp:positionV>
            <wp:extent cx="1920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7740" w:type="dxa"/>
            <w:vAlign w:val="bottom"/>
            <w:tcBorders>
              <w:top w:val="single" w:sz="8" w:color="auto"/>
              <w:left w:val="single" w:sz="8" w:color="auto"/>
              <w:right w:val="single" w:sz="8" w:color="auto"/>
            </w:tcBorders>
          </w:tcPr>
          <w:p>
            <w:pPr>
              <w:spacing w:after="0"/>
              <w:rPr>
                <w:sz w:val="15"/>
                <w:szCs w:val="15"/>
                <w:color w:val="auto"/>
              </w:rPr>
            </w:pPr>
          </w:p>
        </w:tc>
        <w:tc>
          <w:tcPr>
            <w:tcW w:w="176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Proposed Maximum</w:t>
            </w:r>
          </w:p>
        </w:tc>
        <w:tc>
          <w:tcPr>
            <w:tcW w:w="1760" w:type="dxa"/>
            <w:vAlign w:val="bottom"/>
            <w:tcBorders>
              <w:top w:val="single" w:sz="8" w:color="auto"/>
              <w:right w:val="single" w:sz="8" w:color="auto"/>
            </w:tcBorders>
          </w:tcPr>
          <w:p>
            <w:pPr>
              <w:spacing w:after="0"/>
              <w:rPr>
                <w:sz w:val="15"/>
                <w:szCs w:val="15"/>
                <w:color w:val="auto"/>
              </w:rPr>
            </w:pPr>
          </w:p>
        </w:tc>
      </w:tr>
      <w:tr>
        <w:trPr>
          <w:trHeight w:val="215"/>
        </w:trPr>
        <w:tc>
          <w:tcPr>
            <w:tcW w:w="7740" w:type="dxa"/>
            <w:vAlign w:val="bottom"/>
            <w:tcBorders>
              <w:left w:val="single" w:sz="8" w:color="auto"/>
              <w:bottom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4"/>
                <w:szCs w:val="14"/>
                <w:color w:val="auto"/>
              </w:rPr>
              <w:t>Title of Each Class of Securities to be Registered</w:t>
            </w:r>
          </w:p>
        </w:tc>
        <w:tc>
          <w:tcPr>
            <w:tcW w:w="17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8"/>
              </w:rPr>
              <w:t>Aggregate Offering Price</w:t>
            </w:r>
            <w:r>
              <w:rPr>
                <w:rFonts w:ascii="Times New Roman" w:cs="Times New Roman" w:eastAsia="Times New Roman" w:hAnsi="Times New Roman"/>
                <w:sz w:val="18"/>
                <w:szCs w:val="18"/>
                <w:color w:val="auto"/>
                <w:w w:val="98"/>
                <w:vertAlign w:val="superscript"/>
              </w:rPr>
              <w:t>(1)(2)</w:t>
            </w:r>
          </w:p>
        </w:tc>
        <w:tc>
          <w:tcPr>
            <w:tcW w:w="17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Amount of Registration Fee</w:t>
            </w:r>
          </w:p>
        </w:tc>
      </w:tr>
      <w:tr>
        <w:trPr>
          <w:trHeight w:val="182"/>
        </w:trPr>
        <w:tc>
          <w:tcPr>
            <w:tcW w:w="7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Class A Common Stock, $ 0.00001 par value</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right w:val="single" w:sz="8" w:color="auto"/>
            </w:tcBorders>
          </w:tcPr>
          <w:p>
            <w:pPr>
              <w:jc w:val="right"/>
              <w:ind w:right="1610"/>
              <w:spacing w:after="0"/>
              <w:rPr>
                <w:sz w:val="20"/>
                <w:szCs w:val="20"/>
                <w:color w:val="auto"/>
              </w:rPr>
            </w:pPr>
            <w:r>
              <w:rPr>
                <w:rFonts w:ascii="Times New Roman" w:cs="Times New Roman" w:eastAsia="Times New Roman" w:hAnsi="Times New Roman"/>
                <w:sz w:val="13"/>
                <w:szCs w:val="13"/>
                <w:color w:val="auto"/>
                <w:w w:val="91"/>
              </w:rPr>
              <w:t>$</w:t>
            </w:r>
          </w:p>
        </w:tc>
      </w:tr>
      <w:tr>
        <w:trPr>
          <w:trHeight w:val="28"/>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34"/>
        </w:trPr>
        <w:tc>
          <w:tcPr>
            <w:tcW w:w="7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ind w:left="320" w:hanging="312"/>
        <w:spacing w:after="0"/>
        <w:tabs>
          <w:tab w:leader="none" w:pos="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offering price of any additional shares of Class A common stock that the underwriters have the option to purchase.</w:t>
      </w:r>
    </w:p>
    <w:p>
      <w:pPr>
        <w:spacing w:after="0" w:line="12"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pursuant to Rule 457(o) under the Securities Act of 1933, as amended.</w:t>
      </w:r>
    </w:p>
    <w:p>
      <w:pPr>
        <w:spacing w:after="0" w:line="42" w:lineRule="exact"/>
        <w:rPr>
          <w:sz w:val="24"/>
          <w:szCs w:val="24"/>
          <w:color w:val="auto"/>
        </w:rPr>
      </w:pPr>
    </w:p>
    <w:p>
      <w:pPr>
        <w:ind w:right="360"/>
        <w:spacing w:after="0" w:line="26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60"/>
          </w:cols>
          <w:pgMar w:left="320" w:top="628" w:right="319" w:bottom="1440" w:gutter="0" w:footer="0" w:header="0"/>
        </w:sectPr>
      </w:pPr>
    </w:p>
    <w:bookmarkStart w:id="1" w:name="page2"/>
    <w:bookmarkEnd w:id="1"/>
    <w:p>
      <w:pPr>
        <w:ind w:right="10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9" w:lineRule="exact"/>
        <w:rPr>
          <w:sz w:val="20"/>
          <w:szCs w:val="20"/>
          <w:color w:val="auto"/>
        </w:rPr>
      </w:pPr>
    </w:p>
    <w:p>
      <w:pPr>
        <w:jc w:val="right"/>
        <w:spacing w:after="0"/>
        <w:tabs>
          <w:tab w:leader="none" w:pos="420" w:val="left"/>
        </w:tabs>
        <w:rPr>
          <w:sz w:val="20"/>
          <w:szCs w:val="20"/>
          <w:color w:val="auto"/>
        </w:rPr>
      </w:pPr>
      <w:r>
        <w:rPr>
          <w:rFonts w:ascii="Times New Roman" w:cs="Times New Roman" w:eastAsia="Times New Roman" w:hAnsi="Times New Roman"/>
          <w:sz w:val="18"/>
          <w:szCs w:val="18"/>
          <w:b w:val="1"/>
          <w:bCs w:val="1"/>
          <w:color w:val="F1665F"/>
        </w:rPr>
        <w:t>SUBJECT TO COMPLETION, DATED</w:t>
      </w:r>
      <w:r>
        <w:rPr>
          <w:sz w:val="20"/>
          <w:szCs w:val="20"/>
          <w:color w:val="auto"/>
        </w:rPr>
        <w:tab/>
      </w:r>
      <w:r>
        <w:rPr>
          <w:rFonts w:ascii="Times New Roman" w:cs="Times New Roman" w:eastAsia="Times New Roman" w:hAnsi="Times New Roman"/>
          <w:sz w:val="17"/>
          <w:szCs w:val="17"/>
          <w:b w:val="1"/>
          <w:bCs w:val="1"/>
          <w:color w:val="F1665F"/>
        </w:rPr>
        <w:t>, 2020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27940</wp:posOffset>
            </wp:positionV>
            <wp:extent cx="1285875" cy="128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0" w:lineRule="exact"/>
        <w:rPr>
          <w:sz w:val="20"/>
          <w:szCs w:val="20"/>
          <w:color w:val="auto"/>
        </w:rPr>
      </w:pPr>
    </w:p>
    <w:p>
      <w:pPr>
        <w:spacing w:after="0" w:line="25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offering shares of our Class A common stock. This is our initial public offering of our Class A common stock, and no public market currently exists for our Class A common stock. The rights of the holders of Class A common stock and Class B common stock are substantially identical, except with respect to voting and conversion. Each share of Class A common stock is entitled to one vote per share. Each share of Class B common stock is entitled to ten votes per share and is convertible at any time into one share of Class A common stock. Following this offering, outstanding</w:t>
      </w:r>
    </w:p>
    <w:p>
      <w:pPr>
        <w:spacing w:after="0" w:line="3"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shares of Class B common stock will represent approximately</w:t>
      </w:r>
      <w:r>
        <w:rPr>
          <w:sz w:val="20"/>
          <w:szCs w:val="20"/>
          <w:color w:val="auto"/>
        </w:rPr>
        <w:tab/>
      </w:r>
      <w:r>
        <w:rPr>
          <w:rFonts w:ascii="Times New Roman" w:cs="Times New Roman" w:eastAsia="Times New Roman" w:hAnsi="Times New Roman"/>
          <w:sz w:val="18"/>
          <w:szCs w:val="18"/>
          <w:color w:val="auto"/>
        </w:rPr>
        <w:t>% of the voting power of our outstanding capital stock.</w:t>
      </w:r>
    </w:p>
    <w:p>
      <w:pPr>
        <w:sectPr>
          <w:pgSz w:w="11900" w:h="16838" w:orient="portrait"/>
          <w:cols w:equalWidth="0" w:num="1">
            <w:col w:w="11240"/>
          </w:cols>
          <w:pgMar w:left="320" w:top="765" w:right="33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expect the initial public offering price to be between $</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We intend to apply to list our Class A common stock on the</w:t>
      </w:r>
    </w:p>
    <w:p>
      <w:pPr>
        <w:spacing w:after="0" w:line="38" w:lineRule="exact"/>
        <w:rPr>
          <w:sz w:val="20"/>
          <w:szCs w:val="20"/>
          <w:color w:val="auto"/>
        </w:rPr>
      </w:pPr>
    </w:p>
    <w:p>
      <w:pPr>
        <w:sectPr>
          <w:pgSz w:w="11900" w:h="16838" w:orient="portrait"/>
          <w:cols w:equalWidth="0" w:num="3">
            <w:col w:w="4520" w:space="440"/>
            <w:col w:w="400" w:space="540"/>
            <w:col w:w="534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Nasdaq Stock Market under the symbol “SEER.”</w:t>
      </w:r>
    </w:p>
    <w:p>
      <w:pPr>
        <w:sectPr>
          <w:pgSz w:w="11900" w:h="16838" w:orient="portrait"/>
          <w:cols w:equalWidth="0" w:num="1">
            <w:col w:w="11240"/>
          </w:cols>
          <w:pgMar w:left="320" w:top="765" w:right="339" w:bottom="1440" w:gutter="0" w:footer="0" w:header="0"/>
          <w:type w:val="continuous"/>
        </w:sectPr>
      </w:pPr>
    </w:p>
    <w:p>
      <w:pPr>
        <w:spacing w:after="0" w:line="15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Investing in our Class A common stock involves a high degree of risk. Please read “Risk Factors” beginning on page 18 of this prospectus.</w:t>
      </w:r>
    </w:p>
    <w:p>
      <w:pPr>
        <w:spacing w:after="0" w:line="167"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560" w:type="dxa"/>
            <w:vAlign w:val="bottom"/>
            <w:tcBorders>
              <w:bottom w:val="single" w:sz="8" w:color="CCEEFF"/>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r>
        <w:trPr>
          <w:trHeight w:val="27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to Seer, Inc., before expenses</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“Underwriting” beginning on page 174 for additional information regarding underwriter compensation.</w:t>
      </w:r>
    </w:p>
    <w:p>
      <w:pPr>
        <w:spacing w:after="0" w:line="15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Delivery of the shares of Class A common stock is expected to be made on or about , 2020. We have granted the underwriters an option for a period of 30 days to purchase an additional shares of our Class A common stock. If the underwriters exercise the option in full, the total underwriting discounts and commissions payable by us will be $ and the total proceeds to us, before expenses, will be $ .</w:t>
      </w:r>
    </w:p>
    <w:p>
      <w:pPr>
        <w:sectPr>
          <w:pgSz w:w="11900" w:h="16838" w:orient="portrait"/>
          <w:cols w:equalWidth="0" w:num="1">
            <w:col w:w="11240"/>
          </w:cols>
          <w:pgMar w:left="320" w:top="765" w:right="339" w:bottom="1440" w:gutter="0" w:footer="0" w:header="0"/>
          <w:type w:val="continuous"/>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Cowen</w:t>
      </w:r>
    </w:p>
    <w:p>
      <w:pPr>
        <w:spacing w:after="0" w:line="200" w:lineRule="exact"/>
        <w:rPr>
          <w:sz w:val="20"/>
          <w:szCs w:val="20"/>
          <w:color w:val="auto"/>
        </w:rPr>
      </w:pPr>
    </w:p>
    <w:p>
      <w:pPr>
        <w:sectPr>
          <w:pgSz w:w="11900" w:h="16838" w:orient="portrait"/>
          <w:cols w:equalWidth="0" w:num="4">
            <w:col w:w="2540" w:space="720"/>
            <w:col w:w="2600" w:space="720"/>
            <w:col w:w="3080" w:space="720"/>
            <w:col w:w="860"/>
          </w:cols>
          <w:pgMar w:left="320" w:top="765" w:right="339" w:bottom="1440" w:gutter="0" w:footer="0" w:header="0"/>
          <w:type w:val="continuous"/>
        </w:sectPr>
      </w:pP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Prospectus dated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2020</w:t>
      </w:r>
    </w:p>
    <w:p>
      <w:pPr>
        <w:sectPr>
          <w:pgSz w:w="11900" w:h="16838" w:orient="portrait"/>
          <w:cols w:equalWidth="0" w:num="2">
            <w:col w:w="6240" w:space="720"/>
            <w:col w:w="4280"/>
          </w:cols>
          <w:pgMar w:left="320" w:top="765" w:right="339" w:bottom="1440" w:gutter="0" w:footer="0" w:header="0"/>
          <w:type w:val="continuous"/>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920" w:type="dxa"/>
            <w:vAlign w:val="bottom"/>
            <w:gridSpan w:val="3"/>
          </w:tcPr>
          <w:p>
            <w:pPr>
              <w:jc w:val="center"/>
              <w:ind w:left="4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5"/>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PROSPECTUS SUMMARY</w:t>
              </w:r>
            </w:hyperlink>
          </w:p>
        </w:tc>
        <w:tc>
          <w:tcPr>
            <w:tcW w:w="840" w:type="dxa"/>
            <w:vAlign w:val="bottom"/>
            <w:gridSpan w:val="2"/>
          </w:tcPr>
          <w:p>
            <w:pPr>
              <w:jc w:val="center"/>
              <w:ind w:left="511"/>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1</w:t>
              </w:r>
            </w:hyperlink>
          </w:p>
        </w:tc>
        <w:tc>
          <w:tcPr>
            <w:tcW w:w="80" w:type="dxa"/>
            <w:vAlign w:val="bottom"/>
          </w:tcPr>
          <w:p>
            <w:pPr>
              <w:spacing w:after="0"/>
              <w:rPr>
                <w:sz w:val="20"/>
                <w:szCs w:val="20"/>
                <w:color w:val="auto"/>
              </w:rPr>
            </w:pPr>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GLOSSARY</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17">
              <w:r>
                <w:rPr>
                  <w:rFonts w:ascii="Times New Roman" w:cs="Times New Roman" w:eastAsia="Times New Roman" w:hAnsi="Times New Roman"/>
                  <w:sz w:val="18"/>
                  <w:szCs w:val="18"/>
                  <w:u w:val="single" w:color="auto"/>
                  <w:color w:val="0000FF"/>
                  <w:w w:val="99"/>
                </w:rPr>
                <w:t>15</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RISK FACTORS</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18</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SPECIAL NOTE REGARDING FORWARD-LOOKING STATEMENTS</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62">
              <w:r>
                <w:rPr>
                  <w:rFonts w:ascii="Times New Roman" w:cs="Times New Roman" w:eastAsia="Times New Roman" w:hAnsi="Times New Roman"/>
                  <w:sz w:val="18"/>
                  <w:szCs w:val="18"/>
                  <w:u w:val="single" w:color="auto"/>
                  <w:color w:val="0000FF"/>
                  <w:w w:val="99"/>
                </w:rPr>
                <w:t>60</w:t>
              </w:r>
            </w:hyperlink>
          </w:p>
        </w:tc>
        <w:tc>
          <w:tcPr>
            <w:tcW w:w="80" w:type="dxa"/>
            <w:vAlign w:val="bottom"/>
          </w:tcPr>
          <w:p>
            <w:pPr>
              <w:spacing w:after="0"/>
              <w:rPr>
                <w:sz w:val="19"/>
                <w:szCs w:val="19"/>
                <w:color w:val="auto"/>
              </w:rPr>
            </w:pPr>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MARKET, INDUSTRY AND OTHER DATA</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64">
              <w:r>
                <w:rPr>
                  <w:rFonts w:ascii="Times New Roman" w:cs="Times New Roman" w:eastAsia="Times New Roman" w:hAnsi="Times New Roman"/>
                  <w:sz w:val="18"/>
                  <w:szCs w:val="18"/>
                  <w:u w:val="single" w:color="auto"/>
                  <w:color w:val="0000FF"/>
                  <w:w w:val="99"/>
                </w:rPr>
                <w:t>62</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USE OF PROCEEDS</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66">
              <w:r>
                <w:rPr>
                  <w:rFonts w:ascii="Times New Roman" w:cs="Times New Roman" w:eastAsia="Times New Roman" w:hAnsi="Times New Roman"/>
                  <w:sz w:val="18"/>
                  <w:szCs w:val="18"/>
                  <w:u w:val="single" w:color="auto"/>
                  <w:color w:val="0000FF"/>
                  <w:w w:val="99"/>
                </w:rPr>
                <w:t>64</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DIVIDEND POLICY</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67">
              <w:r>
                <w:rPr>
                  <w:rFonts w:ascii="Times New Roman" w:cs="Times New Roman" w:eastAsia="Times New Roman" w:hAnsi="Times New Roman"/>
                  <w:sz w:val="18"/>
                  <w:szCs w:val="18"/>
                  <w:u w:val="single" w:color="auto"/>
                  <w:color w:val="0000FF"/>
                  <w:w w:val="99"/>
                </w:rPr>
                <w:t>65</w:t>
              </w:r>
            </w:hyperlink>
          </w:p>
        </w:tc>
        <w:tc>
          <w:tcPr>
            <w:tcW w:w="80" w:type="dxa"/>
            <w:vAlign w:val="bottom"/>
          </w:tcPr>
          <w:p>
            <w:pPr>
              <w:spacing w:after="0"/>
              <w:rPr>
                <w:sz w:val="19"/>
                <w:szCs w:val="19"/>
                <w:color w:val="auto"/>
              </w:rPr>
            </w:pPr>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CAPITALIZATION</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68">
              <w:r>
                <w:rPr>
                  <w:rFonts w:ascii="Times New Roman" w:cs="Times New Roman" w:eastAsia="Times New Roman" w:hAnsi="Times New Roman"/>
                  <w:sz w:val="18"/>
                  <w:szCs w:val="18"/>
                  <w:u w:val="single" w:color="auto"/>
                  <w:color w:val="0000FF"/>
                  <w:w w:val="99"/>
                </w:rPr>
                <w:t>66</w:t>
              </w:r>
            </w:hyperlink>
          </w:p>
        </w:tc>
        <w:tc>
          <w:tcPr>
            <w:tcW w:w="80" w:type="dxa"/>
            <w:vAlign w:val="bottom"/>
          </w:tcPr>
          <w:p>
            <w:pPr>
              <w:spacing w:after="0"/>
              <w:rPr>
                <w:sz w:val="19"/>
                <w:szCs w:val="19"/>
                <w:color w:val="auto"/>
              </w:rPr>
            </w:pPr>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DILUTION</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71">
              <w:r>
                <w:rPr>
                  <w:rFonts w:ascii="Times New Roman" w:cs="Times New Roman" w:eastAsia="Times New Roman" w:hAnsi="Times New Roman"/>
                  <w:sz w:val="18"/>
                  <w:szCs w:val="18"/>
                  <w:u w:val="single" w:color="auto"/>
                  <w:color w:val="0000FF"/>
                  <w:w w:val="99"/>
                </w:rPr>
                <w:t>69</w:t>
              </w:r>
            </w:hyperlink>
          </w:p>
        </w:tc>
        <w:tc>
          <w:tcPr>
            <w:tcW w:w="80" w:type="dxa"/>
            <w:vAlign w:val="bottom"/>
          </w:tcPr>
          <w:p>
            <w:pPr>
              <w:spacing w:after="0"/>
              <w:rPr>
                <w:sz w:val="19"/>
                <w:szCs w:val="19"/>
                <w:color w:val="auto"/>
              </w:rPr>
            </w:pPr>
          </w:p>
        </w:tc>
      </w:tr>
      <w:tr>
        <w:trPr>
          <w:trHeight w:val="194"/>
        </w:trPr>
        <w:tc>
          <w:tcPr>
            <w:tcW w:w="24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8"/>
              </w:rPr>
            </w:pPr>
            <w:hyperlink w:anchor="page74">
              <w:r>
                <w:rPr>
                  <w:rFonts w:ascii="Times New Roman" w:cs="Times New Roman" w:eastAsia="Times New Roman" w:hAnsi="Times New Roman"/>
                  <w:sz w:val="18"/>
                  <w:szCs w:val="18"/>
                  <w:color w:val="0000FF"/>
                  <w:w w:val="98"/>
                </w:rPr>
                <w:t>SELECTED FINANCIAL DATA</w:t>
              </w:r>
            </w:hyperlink>
          </w:p>
        </w:tc>
        <w:tc>
          <w:tcPr>
            <w:tcW w:w="7700" w:type="dxa"/>
            <w:vAlign w:val="bottom"/>
            <w:gridSpan w:val="2"/>
          </w:tcPr>
          <w:p>
            <w:pPr>
              <w:spacing w:after="0"/>
              <w:rPr>
                <w:sz w:val="16"/>
                <w:szCs w:val="16"/>
                <w:color w:val="auto"/>
              </w:rPr>
            </w:pPr>
          </w:p>
        </w:tc>
        <w:tc>
          <w:tcPr>
            <w:tcW w:w="840" w:type="dxa"/>
            <w:vAlign w:val="bottom"/>
            <w:gridSpan w:val="2"/>
          </w:tcPr>
          <w:p>
            <w:pPr>
              <w:jc w:val="center"/>
              <w:ind w:left="491"/>
              <w:spacing w:after="0" w:line="194" w:lineRule="exact"/>
              <w:rPr>
                <w:rFonts w:ascii="Times New Roman" w:cs="Times New Roman" w:eastAsia="Times New Roman" w:hAnsi="Times New Roman"/>
                <w:sz w:val="18"/>
                <w:szCs w:val="18"/>
                <w:u w:val="single" w:color="auto"/>
                <w:color w:val="0000FF"/>
                <w:w w:val="99"/>
              </w:rPr>
            </w:pPr>
            <w:hyperlink w:anchor="page74">
              <w:r>
                <w:rPr>
                  <w:rFonts w:ascii="Times New Roman" w:cs="Times New Roman" w:eastAsia="Times New Roman" w:hAnsi="Times New Roman"/>
                  <w:sz w:val="18"/>
                  <w:szCs w:val="18"/>
                  <w:u w:val="single" w:color="auto"/>
                  <w:color w:val="0000FF"/>
                  <w:w w:val="99"/>
                </w:rPr>
                <w:t>72</w:t>
              </w:r>
            </w:hyperlink>
          </w:p>
        </w:tc>
        <w:tc>
          <w:tcPr>
            <w:tcW w:w="80" w:type="dxa"/>
            <w:vAlign w:val="bottom"/>
          </w:tcPr>
          <w:p>
            <w:pPr>
              <w:spacing w:after="0"/>
              <w:rPr>
                <w:sz w:val="16"/>
                <w:szCs w:val="16"/>
                <w:color w:val="auto"/>
              </w:rPr>
            </w:pPr>
          </w:p>
        </w:tc>
      </w:tr>
      <w:tr>
        <w:trPr>
          <w:trHeight w:val="245"/>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76">
              <w:r>
                <w:rPr>
                  <w:rFonts w:ascii="Times New Roman" w:cs="Times New Roman" w:eastAsia="Times New Roman" w:hAnsi="Times New Roman"/>
                  <w:sz w:val="18"/>
                  <w:szCs w:val="18"/>
                  <w:u w:val="single" w:color="auto"/>
                  <w:color w:val="0000FF"/>
                  <w:w w:val="99"/>
                </w:rPr>
                <w:t>74</w:t>
              </w:r>
            </w:hyperlink>
          </w:p>
        </w:tc>
        <w:tc>
          <w:tcPr>
            <w:tcW w:w="80" w:type="dxa"/>
            <w:vAlign w:val="bottom"/>
          </w:tcPr>
          <w:p>
            <w:pPr>
              <w:spacing w:after="0"/>
              <w:rPr>
                <w:sz w:val="21"/>
                <w:szCs w:val="21"/>
                <w:color w:val="auto"/>
              </w:rPr>
            </w:pPr>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BUSINESS</w:t>
              </w:r>
            </w:hyperlink>
          </w:p>
        </w:tc>
        <w:tc>
          <w:tcPr>
            <w:tcW w:w="840" w:type="dxa"/>
            <w:vAlign w:val="bottom"/>
            <w:gridSpan w:val="2"/>
          </w:tcPr>
          <w:p>
            <w:pPr>
              <w:jc w:val="center"/>
              <w:ind w:left="491"/>
              <w:spacing w:after="0"/>
              <w:rPr>
                <w:rFonts w:ascii="Times New Roman" w:cs="Times New Roman" w:eastAsia="Times New Roman" w:hAnsi="Times New Roman"/>
                <w:sz w:val="18"/>
                <w:szCs w:val="18"/>
                <w:u w:val="single" w:color="auto"/>
                <w:color w:val="0000FF"/>
                <w:w w:val="99"/>
              </w:rPr>
            </w:pPr>
            <w:hyperlink w:anchor="page91">
              <w:r>
                <w:rPr>
                  <w:rFonts w:ascii="Times New Roman" w:cs="Times New Roman" w:eastAsia="Times New Roman" w:hAnsi="Times New Roman"/>
                  <w:sz w:val="18"/>
                  <w:szCs w:val="18"/>
                  <w:u w:val="single" w:color="auto"/>
                  <w:color w:val="0000FF"/>
                  <w:w w:val="99"/>
                </w:rPr>
                <w:t>89</w:t>
              </w:r>
            </w:hyperlink>
          </w:p>
        </w:tc>
        <w:tc>
          <w:tcPr>
            <w:tcW w:w="80" w:type="dxa"/>
            <w:vAlign w:val="bottom"/>
          </w:tcPr>
          <w:p>
            <w:pPr>
              <w:spacing w:after="0"/>
              <w:rPr>
                <w:sz w:val="19"/>
                <w:szCs w:val="19"/>
                <w:color w:val="auto"/>
              </w:rPr>
            </w:pPr>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MANAGEMENT</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125</w:t>
              </w:r>
            </w:hyperlink>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37">
              <w:r>
                <w:rPr>
                  <w:rFonts w:ascii="Times New Roman" w:cs="Times New Roman" w:eastAsia="Times New Roman" w:hAnsi="Times New Roman"/>
                  <w:sz w:val="18"/>
                  <w:szCs w:val="18"/>
                  <w:u w:val="single" w:color="auto"/>
                  <w:color w:val="0000FF"/>
                </w:rPr>
                <w:t>EXECUTIVE COMPENSATION</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37">
              <w:r>
                <w:rPr>
                  <w:rFonts w:ascii="Times New Roman" w:cs="Times New Roman" w:eastAsia="Times New Roman" w:hAnsi="Times New Roman"/>
                  <w:sz w:val="18"/>
                  <w:szCs w:val="18"/>
                  <w:u w:val="single" w:color="auto"/>
                  <w:color w:val="0000FF"/>
                </w:rPr>
                <w:t>135</w:t>
              </w:r>
            </w:hyperlink>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54">
              <w:r>
                <w:rPr>
                  <w:rFonts w:ascii="Times New Roman" w:cs="Times New Roman" w:eastAsia="Times New Roman" w:hAnsi="Times New Roman"/>
                  <w:sz w:val="18"/>
                  <w:szCs w:val="18"/>
                  <w:u w:val="single" w:color="auto"/>
                  <w:color w:val="0000FF"/>
                </w:rPr>
                <w:t>CERTAIN RELATIONSHIPS AND RELATED-PARTY TRANSACTIONS</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54">
              <w:r>
                <w:rPr>
                  <w:rFonts w:ascii="Times New Roman" w:cs="Times New Roman" w:eastAsia="Times New Roman" w:hAnsi="Times New Roman"/>
                  <w:sz w:val="18"/>
                  <w:szCs w:val="18"/>
                  <w:u w:val="single" w:color="auto"/>
                  <w:color w:val="0000FF"/>
                </w:rPr>
                <w:t>152</w:t>
              </w:r>
            </w:hyperlink>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PRINCIPAL STOCKHOLDERS</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158</w:t>
              </w:r>
            </w:hyperlink>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63">
              <w:r>
                <w:rPr>
                  <w:rFonts w:ascii="Times New Roman" w:cs="Times New Roman" w:eastAsia="Times New Roman" w:hAnsi="Times New Roman"/>
                  <w:sz w:val="18"/>
                  <w:szCs w:val="18"/>
                  <w:u w:val="single" w:color="auto"/>
                  <w:color w:val="0000FF"/>
                </w:rPr>
                <w:t>DESCRIPTION OF CAPITAL STOCK</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63">
              <w:r>
                <w:rPr>
                  <w:rFonts w:ascii="Times New Roman" w:cs="Times New Roman" w:eastAsia="Times New Roman" w:hAnsi="Times New Roman"/>
                  <w:sz w:val="18"/>
                  <w:szCs w:val="18"/>
                  <w:u w:val="single" w:color="auto"/>
                  <w:color w:val="0000FF"/>
                </w:rPr>
                <w:t>161</w:t>
              </w:r>
            </w:hyperlink>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69">
              <w:r>
                <w:rPr>
                  <w:rFonts w:ascii="Times New Roman" w:cs="Times New Roman" w:eastAsia="Times New Roman" w:hAnsi="Times New Roman"/>
                  <w:sz w:val="18"/>
                  <w:szCs w:val="18"/>
                  <w:u w:val="single" w:color="auto"/>
                  <w:color w:val="0000FF"/>
                </w:rPr>
                <w:t>SHARES ELIGIBLE FOR FUTURE SALE</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69">
              <w:r>
                <w:rPr>
                  <w:rFonts w:ascii="Times New Roman" w:cs="Times New Roman" w:eastAsia="Times New Roman" w:hAnsi="Times New Roman"/>
                  <w:sz w:val="18"/>
                  <w:szCs w:val="18"/>
                  <w:u w:val="single" w:color="auto"/>
                  <w:color w:val="0000FF"/>
                </w:rPr>
                <w:t>167</w:t>
              </w:r>
            </w:hyperlink>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72">
              <w:r>
                <w:rPr>
                  <w:rFonts w:ascii="Times New Roman" w:cs="Times New Roman" w:eastAsia="Times New Roman" w:hAnsi="Times New Roman"/>
                  <w:sz w:val="18"/>
                  <w:szCs w:val="18"/>
                  <w:u w:val="single" w:color="auto"/>
                  <w:color w:val="0000FF"/>
                </w:rPr>
                <w:t>MATERIAL U.S. FEDERAL INCOME AND TAX CONSIDERATIONS FOR NON-U.S. HOLDERS OF OUR COMMON STOCK</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72">
              <w:r>
                <w:rPr>
                  <w:rFonts w:ascii="Times New Roman" w:cs="Times New Roman" w:eastAsia="Times New Roman" w:hAnsi="Times New Roman"/>
                  <w:sz w:val="18"/>
                  <w:szCs w:val="18"/>
                  <w:u w:val="single" w:color="auto"/>
                  <w:color w:val="0000FF"/>
                </w:rPr>
                <w:t>170</w:t>
              </w:r>
            </w:hyperlink>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76">
              <w:r>
                <w:rPr>
                  <w:rFonts w:ascii="Times New Roman" w:cs="Times New Roman" w:eastAsia="Times New Roman" w:hAnsi="Times New Roman"/>
                  <w:sz w:val="18"/>
                  <w:szCs w:val="18"/>
                  <w:u w:val="single" w:color="auto"/>
                  <w:color w:val="0000FF"/>
                </w:rPr>
                <w:t>UNDERWRITING</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76">
              <w:r>
                <w:rPr>
                  <w:rFonts w:ascii="Times New Roman" w:cs="Times New Roman" w:eastAsia="Times New Roman" w:hAnsi="Times New Roman"/>
                  <w:sz w:val="18"/>
                  <w:szCs w:val="18"/>
                  <w:u w:val="single" w:color="auto"/>
                  <w:color w:val="0000FF"/>
                </w:rPr>
                <w:t>174</w:t>
              </w:r>
            </w:hyperlink>
          </w:p>
        </w:tc>
      </w:tr>
      <w:tr>
        <w:trPr>
          <w:trHeight w:val="229"/>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86">
              <w:r>
                <w:rPr>
                  <w:rFonts w:ascii="Times New Roman" w:cs="Times New Roman" w:eastAsia="Times New Roman" w:hAnsi="Times New Roman"/>
                  <w:sz w:val="18"/>
                  <w:szCs w:val="18"/>
                  <w:u w:val="single" w:color="auto"/>
                  <w:color w:val="0000FF"/>
                </w:rPr>
                <w:t>LEGAL MATTERS</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86">
              <w:r>
                <w:rPr>
                  <w:rFonts w:ascii="Times New Roman" w:cs="Times New Roman" w:eastAsia="Times New Roman" w:hAnsi="Times New Roman"/>
                  <w:sz w:val="18"/>
                  <w:szCs w:val="18"/>
                  <w:u w:val="single" w:color="auto"/>
                  <w:color w:val="0000FF"/>
                </w:rPr>
                <w:t>184</w:t>
              </w:r>
            </w:hyperlink>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87">
              <w:r>
                <w:rPr>
                  <w:rFonts w:ascii="Times New Roman" w:cs="Times New Roman" w:eastAsia="Times New Roman" w:hAnsi="Times New Roman"/>
                  <w:sz w:val="18"/>
                  <w:szCs w:val="18"/>
                  <w:u w:val="single" w:color="auto"/>
                  <w:color w:val="0000FF"/>
                </w:rPr>
                <w:t>EXPERTS</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87">
              <w:r>
                <w:rPr>
                  <w:rFonts w:ascii="Times New Roman" w:cs="Times New Roman" w:eastAsia="Times New Roman" w:hAnsi="Times New Roman"/>
                  <w:sz w:val="18"/>
                  <w:szCs w:val="18"/>
                  <w:u w:val="single" w:color="auto"/>
                  <w:color w:val="0000FF"/>
                </w:rPr>
                <w:t>184</w:t>
              </w:r>
            </w:hyperlink>
          </w:p>
        </w:tc>
      </w:tr>
      <w:tr>
        <w:trPr>
          <w:trHeight w:val="230"/>
        </w:trPr>
        <w:tc>
          <w:tcPr>
            <w:tcW w:w="10140" w:type="dxa"/>
            <w:vAlign w:val="bottom"/>
            <w:gridSpan w:val="3"/>
          </w:tcPr>
          <w:p>
            <w:pPr>
              <w:spacing w:after="0"/>
              <w:rPr>
                <w:rFonts w:ascii="Times New Roman" w:cs="Times New Roman" w:eastAsia="Times New Roman" w:hAnsi="Times New Roman"/>
                <w:sz w:val="18"/>
                <w:szCs w:val="18"/>
                <w:u w:val="single" w:color="auto"/>
                <w:color w:val="0000FF"/>
              </w:rPr>
            </w:pPr>
            <w:hyperlink w:anchor="page187">
              <w:r>
                <w:rPr>
                  <w:rFonts w:ascii="Times New Roman" w:cs="Times New Roman" w:eastAsia="Times New Roman" w:hAnsi="Times New Roman"/>
                  <w:sz w:val="18"/>
                  <w:szCs w:val="18"/>
                  <w:u w:val="single" w:color="auto"/>
                  <w:color w:val="0000FF"/>
                </w:rPr>
                <w:t>WHERE YOU CAN FIND ADDITIONAL INFORMATION</w:t>
              </w:r>
            </w:hyperlink>
          </w:p>
        </w:tc>
        <w:tc>
          <w:tcPr>
            <w:tcW w:w="920" w:type="dxa"/>
            <w:vAlign w:val="bottom"/>
            <w:gridSpan w:val="3"/>
          </w:tcPr>
          <w:p>
            <w:pPr>
              <w:jc w:val="center"/>
              <w:ind w:left="431"/>
              <w:spacing w:after="0"/>
              <w:rPr>
                <w:rFonts w:ascii="Times New Roman" w:cs="Times New Roman" w:eastAsia="Times New Roman" w:hAnsi="Times New Roman"/>
                <w:sz w:val="18"/>
                <w:szCs w:val="18"/>
                <w:u w:val="single" w:color="auto"/>
                <w:color w:val="0000FF"/>
              </w:rPr>
            </w:pPr>
            <w:hyperlink w:anchor="page187">
              <w:r>
                <w:rPr>
                  <w:rFonts w:ascii="Times New Roman" w:cs="Times New Roman" w:eastAsia="Times New Roman" w:hAnsi="Times New Roman"/>
                  <w:sz w:val="18"/>
                  <w:szCs w:val="18"/>
                  <w:u w:val="single" w:color="auto"/>
                  <w:color w:val="0000FF"/>
                </w:rPr>
                <w:t>184</w:t>
              </w:r>
            </w:hyperlink>
          </w:p>
        </w:tc>
      </w:tr>
      <w:tr>
        <w:trPr>
          <w:trHeight w:val="194"/>
        </w:trPr>
        <w:tc>
          <w:tcPr>
            <w:tcW w:w="10140" w:type="dxa"/>
            <w:vAlign w:val="bottom"/>
            <w:gridSpan w:val="3"/>
          </w:tcPr>
          <w:p>
            <w:pPr>
              <w:spacing w:after="0" w:line="194" w:lineRule="exact"/>
              <w:rPr>
                <w:rFonts w:ascii="Times New Roman" w:cs="Times New Roman" w:eastAsia="Times New Roman" w:hAnsi="Times New Roman"/>
                <w:sz w:val="18"/>
                <w:szCs w:val="18"/>
                <w:color w:val="0000FF"/>
              </w:rPr>
            </w:pPr>
            <w:hyperlink w:anchor="page187">
              <w:r>
                <w:rPr>
                  <w:rFonts w:ascii="Times New Roman" w:cs="Times New Roman" w:eastAsia="Times New Roman" w:hAnsi="Times New Roman"/>
                  <w:sz w:val="18"/>
                  <w:szCs w:val="18"/>
                  <w:color w:val="0000FF"/>
                </w:rPr>
                <w:t>INDEX TO FINANCIAL STATEMENTS</w:t>
              </w:r>
            </w:hyperlink>
          </w:p>
        </w:tc>
        <w:tc>
          <w:tcPr>
            <w:tcW w:w="920" w:type="dxa"/>
            <w:vAlign w:val="bottom"/>
            <w:gridSpan w:val="3"/>
          </w:tcPr>
          <w:p>
            <w:pPr>
              <w:jc w:val="center"/>
              <w:ind w:left="431"/>
              <w:spacing w:after="0" w:line="194" w:lineRule="exact"/>
              <w:rPr>
                <w:rFonts w:ascii="Times New Roman" w:cs="Times New Roman" w:eastAsia="Times New Roman" w:hAnsi="Times New Roman"/>
                <w:sz w:val="18"/>
                <w:szCs w:val="18"/>
                <w:color w:val="0000FF"/>
                <w:w w:val="95"/>
              </w:rPr>
            </w:pPr>
            <w:hyperlink w:anchor="page187">
              <w:r>
                <w:rPr>
                  <w:rFonts w:ascii="Times New Roman" w:cs="Times New Roman" w:eastAsia="Times New Roman" w:hAnsi="Times New Roman"/>
                  <w:sz w:val="18"/>
                  <w:szCs w:val="18"/>
                  <w:color w:val="0000FF"/>
                  <w:w w:val="95"/>
                </w:rPr>
                <w:t>F-1</w:t>
              </w:r>
            </w:hyperlink>
          </w:p>
        </w:tc>
      </w:tr>
      <w:tr>
        <w:trPr>
          <w:trHeight w:val="20"/>
        </w:trPr>
        <w:tc>
          <w:tcPr>
            <w:tcW w:w="2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2020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3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30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860"/>
          </w:cols>
          <w:pgMar w:left="1000" w:top="1440" w:right="10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53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Challenges of Accessing the Proteome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19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Background of Massively Parallel Sampling</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Engineered Nanoparticle Technology</w:t>
      </w:r>
    </w:p>
    <w:p>
      <w:pPr>
        <w:spacing w:after="0" w:line="175"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1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880"/>
          </w:cols>
          <w:pgMar w:left="1000" w:top="1440" w:right="10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2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62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NPs enable the unique capabilities of our Proteograph Product Suite, including the ability to:</w:t>
      </w:r>
    </w:p>
    <w:p>
      <w:pPr>
        <w:spacing w:after="0" w:line="171"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complex biofluid processing workflows required by other unbiased proteomic approaches;</w:t>
      </w:r>
    </w:p>
    <w:p>
      <w:pPr>
        <w:spacing w:after="0" w:line="171" w:lineRule="exact"/>
        <w:rPr>
          <w:rFonts w:ascii="Times New Roman" w:cs="Times New Roman" w:eastAsia="Times New Roman" w:hAnsi="Times New Roman"/>
          <w:sz w:val="18"/>
          <w:szCs w:val="18"/>
          <w:color w:val="auto"/>
        </w:rPr>
      </w:pPr>
    </w:p>
    <w:p>
      <w:pPr>
        <w:ind w:left="640" w:right="20" w:hanging="322"/>
        <w:spacing w:after="0" w:line="312" w:lineRule="auto"/>
        <w:tabs>
          <w:tab w:leader="none" w:pos="6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85" w:lineRule="exact"/>
        <w:rPr>
          <w:rFonts w:ascii="Times New Roman" w:cs="Times New Roman" w:eastAsia="Times New Roman" w:hAnsi="Times New Roman"/>
          <w:sz w:val="17"/>
          <w:szCs w:val="17"/>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distinguish protein variants at the peptide level;</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quantify protein variants and PPIs;</w:t>
      </w:r>
    </w:p>
    <w:p>
      <w:pPr>
        <w:spacing w:after="0" w:line="171" w:lineRule="exact"/>
        <w:rPr>
          <w:rFonts w:ascii="Times New Roman" w:cs="Times New Roman" w:eastAsia="Times New Roman" w:hAnsi="Times New Roman"/>
          <w:sz w:val="18"/>
          <w:szCs w:val="18"/>
          <w:color w:val="auto"/>
        </w:rPr>
      </w:pPr>
    </w:p>
    <w:p>
      <w:pPr>
        <w:ind w:left="640" w:right="100" w:hanging="322"/>
        <w:spacing w:after="0" w:line="28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machine learning to design, synthesize and select different NPs and NP panels to create multiple products and applications; and</w:t>
      </w:r>
    </w:p>
    <w:p>
      <w:pPr>
        <w:spacing w:after="0" w:line="107" w:lineRule="exact"/>
        <w:rPr>
          <w:rFonts w:ascii="Times New Roman" w:cs="Times New Roman" w:eastAsia="Times New Roman" w:hAnsi="Times New Roman"/>
          <w:sz w:val="18"/>
          <w:szCs w:val="18"/>
          <w:color w:val="auto"/>
        </w:rPr>
      </w:pPr>
    </w:p>
    <w:p>
      <w:pPr>
        <w:ind w:left="640" w:right="600" w:hanging="322"/>
        <w:spacing w:after="0" w:line="28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compatible across a wide range of laboratory workflows, automation equipment and sample processing and detection methods, lowering the hurdle for product adoption.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Proteograph Product Suite</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Proteograph’s key components are the following:</w:t>
      </w:r>
    </w:p>
    <w:p>
      <w:pPr>
        <w:spacing w:after="0" w:line="171" w:lineRule="exact"/>
        <w:rPr>
          <w:sz w:val="20"/>
          <w:szCs w:val="20"/>
          <w:color w:val="auto"/>
        </w:rPr>
      </w:pPr>
    </w:p>
    <w:p>
      <w:pPr>
        <w:ind w:left="640" w:right="14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Our Proteograph consumables consist of our NP panel and all other consumables necessary to assay samples on our automation instrument.</w:t>
      </w:r>
    </w:p>
    <w:p>
      <w:pPr>
        <w:spacing w:after="0" w:line="107" w:lineRule="exact"/>
        <w:rPr>
          <w:rFonts w:ascii="Times New Roman" w:cs="Times New Roman" w:eastAsia="Times New Roman" w:hAnsi="Times New Roman"/>
          <w:sz w:val="18"/>
          <w:szCs w:val="18"/>
          <w:color w:val="auto"/>
        </w:rPr>
      </w:pPr>
    </w:p>
    <w:p>
      <w:pPr>
        <w:ind w:left="640" w:hanging="322"/>
        <w:spacing w:after="0" w:line="26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25"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Our Proteograph software was designed for ease-of-use and was developed to help users arrive at insights quickly and efficiently following peptide detection by an MS instrument.</w:t>
      </w:r>
    </w:p>
    <w:p>
      <w:pPr>
        <w:spacing w:after="0" w:line="10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Proteograph Product Suite Performance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22" w:lineRule="exact"/>
        <w:rPr>
          <w:sz w:val="20"/>
          <w:szCs w:val="20"/>
          <w:color w:val="auto"/>
        </w:rPr>
      </w:pPr>
    </w:p>
    <w:p>
      <w:pPr>
        <w:ind w:left="640" w:right="20" w:hanging="322"/>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Breadth of protein sampling. </w:t>
      </w:r>
      <w:r>
        <w:rPr>
          <w:rFonts w:ascii="Times New Roman" w:cs="Times New Roman" w:eastAsia="Times New Roman" w:hAnsi="Times New Roman"/>
          <w:sz w:val="18"/>
          <w:szCs w:val="18"/>
          <w:color w:val="auto"/>
        </w:rPr>
        <w:t>Breadth of protein sampling refers to our Proteograph Product Suite’s ability to conduct unbiased,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parallel 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28" w:lineRule="exact"/>
        <w:rPr>
          <w:rFonts w:ascii="Times New Roman" w:cs="Times New Roman" w:eastAsia="Times New Roman" w:hAnsi="Times New Roman"/>
          <w:sz w:val="18"/>
          <w:szCs w:val="18"/>
          <w:color w:val="auto"/>
        </w:rPr>
      </w:pPr>
    </w:p>
    <w:p>
      <w:pPr>
        <w:ind w:left="640" w:right="40" w:hanging="322"/>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Depth of coverage. </w:t>
      </w:r>
      <w:r>
        <w:rPr>
          <w:rFonts w:ascii="Times New Roman" w:cs="Times New Roman" w:eastAsia="Times New Roman" w:hAnsi="Times New Roman"/>
          <w:sz w:val="18"/>
          <w:szCs w:val="18"/>
          <w:color w:val="auto"/>
        </w:rPr>
        <w:t>Depth of coverage refers to our Proteograph’s ability to evaluate the proteome across the wide dynamic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28" w:lineRule="exact"/>
        <w:rPr>
          <w:rFonts w:ascii="Times New Roman" w:cs="Times New Roman" w:eastAsia="Times New Roman" w:hAnsi="Times New Roman"/>
          <w:sz w:val="18"/>
          <w:szCs w:val="18"/>
          <w:color w:val="auto"/>
        </w:rPr>
      </w:pPr>
    </w:p>
    <w:p>
      <w:pPr>
        <w:ind w:left="640" w:right="100" w:hanging="322"/>
        <w:spacing w:after="0" w:line="26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Accuracy of measurement. </w:t>
      </w:r>
      <w:r>
        <w:rPr>
          <w:rFonts w:ascii="Times New Roman" w:cs="Times New Roman" w:eastAsia="Times New Roman" w:hAnsi="Times New Roman"/>
          <w:sz w:val="18"/>
          <w:szCs w:val="18"/>
          <w:color w:val="auto"/>
        </w:rPr>
        <w:t>Accuracy refers to how close the measured abundance of a protein is to the true abundance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sample. Accuracy of protein abundance measurement can be demonstrated by MS signal intensity of the proteins sampled with our Proteograph, and comparing these values with measurements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19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640"/>
        <w:spacing w:after="0" w:line="282" w:lineRule="auto"/>
        <w:rPr>
          <w:sz w:val="20"/>
          <w:szCs w:val="20"/>
          <w:color w:val="auto"/>
        </w:rPr>
      </w:pPr>
      <w:r>
        <w:rPr>
          <w:rFonts w:ascii="Times New Roman" w:cs="Times New Roman" w:eastAsia="Times New Roman" w:hAnsi="Times New Roman"/>
          <w:sz w:val="18"/>
          <w:szCs w:val="18"/>
          <w:color w:val="auto"/>
        </w:rPr>
        <w:t>obtained directly by immuno-assay (ELISA). Our Proteograph assay can distinguish changes in protein abundance with significant accuracy.</w:t>
      </w:r>
    </w:p>
    <w:p>
      <w:pPr>
        <w:spacing w:after="0" w:line="104" w:lineRule="exact"/>
        <w:rPr>
          <w:sz w:val="20"/>
          <w:szCs w:val="20"/>
          <w:color w:val="auto"/>
        </w:rPr>
      </w:pPr>
    </w:p>
    <w:p>
      <w:pPr>
        <w:ind w:left="640" w:hanging="322"/>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Precision of measurement. </w:t>
      </w:r>
      <w:r>
        <w:rPr>
          <w:rFonts w:ascii="Times New Roman" w:cs="Times New Roman" w:eastAsia="Times New Roman" w:hAnsi="Times New Roman"/>
          <w:sz w:val="18"/>
          <w:szCs w:val="18"/>
          <w:color w:val="auto"/>
        </w:rPr>
        <w:t>Precision refers to how close several measurements of protein abundance in the same sample are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28" w:lineRule="exact"/>
        <w:rPr>
          <w:rFonts w:ascii="Times New Roman" w:cs="Times New Roman" w:eastAsia="Times New Roman" w:hAnsi="Times New Roman"/>
          <w:sz w:val="18"/>
          <w:szCs w:val="18"/>
          <w:color w:val="auto"/>
        </w:rPr>
      </w:pPr>
    </w:p>
    <w:p>
      <w:pPr>
        <w:ind w:left="640" w:right="120" w:hanging="322"/>
        <w:spacing w:after="0" w:line="26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and large-scale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Proteograph enables rapid and large-scale proteomic sample processing in a seven-hour workflow,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00"/>
          </w:cols>
          <w:pgMar w:left="1000" w:top="1440" w:right="9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Advantages of Our Proteograph Product Suite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640" w:right="5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is expected to be the first commercially available solution to provide the combination of unbiased, deep, rapid and large-scale access to the proteome.</w:t>
      </w:r>
    </w:p>
    <w:p>
      <w:pPr>
        <w:spacing w:after="0" w:line="107" w:lineRule="exact"/>
        <w:rPr>
          <w:rFonts w:ascii="Times New Roman" w:cs="Times New Roman" w:eastAsia="Times New Roman" w:hAnsi="Times New Roman"/>
          <w:sz w:val="18"/>
          <w:szCs w:val="18"/>
          <w:color w:val="auto"/>
        </w:rPr>
      </w:pPr>
    </w:p>
    <w:p>
      <w:pPr>
        <w:ind w:left="640" w:right="10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was designed to enable broad adoption across a wide variety of customers in both decentralized and centralized settings.</w:t>
      </w:r>
    </w:p>
    <w:p>
      <w:pPr>
        <w:spacing w:after="0" w:line="107" w:lineRule="exact"/>
        <w:rPr>
          <w:rFonts w:ascii="Times New Roman" w:cs="Times New Roman" w:eastAsia="Times New Roman" w:hAnsi="Times New Roman"/>
          <w:sz w:val="18"/>
          <w:szCs w:val="18"/>
          <w:color w:val="auto"/>
        </w:rPr>
      </w:pPr>
    </w:p>
    <w:p>
      <w:pPr>
        <w:ind w:left="640" w:right="52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engineered NPs are a core technology from which we can develop a range of products, applications and platforms.</w:t>
      </w:r>
    </w:p>
    <w:p>
      <w:pPr>
        <w:spacing w:after="0" w:line="107" w:lineRule="exact"/>
        <w:rPr>
          <w:rFonts w:ascii="Times New Roman" w:cs="Times New Roman" w:eastAsia="Times New Roman" w:hAnsi="Times New Roman"/>
          <w:sz w:val="18"/>
          <w:szCs w:val="18"/>
          <w:color w:val="auto"/>
        </w:rPr>
      </w:pPr>
    </w:p>
    <w:p>
      <w:pPr>
        <w:ind w:left="640" w:right="4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NP technology inherently provides significant operational leverage in research and development, manufacturing and commercialization.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has the potential to provide sustainable differentiation.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growth strategy is to:</w:t>
      </w:r>
    </w:p>
    <w:p>
      <w:pPr>
        <w:spacing w:after="0" w:line="108" w:lineRule="exact"/>
        <w:rPr>
          <w:sz w:val="20"/>
          <w:szCs w:val="20"/>
          <w:color w:val="auto"/>
        </w:rPr>
      </w:pPr>
    </w:p>
    <w:p>
      <w:pPr>
        <w:ind w:left="640" w:right="220" w:hanging="322"/>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our Proteograph Product Suite to enable researchers to create large-scale unbiased proteomic datasets that generate transformative scientific insights.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market development activities to increase awareness of the importance of large-scale proteomic data and the ability to access it.</w:t>
      </w:r>
    </w:p>
    <w:p>
      <w:pPr>
        <w:spacing w:after="0" w:line="107" w:lineRule="exact"/>
        <w:rPr>
          <w:rFonts w:ascii="Times New Roman" w:cs="Times New Roman" w:eastAsia="Times New Roman" w:hAnsi="Times New Roman"/>
          <w:sz w:val="18"/>
          <w:szCs w:val="18"/>
          <w:color w:val="auto"/>
        </w:rPr>
      </w:pPr>
    </w:p>
    <w:p>
      <w:pPr>
        <w:ind w:left="640" w:right="140" w:hanging="322"/>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innovate to develop and commercialize additional transformative products to access the proteome and accelerate our understanding of biology.</w:t>
      </w:r>
    </w:p>
    <w:p>
      <w:pPr>
        <w:spacing w:after="0" w:line="107" w:lineRule="exact"/>
        <w:rPr>
          <w:rFonts w:ascii="Times New Roman" w:cs="Times New Roman" w:eastAsia="Times New Roman" w:hAnsi="Times New Roman"/>
          <w:sz w:val="18"/>
          <w:szCs w:val="18"/>
          <w:color w:val="auto"/>
        </w:rPr>
      </w:pPr>
    </w:p>
    <w:p>
      <w:pPr>
        <w:ind w:left="640" w:right="240" w:hanging="322"/>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build our commercial infrastructure and NP manufacturing capabilities to provide for our commercial launch in the United States and internationally.</w:t>
      </w:r>
    </w:p>
    <w:p>
      <w:pPr>
        <w:spacing w:after="0" w:line="107" w:lineRule="exact"/>
        <w:rPr>
          <w:rFonts w:ascii="Times New Roman" w:cs="Times New Roman" w:eastAsia="Times New Roman" w:hAnsi="Times New Roman"/>
          <w:sz w:val="18"/>
          <w:szCs w:val="18"/>
          <w:color w:val="auto"/>
        </w:rPr>
      </w:pPr>
    </w:p>
    <w:p>
      <w:pPr>
        <w:ind w:left="640" w:right="240" w:hanging="322"/>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the creation of an ecosystem of customers, partners and collaborators whose expertise and offerings complement and enhance the power and utility of our products.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proprietary engineered NP technology to analyze molecules beyond proteins.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75"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86" w:lineRule="exact"/>
        <w:rPr>
          <w:sz w:val="20"/>
          <w:szCs w:val="20"/>
          <w:color w:val="auto"/>
        </w:rPr>
      </w:pPr>
    </w:p>
    <w:p>
      <w:pPr>
        <w:ind w:left="640" w:right="4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prospects for our future viability and predict our future performance.</w:t>
      </w:r>
    </w:p>
    <w:p>
      <w:pPr>
        <w:sectPr>
          <w:pgSz w:w="11900" w:h="16838" w:orient="portrait"/>
          <w:cols w:equalWidth="0" w:num="1">
            <w:col w:w="9780"/>
          </w:cols>
          <w:pgMar w:left="100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80"/>
          </w:cols>
          <w:pgMar w:left="1000" w:top="1440" w:right="11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14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640" w:right="26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commercially launched our Proteograph Product Suite, and we may not be able to successfully commercially launch our Proteograph as planned.</w:t>
      </w:r>
    </w:p>
    <w:p>
      <w:pPr>
        <w:spacing w:after="0" w:line="107" w:lineRule="exact"/>
        <w:rPr>
          <w:rFonts w:ascii="Times New Roman" w:cs="Times New Roman" w:eastAsia="Times New Roman" w:hAnsi="Times New Roman"/>
          <w:sz w:val="18"/>
          <w:szCs w:val="18"/>
          <w:color w:val="auto"/>
        </w:rPr>
      </w:pPr>
    </w:p>
    <w:p>
      <w:pPr>
        <w:ind w:left="640" w:right="6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commercially launch our Proteograph Product Suite, our success depends on broad scientific and market acceptance of our Proteograph, which we may fail to achieve.</w:t>
      </w:r>
    </w:p>
    <w:p>
      <w:pPr>
        <w:spacing w:after="0" w:line="107" w:lineRule="exact"/>
        <w:rPr>
          <w:rFonts w:ascii="Times New Roman" w:cs="Times New Roman" w:eastAsia="Times New Roman" w:hAnsi="Times New Roman"/>
          <w:sz w:val="18"/>
          <w:szCs w:val="18"/>
          <w:color w:val="auto"/>
        </w:rPr>
      </w:pPr>
    </w:p>
    <w:p>
      <w:pPr>
        <w:ind w:left="640" w:right="40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07"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efforts to reduce its spread have adversely impacted, and are expected to continue to materially and adversely impact, our business and operations.</w:t>
      </w:r>
    </w:p>
    <w:p>
      <w:pPr>
        <w:spacing w:after="0" w:line="107" w:lineRule="exact"/>
        <w:rPr>
          <w:rFonts w:ascii="Times New Roman" w:cs="Times New Roman" w:eastAsia="Times New Roman" w:hAnsi="Times New Roman"/>
          <w:sz w:val="18"/>
          <w:szCs w:val="18"/>
          <w:color w:val="auto"/>
        </w:rPr>
      </w:pPr>
    </w:p>
    <w:p>
      <w:pPr>
        <w:ind w:left="640" w:right="420" w:hanging="322"/>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5" w:lineRule="exact"/>
        <w:rPr>
          <w:rFonts w:ascii="Times New Roman" w:cs="Times New Roman" w:eastAsia="Times New Roman" w:hAnsi="Times New Roman"/>
          <w:sz w:val="18"/>
          <w:szCs w:val="18"/>
          <w:color w:val="auto"/>
        </w:rPr>
      </w:pPr>
    </w:p>
    <w:p>
      <w:pPr>
        <w:ind w:left="640" w:right="80" w:hanging="322"/>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80"/>
          </w:cols>
          <w:pgMar w:left="1000"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190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9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880"/>
          </w:cols>
          <w:pgMar w:left="1000" w:top="1440" w:right="10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33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7"/>
          <w:szCs w:val="17"/>
          <w:color w:val="auto"/>
        </w:rPr>
        <w:t>shares</w:t>
      </w:r>
    </w:p>
    <w:p>
      <w:pPr>
        <w:sectPr>
          <w:pgSz w:w="11900" w:h="16838" w:orient="portrait"/>
          <w:cols w:equalWidth="0" w:num="1">
            <w:col w:w="9860"/>
          </w:cols>
          <w:pgMar w:left="1000" w:top="1440" w:right="1039" w:bottom="1440" w:gutter="0" w:footer="0" w:header="0"/>
        </w:sectPr>
      </w:pPr>
    </w:p>
    <w:p>
      <w:pPr>
        <w:spacing w:after="0" w:line="77" w:lineRule="exact"/>
        <w:rPr>
          <w:sz w:val="20"/>
          <w:szCs w:val="20"/>
          <w:color w:val="auto"/>
        </w:rPr>
      </w:pPr>
    </w:p>
    <w:p>
      <w:pPr>
        <w:ind w:left="160" w:hanging="161"/>
        <w:spacing w:after="0" w:line="237" w:lineRule="auto"/>
        <w:rPr>
          <w:sz w:val="20"/>
          <w:szCs w:val="20"/>
          <w:color w:val="auto"/>
        </w:rPr>
      </w:pPr>
      <w:r>
        <w:rPr>
          <w:rFonts w:ascii="Times New Roman" w:cs="Times New Roman" w:eastAsia="Times New Roman" w:hAnsi="Times New Roman"/>
          <w:sz w:val="18"/>
          <w:szCs w:val="18"/>
          <w:color w:val="auto"/>
        </w:rPr>
        <w:t>Underwriter’s option to purchase additional shares of Class A common stock from us</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40" w:right="160" w:hanging="539"/>
        <w:spacing w:after="0" w:line="227" w:lineRule="auto"/>
        <w:rPr>
          <w:sz w:val="20"/>
          <w:szCs w:val="20"/>
          <w:color w:val="auto"/>
        </w:rPr>
      </w:pPr>
      <w:r>
        <w:rPr>
          <w:rFonts w:ascii="Times New Roman" w:cs="Times New Roman" w:eastAsia="Times New Roman" w:hAnsi="Times New Roman"/>
          <w:sz w:val="17"/>
          <w:szCs w:val="17"/>
          <w:color w:val="auto"/>
        </w:rPr>
        <w:t>The underwriters have been granted an option to purchase up to additional shares of Class A common stock from us at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within 30 days from the date of this prospectus.</w:t>
      </w:r>
    </w:p>
    <w:p>
      <w:pPr>
        <w:spacing w:after="0" w:line="57" w:lineRule="exact"/>
        <w:rPr>
          <w:sz w:val="20"/>
          <w:szCs w:val="20"/>
          <w:color w:val="auto"/>
        </w:rPr>
      </w:pPr>
    </w:p>
    <w:p>
      <w:pPr>
        <w:ind w:right="20" w:firstLine="900"/>
        <w:spacing w:after="0" w:line="237" w:lineRule="auto"/>
        <w:rPr>
          <w:sz w:val="20"/>
          <w:szCs w:val="20"/>
          <w:color w:val="auto"/>
        </w:rPr>
      </w:pPr>
      <w:r>
        <w:rPr>
          <w:rFonts w:ascii="Times New Roman" w:cs="Times New Roman" w:eastAsia="Times New Roman" w:hAnsi="Times New Roman"/>
          <w:sz w:val="18"/>
          <w:szCs w:val="18"/>
          <w:color w:val="auto"/>
        </w:rPr>
        <w:t>shares (or shares if the underwriters exercise their option to purchase additional shares in full)</w:t>
      </w:r>
    </w:p>
    <w:p>
      <w:pPr>
        <w:spacing w:after="0" w:line="50" w:lineRule="exact"/>
        <w:rPr>
          <w:sz w:val="20"/>
          <w:szCs w:val="20"/>
          <w:color w:val="auto"/>
        </w:rPr>
      </w:pPr>
    </w:p>
    <w:p>
      <w:pPr>
        <w:sectPr>
          <w:pgSz w:w="11900" w:h="16838" w:orient="portrait"/>
          <w:cols w:equalWidth="0" w:num="2">
            <w:col w:w="4440" w:space="520"/>
            <w:col w:w="4900"/>
          </w:cols>
          <w:pgMar w:left="1000" w:top="1440" w:right="10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77" w:lineRule="exact"/>
        <w:rPr>
          <w:sz w:val="20"/>
          <w:szCs w:val="20"/>
          <w:color w:val="auto"/>
        </w:rPr>
      </w:pPr>
    </w:p>
    <w:p>
      <w:pPr>
        <w:ind w:left="180" w:hanging="161"/>
        <w:spacing w:after="0" w:line="23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after this offering</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Times New Roman" w:cs="Times New Roman" w:eastAsia="Times New Roman" w:hAnsi="Times New Roman"/>
          <w:sz w:val="18"/>
          <w:szCs w:val="18"/>
          <w:color w:val="auto"/>
        </w:rPr>
        <w:t>shares</w:t>
      </w: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shares</w:t>
      </w:r>
    </w:p>
    <w:p>
      <w:pPr>
        <w:spacing w:after="0" w:line="9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will be approximately $ million (or approximately $ million if the underwriters exercise their option to purchase additional shares in full), based upon the assumed initial public offering price of $ per share, which is the midpoint of the price range set forth on the cover page of this prospectus, after deducting the underwriting discounts and commissions and estimated offering expenses payable by us.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principal purposes of this offering are to obtain additional capital to support our operations, establish a public market for our Class A common stock and facilitate our future access to the public capital markets.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to commercialize our Proteograph Product Suite, ongoing sales and marketing activities, and for other development work associated with advancing our Proteograph Product Suite, research and development and general corporate purposes. 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84"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See “Risk Factors” beginning on page 18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4500" w:space="460"/>
            <w:col w:w="490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60"/>
          </w:cols>
          <w:pgMar w:left="1000"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93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9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494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7"/>
          <w:szCs w:val="17"/>
          <w:color w:val="auto"/>
        </w:rPr>
        <w:t>Shares of Class A common stock are entitled to one vote per share.</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Shares of Class B common stock are entitled to ten votes per share.</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will generally vote together as a single class, unless otherwise</w:t>
      </w:r>
    </w:p>
    <w:p>
      <w:pPr>
        <w:ind w:left="4960"/>
        <w:spacing w:after="0" w:line="234" w:lineRule="auto"/>
        <w:rPr>
          <w:sz w:val="20"/>
          <w:szCs w:val="20"/>
          <w:color w:val="auto"/>
        </w:rPr>
      </w:pPr>
      <w:r>
        <w:rPr>
          <w:rFonts w:ascii="Times New Roman" w:cs="Times New Roman" w:eastAsia="Times New Roman" w:hAnsi="Times New Roman"/>
          <w:sz w:val="18"/>
          <w:szCs w:val="18"/>
          <w:color w:val="auto"/>
        </w:rPr>
        <w:t>required by law or our amended and restated certificate of</w:t>
      </w:r>
    </w:p>
    <w:p>
      <w:pPr>
        <w:ind w:left="4960"/>
        <w:spacing w:after="0" w:line="235" w:lineRule="auto"/>
        <w:rPr>
          <w:sz w:val="20"/>
          <w:szCs w:val="20"/>
          <w:color w:val="auto"/>
        </w:rPr>
      </w:pPr>
      <w:r>
        <w:rPr>
          <w:rFonts w:ascii="Times New Roman" w:cs="Times New Roman" w:eastAsia="Times New Roman" w:hAnsi="Times New Roman"/>
          <w:sz w:val="18"/>
          <w:szCs w:val="18"/>
          <w:color w:val="auto"/>
        </w:rPr>
        <w:t>incorporation. Upon completion of this offering, holders of our</w:t>
      </w:r>
    </w:p>
    <w:p>
      <w:pPr>
        <w:ind w:left="4960"/>
        <w:spacing w:after="0" w:line="235" w:lineRule="auto"/>
        <w:rPr>
          <w:sz w:val="20"/>
          <w:szCs w:val="20"/>
          <w:color w:val="auto"/>
        </w:rPr>
      </w:pPr>
      <w:r>
        <w:rPr>
          <w:rFonts w:ascii="Times New Roman" w:cs="Times New Roman" w:eastAsia="Times New Roman" w:hAnsi="Times New Roman"/>
          <w:sz w:val="18"/>
          <w:szCs w:val="18"/>
          <w:color w:val="auto"/>
        </w:rPr>
        <w:t>outstanding Class B common stock, which includes our Chief</w:t>
      </w:r>
    </w:p>
    <w:p>
      <w:pPr>
        <w:ind w:left="4960"/>
        <w:spacing w:after="0"/>
        <w:tabs>
          <w:tab w:leader="none" w:pos="8300" w:val="left"/>
        </w:tabs>
        <w:rPr>
          <w:sz w:val="20"/>
          <w:szCs w:val="20"/>
          <w:color w:val="auto"/>
        </w:rPr>
      </w:pPr>
      <w:r>
        <w:rPr>
          <w:rFonts w:ascii="Times New Roman" w:cs="Times New Roman" w:eastAsia="Times New Roman" w:hAnsi="Times New Roman"/>
          <w:sz w:val="18"/>
          <w:szCs w:val="18"/>
          <w:color w:val="auto"/>
        </w:rPr>
        <w:t>Executive Officer, will hold approximately</w:t>
      </w:r>
      <w:r>
        <w:rPr>
          <w:sz w:val="20"/>
          <w:szCs w:val="20"/>
          <w:color w:val="auto"/>
        </w:rPr>
        <w:tab/>
      </w:r>
      <w:r>
        <w:rPr>
          <w:rFonts w:ascii="Times New Roman" w:cs="Times New Roman" w:eastAsia="Times New Roman" w:hAnsi="Times New Roman"/>
          <w:sz w:val="17"/>
          <w:szCs w:val="17"/>
          <w:color w:val="auto"/>
        </w:rPr>
        <w:t>% of the voting</w:t>
      </w:r>
    </w:p>
    <w:p>
      <w:pPr>
        <w:ind w:left="4960"/>
        <w:spacing w:after="0" w:line="235" w:lineRule="auto"/>
        <w:rPr>
          <w:sz w:val="20"/>
          <w:szCs w:val="20"/>
          <w:color w:val="auto"/>
        </w:rPr>
      </w:pPr>
      <w:r>
        <w:rPr>
          <w:rFonts w:ascii="Times New Roman" w:cs="Times New Roman" w:eastAsia="Times New Roman" w:hAnsi="Times New Roman"/>
          <w:sz w:val="18"/>
          <w:szCs w:val="18"/>
          <w:color w:val="auto"/>
        </w:rPr>
        <w:t>power of our outstanding capital stock and will have the ability to</w:t>
      </w:r>
    </w:p>
    <w:p>
      <w:pPr>
        <w:ind w:left="4960"/>
        <w:spacing w:after="0" w:line="234" w:lineRule="auto"/>
        <w:rPr>
          <w:sz w:val="20"/>
          <w:szCs w:val="20"/>
          <w:color w:val="auto"/>
        </w:rPr>
      </w:pPr>
      <w:r>
        <w:rPr>
          <w:rFonts w:ascii="Times New Roman" w:cs="Times New Roman" w:eastAsia="Times New Roman" w:hAnsi="Times New Roman"/>
          <w:sz w:val="18"/>
          <w:szCs w:val="18"/>
          <w:color w:val="auto"/>
        </w:rPr>
        <w:t>control the outcome of matters submitted to our stockholders for</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approval, including the election of our directors, amendments of our</w:t>
      </w:r>
    </w:p>
    <w:p>
      <w:pPr>
        <w:spacing w:after="0" w:line="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organizational documents and any merger, consolidation, sale of all</w:t>
      </w:r>
    </w:p>
    <w:p>
      <w:pPr>
        <w:ind w:left="4960"/>
        <w:spacing w:after="0" w:line="234" w:lineRule="auto"/>
        <w:rPr>
          <w:sz w:val="20"/>
          <w:szCs w:val="20"/>
          <w:color w:val="auto"/>
        </w:rPr>
      </w:pPr>
      <w:r>
        <w:rPr>
          <w:rFonts w:ascii="Times New Roman" w:cs="Times New Roman" w:eastAsia="Times New Roman" w:hAnsi="Times New Roman"/>
          <w:sz w:val="18"/>
          <w:szCs w:val="18"/>
          <w:color w:val="auto"/>
        </w:rPr>
        <w:t>or substantially all of our assets or other major corporate</w:t>
      </w:r>
    </w:p>
    <w:p>
      <w:pPr>
        <w:ind w:left="4960"/>
        <w:spacing w:after="0" w:line="235" w:lineRule="auto"/>
        <w:rPr>
          <w:sz w:val="20"/>
          <w:szCs w:val="20"/>
          <w:color w:val="auto"/>
        </w:rPr>
      </w:pPr>
      <w:r>
        <w:rPr>
          <w:rFonts w:ascii="Times New Roman" w:cs="Times New Roman" w:eastAsia="Times New Roman" w:hAnsi="Times New Roman"/>
          <w:sz w:val="18"/>
          <w:szCs w:val="18"/>
          <w:color w:val="auto"/>
        </w:rPr>
        <w:t>transactions. See the sections titled “Principal Stockholders” and</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“Description of Capital Stock” for additional information.</w:t>
      </w:r>
    </w:p>
    <w:p>
      <w:pPr>
        <w:spacing w:after="0" w:line="286" w:lineRule="exact"/>
        <w:rPr>
          <w:sz w:val="20"/>
          <w:szCs w:val="20"/>
          <w:color w:val="auto"/>
        </w:rPr>
      </w:pPr>
    </w:p>
    <w:p>
      <w:pPr>
        <w:ind w:left="20"/>
        <w:spacing w:after="0"/>
        <w:tabs>
          <w:tab w:leader="none" w:pos="4940" w:val="left"/>
        </w:tabs>
        <w:rPr>
          <w:sz w:val="20"/>
          <w:szCs w:val="20"/>
          <w:color w:val="auto"/>
        </w:rPr>
      </w:pPr>
      <w:r>
        <w:rPr>
          <w:rFonts w:ascii="Times New Roman" w:cs="Times New Roman" w:eastAsia="Times New Roman" w:hAnsi="Times New Roman"/>
          <w:sz w:val="18"/>
          <w:szCs w:val="18"/>
          <w:color w:val="auto"/>
        </w:rPr>
        <w:t>Proposed Nasdaq Stock Market trading symbol</w:t>
      </w:r>
      <w:r>
        <w:rPr>
          <w:sz w:val="20"/>
          <w:szCs w:val="20"/>
          <w:color w:val="auto"/>
        </w:rPr>
        <w:tab/>
      </w:r>
      <w:r>
        <w:rPr>
          <w:rFonts w:ascii="Times New Roman" w:cs="Times New Roman" w:eastAsia="Times New Roman" w:hAnsi="Times New Roman"/>
          <w:sz w:val="18"/>
          <w:szCs w:val="18"/>
          <w:color w:val="auto"/>
        </w:rPr>
        <w:t>“SEER”</w:t>
      </w:r>
    </w:p>
    <w:p>
      <w:pPr>
        <w:spacing w:after="0" w:line="185" w:lineRule="exact"/>
        <w:rPr>
          <w:sz w:val="20"/>
          <w:szCs w:val="20"/>
          <w:color w:val="auto"/>
        </w:rPr>
      </w:pPr>
    </w:p>
    <w:p>
      <w:pPr>
        <w:jc w:val="both"/>
        <w:ind w:right="140" w:firstLine="324"/>
        <w:spacing w:after="0" w:line="312" w:lineRule="auto"/>
        <w:rPr>
          <w:sz w:val="20"/>
          <w:szCs w:val="20"/>
          <w:color w:val="auto"/>
        </w:rPr>
      </w:pPr>
      <w:r>
        <w:rPr>
          <w:rFonts w:ascii="Times New Roman" w:cs="Times New Roman" w:eastAsia="Times New Roman" w:hAnsi="Times New Roman"/>
          <w:sz w:val="17"/>
          <w:szCs w:val="17"/>
          <w:color w:val="auto"/>
        </w:rPr>
        <w:t>The number of shares of our common stock that will be outstanding after this offering is based on 7,054,694 shares of our Class A common stock and 20,000,000 shares of our Class B common stock outstanding as of September 30, 2020, and excludes the following:</w:t>
      </w:r>
    </w:p>
    <w:p>
      <w:pPr>
        <w:spacing w:after="0" w:line="86" w:lineRule="exact"/>
        <w:rPr>
          <w:sz w:val="20"/>
          <w:szCs w:val="20"/>
          <w:color w:val="auto"/>
        </w:rPr>
      </w:pPr>
    </w:p>
    <w:p>
      <w:pPr>
        <w:ind w:left="640" w:right="580" w:hanging="322"/>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16,164,706 shares of our Class A common stock issuable upon the exercise of options to purchase shares of our Class A common stock outstanding as of September 30, 2020, with a weighted-average exercise price of $1.17 per share;</w:t>
      </w:r>
    </w:p>
    <w:p>
      <w:pPr>
        <w:spacing w:after="0" w:line="107" w:lineRule="exact"/>
        <w:rPr>
          <w:rFonts w:ascii="Times New Roman" w:cs="Times New Roman" w:eastAsia="Times New Roman" w:hAnsi="Times New Roman"/>
          <w:sz w:val="18"/>
          <w:szCs w:val="18"/>
          <w:color w:val="auto"/>
        </w:rPr>
      </w:pPr>
    </w:p>
    <w:p>
      <w:pPr>
        <w:ind w:left="640" w:right="500" w:hanging="322"/>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717,319 shares of our Class A common stock issuable upon the vesting of restricted stock units (RSUs) outstanding as of September 30, 2020; and</w:t>
      </w:r>
    </w:p>
    <w:p>
      <w:pPr>
        <w:spacing w:after="0" w:line="107" w:lineRule="exact"/>
        <w:rPr>
          <w:rFonts w:ascii="Times New Roman" w:cs="Times New Roman" w:eastAsia="Times New Roman" w:hAnsi="Times New Roman"/>
          <w:sz w:val="18"/>
          <w:szCs w:val="18"/>
          <w:color w:val="auto"/>
        </w:rPr>
      </w:pPr>
    </w:p>
    <w:p>
      <w:pPr>
        <w:ind w:left="1080" w:hanging="76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1420" w:hanging="778"/>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to be reserved for future issuance under our 2020 Equity Incentive Plan (our</w:t>
      </w:r>
    </w:p>
    <w:p>
      <w:pPr>
        <w:spacing w:after="0" w:line="27" w:lineRule="exact"/>
        <w:rPr>
          <w:rFonts w:ascii="Times New Roman" w:cs="Times New Roman" w:eastAsia="Times New Roman" w:hAnsi="Times New Roman"/>
          <w:sz w:val="18"/>
          <w:szCs w:val="18"/>
          <w:color w:val="auto"/>
        </w:rPr>
      </w:pPr>
    </w:p>
    <w:p>
      <w:pPr>
        <w:ind w:left="96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31" w:lineRule="exact"/>
        <w:rPr>
          <w:rFonts w:ascii="Times New Roman" w:cs="Times New Roman" w:eastAsia="Times New Roman" w:hAnsi="Times New Roman"/>
          <w:sz w:val="18"/>
          <w:szCs w:val="18"/>
          <w:color w:val="auto"/>
        </w:rPr>
      </w:pPr>
    </w:p>
    <w:p>
      <w:pPr>
        <w:ind w:left="960" w:right="280" w:hanging="318"/>
        <w:spacing w:after="0" w:line="266" w:lineRule="auto"/>
        <w:tabs>
          <w:tab w:leader="none" w:pos="14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21" w:lineRule="exact"/>
        <w:rPr>
          <w:rFonts w:ascii="Times New Roman" w:cs="Times New Roman" w:eastAsia="Times New Roman" w:hAnsi="Times New Roman"/>
          <w:sz w:val="18"/>
          <w:szCs w:val="18"/>
          <w:color w:val="auto"/>
        </w:rPr>
      </w:pPr>
    </w:p>
    <w:p>
      <w:pPr>
        <w:ind w:left="960" w:right="20" w:hanging="318"/>
        <w:spacing w:after="0" w:line="258" w:lineRule="auto"/>
        <w:tabs>
          <w:tab w:leader="none" w:pos="95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2,551,205 shares of our Class A common stock reserved for future issuance under our 2017 Stock Incentive Plan (our 2017 Plan) (and no shares of our Class A common stock reserved for future issuance under our 2020 RSU Equity Incentive Plan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60"/>
          </w:cols>
          <w:pgMar w:left="1000" w:top="1440" w:right="10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361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71" w:lineRule="exact"/>
        <w:rPr>
          <w:sz w:val="20"/>
          <w:szCs w:val="20"/>
          <w:color w:val="auto"/>
        </w:rPr>
      </w:pPr>
    </w:p>
    <w:p>
      <w:pPr>
        <w:ind w:left="322" w:right="560" w:hanging="322"/>
        <w:spacing w:after="0" w:line="261" w:lineRule="auto"/>
        <w:tabs>
          <w:tab w:leader="none" w:pos="3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62,117,410 shares of convertible preferred stock that will automatically convert into shares of Class A common stock immediately prior to the completion of this offering pursuant to the terms of our amended and restated certificate of incorporation; the filing and effectiveness of our amended and restated certificate of incorporation in Delaware and the effectiveness of our amended and restated bylaws will each occur immediately prior to the completion of this offering;</w:t>
      </w:r>
    </w:p>
    <w:p>
      <w:pPr>
        <w:spacing w:after="0" w:line="125"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or settlement of outstanding RSUs subsequent to October 26, 2020; and</w:t>
      </w:r>
    </w:p>
    <w:p>
      <w:pPr>
        <w:sectPr>
          <w:pgSz w:w="11900" w:h="16838" w:orient="portrait"/>
          <w:cols w:equalWidth="0" w:num="1">
            <w:col w:w="9442"/>
          </w:cols>
          <w:pgMar w:left="1318" w:top="1440" w:right="1139" w:bottom="1440" w:gutter="0" w:footer="0" w:header="0"/>
        </w:sectPr>
      </w:pPr>
    </w:p>
    <w:p>
      <w:pPr>
        <w:spacing w:after="0" w:line="17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no exercise by the underwriters of their option to purchase up to an additional us.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A common stock from</w:t>
      </w:r>
    </w:p>
    <w:p>
      <w:pPr>
        <w:spacing w:after="0" w:line="479" w:lineRule="exact"/>
        <w:rPr>
          <w:sz w:val="20"/>
          <w:szCs w:val="20"/>
          <w:color w:val="auto"/>
        </w:rPr>
      </w:pPr>
    </w:p>
    <w:p>
      <w:pPr>
        <w:sectPr>
          <w:pgSz w:w="11900" w:h="16838" w:orient="portrait"/>
          <w:cols w:equalWidth="0" w:num="3">
            <w:col w:w="62" w:space="260"/>
            <w:col w:w="5580" w:space="500"/>
            <w:col w:w="3040"/>
          </w:cols>
          <w:pgMar w:left="1318" w:top="1440"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442"/>
          </w:cols>
          <w:pgMar w:left="1318" w:top="1440" w:right="11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93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9933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75" w:lineRule="exact"/>
        <w:rPr>
          <w:sz w:val="20"/>
          <w:szCs w:val="20"/>
          <w:color w:val="auto"/>
        </w:rPr>
      </w:pPr>
    </w:p>
    <w:p>
      <w:pPr>
        <w:ind w:left="20"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23" w:lineRule="exact"/>
        <w:rPr>
          <w:sz w:val="20"/>
          <w:szCs w:val="20"/>
          <w:color w:val="auto"/>
        </w:rPr>
      </w:pPr>
    </w:p>
    <w:tbl>
      <w:tblPr>
        <w:tblLayout w:type="fixed"/>
        <w:tblInd w:w="4080" w:type="dxa"/>
        <w:tblCellMar>
          <w:top w:w="0" w:type="dxa"/>
          <w:left w:w="0" w:type="dxa"/>
          <w:bottom w:w="0" w:type="dxa"/>
          <w:right w:w="0" w:type="dxa"/>
        </w:tblCellMar>
      </w:tblPr>
      <w:tr>
        <w:trPr>
          <w:trHeight w:val="190"/>
        </w:trPr>
        <w:tc>
          <w:tcPr>
            <w:tcW w:w="29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12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5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62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7"/>
        </w:trPr>
        <w:tc>
          <w:tcPr>
            <w:tcW w:w="1280" w:type="dxa"/>
            <w:vAlign w:val="bottom"/>
          </w:tcPr>
          <w:p>
            <w:pPr>
              <w:spacing w:after="0"/>
              <w:rPr>
                <w:sz w:val="14"/>
                <w:szCs w:val="14"/>
                <w:color w:val="auto"/>
              </w:rPr>
            </w:pPr>
          </w:p>
        </w:tc>
        <w:tc>
          <w:tcPr>
            <w:tcW w:w="3280" w:type="dxa"/>
            <w:vAlign w:val="bottom"/>
            <w:gridSpan w:val="3"/>
          </w:tcPr>
          <w:p>
            <w:pPr>
              <w:jc w:val="right"/>
              <w:ind w:right="368"/>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1260" w:type="dxa"/>
            <w:vAlign w:val="bottom"/>
          </w:tcPr>
          <w:p>
            <w:pPr>
              <w:spacing w:after="0"/>
              <w:rPr>
                <w:sz w:val="14"/>
                <w:szCs w:val="14"/>
                <w:color w:val="auto"/>
              </w:rPr>
            </w:pPr>
          </w:p>
        </w:tc>
      </w:tr>
    </w:tbl>
    <w:p>
      <w:pPr>
        <w:spacing w:after="0" w:line="38" w:lineRule="exact"/>
        <w:rPr>
          <w:sz w:val="20"/>
          <w:szCs w:val="20"/>
          <w:color w:val="auto"/>
        </w:rPr>
      </w:pPr>
    </w:p>
    <w:p>
      <w:pPr>
        <w:sectPr>
          <w:pgSz w:w="11900" w:h="16838" w:orient="portrait"/>
          <w:cols w:equalWidth="0" w:num="1">
            <w:col w:w="9900"/>
          </w:cols>
          <w:pgMar w:left="980" w:top="1440" w:right="1019" w:bottom="987" w:gutter="0" w:footer="0" w:header="0"/>
        </w:sectPr>
      </w:pPr>
    </w:p>
    <w:tbl>
      <w:tblPr>
        <w:tblLayout w:type="fixed"/>
        <w:tblInd w:w="20" w:type="dxa"/>
        <w:tblCellMar>
          <w:top w:w="0" w:type="dxa"/>
          <w:left w:w="0" w:type="dxa"/>
          <w:bottom w:w="0" w:type="dxa"/>
          <w:right w:w="0" w:type="dxa"/>
        </w:tblCellMar>
      </w:tblPr>
      <w:tr>
        <w:trPr>
          <w:trHeight w:val="26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40" w:type="dxa"/>
            <w:vAlign w:val="bottom"/>
          </w:tcPr>
          <w:p>
            <w:pPr>
              <w:ind w:left="220"/>
              <w:spacing w:after="0" w:line="252"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Net loss per share attributable to common stockholders,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23"/>
                <w:szCs w:val="23"/>
                <w:color w:val="auto"/>
                <w:vertAlign w:val="superscript"/>
              </w:rPr>
              <w:t>(2)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0"/>
        </w:trPr>
        <w:tc>
          <w:tcPr>
            <w:tcW w:w="40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and diluted</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 forma net loss per common share, basic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 forma weighted-average common shares used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compute basic and diluted net loss per common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26"/>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expenses include stock-based compensation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475"/>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3,776</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0" w:type="dxa"/>
            <w:vAlign w:val="bottom"/>
          </w:tcPr>
          <w:p>
            <w:pPr>
              <w:spacing w:after="0"/>
              <w:rPr>
                <w:sz w:val="1"/>
                <w:szCs w:val="1"/>
                <w:color w:val="auto"/>
              </w:rPr>
            </w:pPr>
          </w:p>
        </w:tc>
      </w:tr>
      <w:tr>
        <w:trPr>
          <w:trHeight w:val="234"/>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2,982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6,758</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7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(6,758)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0" w:type="dxa"/>
            <w:vAlign w:val="bottom"/>
          </w:tcPr>
          <w:p>
            <w:pPr>
              <w:spacing w:after="0"/>
              <w:rPr>
                <w:sz w:val="1"/>
                <w:szCs w:val="1"/>
                <w:color w:val="auto"/>
              </w:rPr>
            </w:pPr>
          </w:p>
        </w:tc>
      </w:tr>
      <w:tr>
        <w:trPr>
          <w:trHeight w:val="54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(6,307)</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8,502,926</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14,878,157</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13,987,682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20,778,317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45,913,238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75,804,154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2"/>
        </w:trPr>
        <w:tc>
          <w:tcPr>
            <w:tcW w:w="230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90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20" w:type="dxa"/>
            <w:vAlign w:val="bottom"/>
          </w:tcPr>
          <w:p>
            <w:pPr>
              <w:spacing w:after="0"/>
              <w:rPr>
                <w:sz w:val="2"/>
                <w:szCs w:val="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6"/>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4180" w:space="460"/>
            <w:col w:w="5260"/>
          </w:cols>
          <w:pgMar w:left="980" w:top="1440" w:right="1019" w:bottom="987"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7"/>
        </w:trPr>
        <w:tc>
          <w:tcPr>
            <w:tcW w:w="4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9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00"/>
          </w:cols>
          <w:pgMar w:left="980" w:top="1440" w:right="1019" w:bottom="987"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899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8990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00" w:hanging="326"/>
        <w:spacing w:after="0" w:line="258"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Pr>
          <w:p>
            <w:pPr>
              <w:spacing w:after="0"/>
              <w:rPr>
                <w:sz w:val="11"/>
                <w:szCs w:val="11"/>
                <w:color w:val="auto"/>
              </w:rPr>
            </w:pPr>
          </w:p>
        </w:tc>
        <w:tc>
          <w:tcPr>
            <w:tcW w:w="142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9"/>
                <w:szCs w:val="9"/>
                <w:b w:val="1"/>
                <w:bCs w:val="1"/>
                <w:color w:val="auto"/>
              </w:rPr>
              <w:t>(1)</w:t>
            </w:r>
          </w:p>
        </w:tc>
        <w:tc>
          <w:tcPr>
            <w:tcW w:w="126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9"/>
                <w:szCs w:val="9"/>
                <w:b w:val="1"/>
                <w:bCs w:val="1"/>
                <w:color w:val="auto"/>
              </w:rPr>
              <w:t>(2)(3)</w:t>
            </w: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center"/>
              <w:ind w:right="33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121,506</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117,451</w:t>
            </w:r>
          </w:p>
        </w:tc>
        <w:tc>
          <w:tcPr>
            <w:tcW w:w="300" w:type="dxa"/>
            <w:vAlign w:val="bottom"/>
          </w:tcPr>
          <w:p>
            <w:pPr>
              <w:spacing w:after="0"/>
              <w:rPr>
                <w:sz w:val="23"/>
                <w:szCs w:val="23"/>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117,451</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133,890</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300" w:type="dxa"/>
            <w:vAlign w:val="bottom"/>
          </w:tcPr>
          <w:p>
            <w:pPr>
              <w:spacing w:after="0"/>
              <w:rPr>
                <w:sz w:val="21"/>
                <w:szCs w:val="21"/>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8,354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(42,600)</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300" w:type="dxa"/>
            <w:vAlign w:val="bottom"/>
          </w:tcPr>
          <w:p>
            <w:pPr>
              <w:spacing w:after="0"/>
              <w:rPr>
                <w:sz w:val="21"/>
                <w:szCs w:val="21"/>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125,536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80" w:hanging="326"/>
        <w:spacing w:after="0" w:line="24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in the balance sheet data table above reflects (i) the automatic conversion of all shares of our convertible preferred stock into 62,117,410 shares of Class A common stock, as if such conversions had occurred on September 30, 2020, and (ii) 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w:t>
      </w:r>
    </w:p>
    <w:p>
      <w:pPr>
        <w:spacing w:after="0" w:line="1" w:lineRule="exact"/>
        <w:rPr>
          <w:rFonts w:ascii="Times New Roman" w:cs="Times New Roman" w:eastAsia="Times New Roman" w:hAnsi="Times New Roman"/>
          <w:sz w:val="14"/>
          <w:szCs w:val="14"/>
          <w:color w:val="auto"/>
        </w:rPr>
      </w:pPr>
    </w:p>
    <w:p>
      <w:pPr>
        <w:ind w:left="340" w:hanging="326"/>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in the balance sheet data table above gives effect to (i) the pro forma adjustments set forth above and (ii) the receipt of</w:t>
      </w:r>
    </w:p>
    <w:p>
      <w:pPr>
        <w:spacing w:after="0" w:line="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$million in net proceeds from the sale and issuance by us of shares of our Class A common stock in this offering, based upon the assumed initial public offering</w:t>
      </w:r>
    </w:p>
    <w:p>
      <w:pPr>
        <w:spacing w:after="0" w:line="1" w:lineRule="exact"/>
        <w:rPr>
          <w:rFonts w:ascii="Times New Roman" w:cs="Times New Roman" w:eastAsia="Times New Roman" w:hAnsi="Times New Roman"/>
          <w:sz w:val="14"/>
          <w:szCs w:val="14"/>
          <w:color w:val="auto"/>
        </w:rPr>
      </w:pPr>
    </w:p>
    <w:p>
      <w:pPr>
        <w:ind w:left="340" w:right="28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1" w:lineRule="exact"/>
        <w:rPr>
          <w:sz w:val="20"/>
          <w:szCs w:val="20"/>
          <w:color w:val="auto"/>
        </w:rPr>
      </w:pPr>
    </w:p>
    <w:p>
      <w:pPr>
        <w:ind w:left="20"/>
        <w:spacing w:after="0"/>
        <w:tabs>
          <w:tab w:leader="none" w:pos="320" w:val="left"/>
          <w:tab w:leader="none" w:pos="5260" w:val="left"/>
        </w:tabs>
        <w:rPr>
          <w:sz w:val="20"/>
          <w:szCs w:val="20"/>
          <w:color w:val="auto"/>
        </w:rPr>
      </w:pPr>
      <w:r>
        <w:rPr>
          <w:rFonts w:ascii="Times New Roman" w:cs="Times New Roman" w:eastAsia="Times New Roman" w:hAnsi="Times New Roman"/>
          <w:sz w:val="14"/>
          <w:szCs w:val="14"/>
          <w:color w:val="auto"/>
        </w:rPr>
        <w:t>(3)</w:t>
        <w:tab/>
        <w:t>Each $1.00 increase or decrease in the assumed initial public offering price of $</w:t>
      </w:r>
      <w:r>
        <w:rPr>
          <w:sz w:val="20"/>
          <w:szCs w:val="20"/>
          <w:color w:val="auto"/>
        </w:rPr>
        <w:tab/>
      </w:r>
      <w:r>
        <w:rPr>
          <w:rFonts w:ascii="Times New Roman" w:cs="Times New Roman" w:eastAsia="Times New Roman" w:hAnsi="Times New Roman"/>
          <w:sz w:val="14"/>
          <w:szCs w:val="14"/>
          <w:color w:val="auto"/>
        </w:rPr>
        <w:t>per share, which is the midpoint of the estimated offering price range set forth</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on the cover page of this prospectus, would increase or decrease, as applicable, the amount of our pro forma as adjusted cash, cash equivalents and investments,</w:t>
      </w:r>
    </w:p>
    <w:p>
      <w:pPr>
        <w:spacing w:after="0" w:line="1" w:lineRule="exact"/>
        <w:rPr>
          <w:sz w:val="20"/>
          <w:szCs w:val="20"/>
          <w:color w:val="auto"/>
        </w:rPr>
      </w:pPr>
    </w:p>
    <w:p>
      <w:pPr>
        <w:ind w:left="340"/>
        <w:spacing w:after="0"/>
        <w:tabs>
          <w:tab w:leader="none" w:pos="4300" w:val="left"/>
        </w:tabs>
        <w:rPr>
          <w:sz w:val="20"/>
          <w:szCs w:val="20"/>
          <w:color w:val="auto"/>
        </w:rPr>
      </w:pPr>
      <w:r>
        <w:rPr>
          <w:rFonts w:ascii="Times New Roman" w:cs="Times New Roman" w:eastAsia="Times New Roman" w:hAnsi="Times New Roman"/>
          <w:sz w:val="14"/>
          <w:szCs w:val="14"/>
          <w:color w:val="auto"/>
        </w:rPr>
        <w:t>working capital, total assets and total stockholders’ equity by $</w:t>
      </w:r>
      <w:r>
        <w:rPr>
          <w:sz w:val="20"/>
          <w:szCs w:val="20"/>
          <w:color w:val="auto"/>
        </w:rPr>
        <w:tab/>
      </w:r>
      <w:r>
        <w:rPr>
          <w:rFonts w:ascii="Times New Roman" w:cs="Times New Roman" w:eastAsia="Times New Roman" w:hAnsi="Times New Roman"/>
          <w:sz w:val="14"/>
          <w:szCs w:val="14"/>
          <w:color w:val="auto"/>
        </w:rPr>
        <w:t>, assuming that the number of shares of Class A common stock offered by us, as set forth on the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cover page of this prospectus, remains the same, after deducting estimated underwriting discounts and commissions payable by us. An increase or decrease of 1.0</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million shares in the number of shares of Class A common stock offered by us would increase or decrease, as applicable, the amount of our pro forma as adjusted</w:t>
      </w:r>
    </w:p>
    <w:p>
      <w:pPr>
        <w:spacing w:after="0" w:line="1" w:lineRule="exact"/>
        <w:rPr>
          <w:sz w:val="20"/>
          <w:szCs w:val="20"/>
          <w:color w:val="auto"/>
        </w:rPr>
      </w:pPr>
    </w:p>
    <w:p>
      <w:pPr>
        <w:ind w:left="340"/>
        <w:spacing w:after="0"/>
        <w:tabs>
          <w:tab w:leader="none" w:pos="6620" w:val="left"/>
        </w:tabs>
        <w:rPr>
          <w:sz w:val="20"/>
          <w:szCs w:val="20"/>
          <w:color w:val="auto"/>
        </w:rPr>
      </w:pPr>
      <w:r>
        <w:rPr>
          <w:rFonts w:ascii="Times New Roman" w:cs="Times New Roman" w:eastAsia="Times New Roman" w:hAnsi="Times New Roman"/>
          <w:sz w:val="14"/>
          <w:szCs w:val="14"/>
          <w:color w:val="auto"/>
        </w:rPr>
        <w:t>cash, cash equivalents and investments, working capital, total assets and total stockholders’ equity by $</w:t>
      </w:r>
      <w:r>
        <w:rPr>
          <w:sz w:val="20"/>
          <w:szCs w:val="20"/>
          <w:color w:val="auto"/>
        </w:rPr>
        <w:tab/>
      </w:r>
      <w:r>
        <w:rPr>
          <w:rFonts w:ascii="Times New Roman" w:cs="Times New Roman" w:eastAsia="Times New Roman" w:hAnsi="Times New Roman"/>
          <w:sz w:val="14"/>
          <w:szCs w:val="14"/>
          <w:color w:val="auto"/>
        </w:rPr>
        <w:t>assuming the assumed initial public offering price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remains the same, and after deducting estimated underwriting discounts and commissions payable by us.</w:t>
      </w:r>
    </w:p>
    <w:p>
      <w:pPr>
        <w:spacing w:after="0" w:line="1" w:lineRule="exact"/>
        <w:rPr>
          <w:sz w:val="20"/>
          <w:szCs w:val="20"/>
          <w:color w:val="auto"/>
        </w:rPr>
      </w:pPr>
    </w:p>
    <w:p>
      <w:pPr>
        <w:ind w:left="340" w:right="80" w:hanging="326"/>
        <w:spacing w:after="0" w:line="258"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00"/>
          </w:cols>
          <w:pgMar w:left="980" w:top="1440" w:right="1019" w:bottom="1440" w:gutter="0" w:footer="0" w:header="0"/>
        </w:sectPr>
      </w:pPr>
    </w:p>
    <w:bookmarkStart w:id="17" w:name="page18"/>
    <w:bookmarkEnd w:id="1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Terms Used in this Prospectus</w:t>
      </w:r>
    </w:p>
    <w:p>
      <w:pPr>
        <w:spacing w:after="0" w:line="17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Accuracy. </w:t>
      </w:r>
      <w:r>
        <w:rPr>
          <w:rFonts w:ascii="Times New Roman" w:cs="Times New Roman" w:eastAsia="Times New Roman" w:hAnsi="Times New Roman"/>
          <w:sz w:val="18"/>
          <w:szCs w:val="18"/>
          <w:color w:val="auto"/>
        </w:rPr>
        <w:t>In the context of proteomics studies, accuracy of measurement refers to how close the measured abundance of a protein is to the true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in a sample.</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Biased. </w:t>
      </w:r>
      <w:r>
        <w:rPr>
          <w:rFonts w:ascii="Times New Roman" w:cs="Times New Roman" w:eastAsia="Times New Roman" w:hAnsi="Times New Roman"/>
          <w:sz w:val="18"/>
          <w:szCs w:val="18"/>
          <w:color w:val="auto"/>
        </w:rPr>
        <w:t>Biased refers to molecular analyses that depend upon specific ligands that are targeted to specific proteins in the case of biased proteomics,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Breadth. </w:t>
      </w:r>
      <w:r>
        <w:rPr>
          <w:rFonts w:ascii="Times New Roman" w:cs="Times New Roman" w:eastAsia="Times New Roman" w:hAnsi="Times New Roman"/>
          <w:sz w:val="18"/>
          <w:szCs w:val="18"/>
          <w:color w:val="auto"/>
        </w:rPr>
        <w:t>In the context of proteomics studies, breadth of sampling refers to the number of proteins that are sampled in a proteomics study.</w:t>
      </w:r>
    </w:p>
    <w:p>
      <w:pPr>
        <w:spacing w:after="0" w:line="17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Centralized. </w:t>
      </w:r>
      <w:r>
        <w:rPr>
          <w:rFonts w:ascii="Times New Roman" w:cs="Times New Roman" w:eastAsia="Times New Roman" w:hAnsi="Times New Roman"/>
          <w:sz w:val="18"/>
          <w:szCs w:val="18"/>
          <w:color w:val="auto"/>
        </w:rPr>
        <w:t>Centralized refers to a centralized laboratory in an institution where services, often highly technical or requiring specific capabilities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17"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Consumables. </w:t>
      </w:r>
      <w:r>
        <w:rPr>
          <w:rFonts w:ascii="Times New Roman" w:cs="Times New Roman" w:eastAsia="Times New Roman" w:hAnsi="Times New Roman"/>
          <w:sz w:val="18"/>
          <w:szCs w:val="18"/>
          <w:color w:val="auto"/>
        </w:rPr>
        <w:t>Our consumables refer to the nanoparticle formulations, related reagents and disposable items in our assays that are provided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conduct proteomic assays using our Proteograph Product Suite.</w:t>
      </w:r>
    </w:p>
    <w:p>
      <w:pPr>
        <w:spacing w:after="0" w:line="10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Decentralized. </w:t>
      </w:r>
      <w:r>
        <w:rPr>
          <w:rFonts w:ascii="Times New Roman" w:cs="Times New Roman" w:eastAsia="Times New Roman" w:hAnsi="Times New Roman"/>
          <w:sz w:val="18"/>
          <w:szCs w:val="18"/>
          <w:color w:val="auto"/>
        </w:rPr>
        <w:t>Decentralized refers to a laboratory configuration in an institution where a specific technology, capabilities and equipment is dispersed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the institution. Decentralized contrasts with centralized where technology, capabilities and/or equipment is centralized in an institution, often in a core laboratory.</w:t>
      </w:r>
    </w:p>
    <w:p>
      <w:pPr>
        <w:spacing w:after="0" w:line="117"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Depth. </w:t>
      </w:r>
      <w:r>
        <w:rPr>
          <w:rFonts w:ascii="Times New Roman" w:cs="Times New Roman" w:eastAsia="Times New Roman" w:hAnsi="Times New Roman"/>
          <w:sz w:val="18"/>
          <w:szCs w:val="18"/>
          <w:color w:val="auto"/>
        </w:rPr>
        <w:t>In the context of proteomics studies, depth of coverage refers to the magnitude of the range of protein concentrations that are represented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Functional context/characterization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context/characterization, in the case of genes, refers to the details of how genes are hypothesized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interact biologically, either directly or through the mRNA or protein molecules that derive from the genes. The interactions of these molecules produce a specific biological function.</w:t>
      </w:r>
    </w:p>
    <w:p>
      <w:pPr>
        <w:spacing w:after="0" w:line="11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Genomics. </w:t>
      </w:r>
      <w:r>
        <w:rPr>
          <w:rFonts w:ascii="Times New Roman" w:cs="Times New Roman" w:eastAsia="Times New Roman" w:hAnsi="Times New Roman"/>
          <w:sz w:val="18"/>
          <w:szCs w:val="18"/>
          <w:color w:val="auto"/>
        </w:rPr>
        <w:t>Genomics refers to the study of all an organism’s genes and their interactions to influence the organism. Large-scale studies are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 how changes in an organism’s genes influence the organism.</w:t>
      </w:r>
    </w:p>
    <w:p>
      <w:pPr>
        <w:spacing w:after="0" w:line="10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Instrument. </w:t>
      </w:r>
      <w:r>
        <w:rPr>
          <w:rFonts w:ascii="Times New Roman" w:cs="Times New Roman" w:eastAsia="Times New Roman" w:hAnsi="Times New Roman"/>
          <w:sz w:val="18"/>
          <w:szCs w:val="18"/>
          <w:color w:val="auto"/>
        </w:rPr>
        <w:t>In the context of our Proteograph, our instrument refers to the automated, robotic, liquid handling workstation that is used along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consumables to conduct proteomic assays using our Proteograph Product Suite.</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Interactome. </w:t>
      </w:r>
      <w:r>
        <w:rPr>
          <w:rFonts w:ascii="Times New Roman" w:cs="Times New Roman" w:eastAsia="Times New Roman" w:hAnsi="Times New Roman"/>
          <w:sz w:val="18"/>
          <w:szCs w:val="18"/>
          <w:color w:val="auto"/>
        </w:rPr>
        <w:t>Interactome refers to the broad set of interaction networks among molecules, such PPIs. Other interactions may include those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 molecules and proteins.</w:t>
      </w:r>
    </w:p>
    <w:p>
      <w:pPr>
        <w:spacing w:after="0" w:line="101"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Interrogation. </w:t>
      </w:r>
      <w:r>
        <w:rPr>
          <w:rFonts w:ascii="Times New Roman" w:cs="Times New Roman" w:eastAsia="Times New Roman" w:hAnsi="Times New Roman"/>
          <w:sz w:val="18"/>
          <w:szCs w:val="18"/>
          <w:color w:val="auto"/>
        </w:rPr>
        <w:t>In the context of our Proteograph, interrogation refers to analyses of one of more samples to explore the proteomic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contained in those samples.</w:t>
      </w:r>
    </w:p>
    <w:p>
      <w:pPr>
        <w:spacing w:after="0" w:line="101"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Large-scale. </w:t>
      </w:r>
      <w:r>
        <w:rPr>
          <w:rFonts w:ascii="Times New Roman" w:cs="Times New Roman" w:eastAsia="Times New Roman" w:hAnsi="Times New Roman"/>
          <w:sz w:val="18"/>
          <w:szCs w:val="18"/>
          <w:color w:val="auto"/>
        </w:rPr>
        <w:t>In the context of proteomics studies, large-scale refers to studies of more than 100 samples, given that most proteomics studies,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those that cover a wide range of protein concentrations (i.e. deep studies) are in the range of less than 50 samples.</w:t>
      </w:r>
    </w:p>
    <w:p>
      <w:pPr>
        <w:spacing w:after="0" w:line="101"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-omics. </w:t>
      </w:r>
      <w:r>
        <w:rPr>
          <w:rFonts w:ascii="Times New Roman" w:cs="Times New Roman" w:eastAsia="Times New Roman" w:hAnsi="Times New Roman"/>
          <w:sz w:val="18"/>
          <w:szCs w:val="18"/>
          <w:color w:val="auto"/>
        </w:rPr>
        <w:t>This term refers to various different biological analyses approaches whereby researchers can analyze complex biological data, often in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1440" w:right="379" w:bottom="1440" w:gutter="0" w:footer="0" w:header="0"/>
        </w:sectPr>
      </w:pPr>
    </w:p>
    <w:bookmarkStart w:id="18" w:name="page19"/>
    <w:bookmarkEnd w:id="18"/>
    <w:p>
      <w:pPr>
        <w:spacing w:after="0" w:line="1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10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Mass spectrometry (MS)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 spectrometry refers to an analytical technique that can be used to accurately measure the mass-to-charge ratio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22"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Nanoparticle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Nanoparticle refers to a particle of matter that is generally tens to hundreds of nanometers in diameter. The small size of nanoparticles,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17"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Peptide. </w:t>
      </w:r>
      <w:r>
        <w:rPr>
          <w:rFonts w:ascii="Times New Roman" w:cs="Times New Roman" w:eastAsia="Times New Roman" w:hAnsi="Times New Roman"/>
          <w:sz w:val="18"/>
          <w:szCs w:val="18"/>
          <w:color w:val="auto"/>
        </w:rPr>
        <w:t>Peptide refers to a chemical entity that is between two and 50 amino acids. A polypeptide that contains more than 50 amino acids is labelled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protein.</w:t>
      </w:r>
    </w:p>
    <w:p>
      <w:pPr>
        <w:spacing w:after="0" w:line="10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Phenotype</w:t>
      </w:r>
      <w:r>
        <w:rPr>
          <w:rFonts w:ascii="Times New Roman" w:cs="Times New Roman" w:eastAsia="Times New Roman" w:hAnsi="Times New Roman"/>
          <w:sz w:val="18"/>
          <w:szCs w:val="18"/>
          <w:color w:val="auto"/>
        </w:rPr>
        <w:t>. Phenotype refers to the observable characteristics or traits of an organism, which can be manifested in form or structure by biochemical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physiological properties, or by behavior.</w:t>
      </w:r>
    </w:p>
    <w:p>
      <w:pPr>
        <w:spacing w:after="0" w:line="10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Polymorphism. </w:t>
      </w:r>
      <w:r>
        <w:rPr>
          <w:rFonts w:ascii="Times New Roman" w:cs="Times New Roman" w:eastAsia="Times New Roman" w:hAnsi="Times New Roman"/>
          <w:sz w:val="18"/>
          <w:szCs w:val="18"/>
          <w:color w:val="auto"/>
        </w:rPr>
        <w:t>Polymorphism refers to the occurrence of two or more forms or morphs of genes that are seen across a population. Polymorphisms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117"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Post-translational modifications (PTMs). </w:t>
      </w:r>
      <w:r>
        <w:rPr>
          <w:rFonts w:ascii="Times New Roman" w:cs="Times New Roman" w:eastAsia="Times New Roman" w:hAnsi="Times New Roman"/>
          <w:sz w:val="18"/>
          <w:szCs w:val="18"/>
          <w:color w:val="auto"/>
        </w:rPr>
        <w:t>Post-translational modifications refer to the covalent and generally enzymatic modifications of proteins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17"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Precision. </w:t>
      </w:r>
      <w:r>
        <w:rPr>
          <w:rFonts w:ascii="Times New Roman" w:cs="Times New Roman" w:eastAsia="Times New Roman" w:hAnsi="Times New Roman"/>
          <w:sz w:val="18"/>
          <w:szCs w:val="18"/>
          <w:color w:val="auto"/>
        </w:rPr>
        <w:t>In the context of proteomics studies, precision of measurement refers to how close several measurements of protein abundance 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sample are to each other.</w:t>
      </w:r>
    </w:p>
    <w:p>
      <w:pPr>
        <w:spacing w:after="0" w:line="101"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Protein. </w:t>
      </w:r>
      <w:r>
        <w:rPr>
          <w:rFonts w:ascii="Times New Roman" w:cs="Times New Roman" w:eastAsia="Times New Roman" w:hAnsi="Times New Roman"/>
          <w:sz w:val="18"/>
          <w:szCs w:val="18"/>
          <w:color w:val="auto"/>
        </w:rPr>
        <w:t>Protein refers to a polypeptide of more than 50 amino acids. Proteins conduct a vast array of functions within an organism,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22"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Protein-protein interactions (PPIs). </w:t>
      </w:r>
      <w:r>
        <w:rPr>
          <w:rFonts w:ascii="Times New Roman" w:cs="Times New Roman" w:eastAsia="Times New Roman" w:hAnsi="Times New Roman"/>
          <w:sz w:val="18"/>
          <w:szCs w:val="18"/>
          <w:color w:val="auto"/>
        </w:rPr>
        <w:t>Protein-protein interactions refer to specific physical interactions between two or more proteins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physicochemical forces, and which are the result of molecular mechanisms that mediate biological function.</w:t>
      </w:r>
    </w:p>
    <w:p>
      <w:pPr>
        <w:spacing w:after="0" w:line="101" w:lineRule="exact"/>
        <w:rPr>
          <w:sz w:val="20"/>
          <w:szCs w:val="20"/>
          <w:color w:val="auto"/>
        </w:rPr>
      </w:pPr>
    </w:p>
    <w:p>
      <w:pPr>
        <w:jc w:val="both"/>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Protein variant. </w:t>
      </w:r>
      <w:r>
        <w:rPr>
          <w:rFonts w:ascii="Times New Roman" w:cs="Times New Roman" w:eastAsia="Times New Roman" w:hAnsi="Times New Roman"/>
          <w:sz w:val="18"/>
          <w:szCs w:val="18"/>
          <w:color w:val="auto"/>
        </w:rPr>
        <w:t>Protein variant, also known as a protein isoform, refers to a set of similar proteins that originate from a single gene or gene family.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variations can be generated by different molecular mechanisms, including alternative splicing of RNAs, various expression patterns of RNAs and post-translational modifications.</w:t>
      </w:r>
    </w:p>
    <w:p>
      <w:pPr>
        <w:spacing w:after="0" w:line="117"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Proteograph Product Suite. </w:t>
      </w:r>
      <w:r>
        <w:rPr>
          <w:rFonts w:ascii="Times New Roman" w:cs="Times New Roman" w:eastAsia="Times New Roman" w:hAnsi="Times New Roman"/>
          <w:sz w:val="18"/>
          <w:szCs w:val="18"/>
          <w:color w:val="auto"/>
        </w:rPr>
        <w:t>Our Proteograph Product Suite refers to an integrated solution consisting of consumables, which includes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nanoparticles, our automatic instrument, and our data analysis software.</w:t>
      </w:r>
    </w:p>
    <w:p>
      <w:pPr>
        <w:spacing w:after="0" w:line="101"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Proteomic(s). </w:t>
      </w:r>
      <w:r>
        <w:rPr>
          <w:rFonts w:ascii="Times New Roman" w:cs="Times New Roman" w:eastAsia="Times New Roman" w:hAnsi="Times New Roman"/>
          <w:sz w:val="18"/>
          <w:szCs w:val="18"/>
          <w:color w:val="auto"/>
        </w:rPr>
        <w:t>Proteomic(s) refers to the large-scale study of proteins. The proteome is the entire set of proteins that is produced or modified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Software. </w:t>
      </w:r>
      <w:r>
        <w:rPr>
          <w:rFonts w:ascii="Times New Roman" w:cs="Times New Roman" w:eastAsia="Times New Roman" w:hAnsi="Times New Roman"/>
          <w:sz w:val="18"/>
          <w:szCs w:val="18"/>
          <w:color w:val="auto"/>
        </w:rPr>
        <w:t>Our software refers to our integrated software suite that helps our customers process and interrogate the data that is generated by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after a proteomic assay has been performed using our Proteograph Product Suite.</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Throughput. </w:t>
      </w:r>
      <w:r>
        <w:rPr>
          <w:rFonts w:ascii="Times New Roman" w:cs="Times New Roman" w:eastAsia="Times New Roman" w:hAnsi="Times New Roman"/>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Transcriptome. </w:t>
      </w:r>
      <w:r>
        <w:rPr>
          <w:rFonts w:ascii="Times New Roman" w:cs="Times New Roman" w:eastAsia="Times New Roman" w:hAnsi="Times New Roman"/>
          <w:sz w:val="18"/>
          <w:szCs w:val="18"/>
          <w:color w:val="auto"/>
        </w:rPr>
        <w:t>Transcriptome refers to the sum total of all messenger RNA (mRNA) molecules that are expressed from the genes of an organism,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result of a biological process called “transcription” whereby the information in a strand of DNA is copied into a new molecule of mRNA.</w:t>
      </w:r>
    </w:p>
    <w:p>
      <w:pPr>
        <w:spacing w:after="0" w:line="10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Unbiased. </w:t>
      </w:r>
      <w:r>
        <w:rPr>
          <w:rFonts w:ascii="Times New Roman" w:cs="Times New Roman" w:eastAsia="Times New Roman" w:hAnsi="Times New Roman"/>
          <w:sz w:val="18"/>
          <w:szCs w:val="18"/>
          <w:color w:val="auto"/>
        </w:rPr>
        <w:t>Unbiased refers to molecular analyses that does not depend upon specific ligands that are targeted to specific proteins, genes or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mutations. Unbiased contrasts with biased, which requires specific ligands to target molecules. Unbiased is also referred to as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1440" w:right="459" w:bottom="1440" w:gutter="0" w:footer="0" w:header="0"/>
        </w:sectPr>
      </w:pPr>
    </w:p>
    <w:bookmarkStart w:id="20" w:name="page21"/>
    <w:bookmarkEnd w:id="2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05" w:lineRule="exact"/>
        <w:rPr>
          <w:sz w:val="20"/>
          <w:szCs w:val="20"/>
          <w:color w:val="auto"/>
        </w:rPr>
      </w:pPr>
    </w:p>
    <w:p>
      <w:pPr>
        <w:ind w:left="660" w:right="4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prospects for our future viability and predict our future performance;</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commercially launched our Proteograph Product Suite, and we may not be able to successfully commercially launch our Proteograph as planned;</w:t>
      </w:r>
    </w:p>
    <w:p>
      <w:pPr>
        <w:spacing w:after="0" w:line="10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commercially launch our Proteograph Product Suite, our success depends on broad scientific and market acceptance of our Proteograph, which we may fail to achieve;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efforts to reduce its spread have adversely impacted, and are expected to continue to materially and adversely impact, our business and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prospects for our future viability and predict our future performance.</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Proteograph;</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our Proteograph consumables, automation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of the sales cycle for purchases of our Proteograph, including lead time needed to procure Proteograph automation instruments from our third-party contract manufacturer;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4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our Proteograph with key opinion leaders in a timely fashion;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or desire to modify aspects of our Proteograph prior to entering into the second or third phases of our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over the span of our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building out our sales, customer support and marketing organization as needed for each of the phases of our commercial launch plan; and</w:t>
      </w:r>
    </w:p>
    <w:p>
      <w:pPr>
        <w:spacing w:after="0" w:line="17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in each of the phases of our commercial launch plan.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extent our commercial launch plan is delayed or unsuccessful, our financial results will be adversely impacted.</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0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our Proteograph;</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Proteograph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workflows and solutions for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our Proteograph;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Proteograph Product Suite.</w:t>
      </w:r>
    </w:p>
    <w:p>
      <w:pPr>
        <w:spacing w:after="0" w:line="175"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1440" w:right="399" w:bottom="1440" w:gutter="0" w:footer="0" w:header="0"/>
        </w:sectPr>
      </w:pPr>
    </w:p>
    <w:bookmarkStart w:id="25" w:name="page26"/>
    <w:bookmarkEnd w:id="25"/>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launch of our Proteograph. To perform sales, marketing, distribution, and customer service and support successfully, we will face a number of risks, including:</w:t>
      </w:r>
    </w:p>
    <w:p>
      <w:pPr>
        <w:spacing w:after="0" w:line="108" w:lineRule="exact"/>
        <w:rPr>
          <w:sz w:val="20"/>
          <w:szCs w:val="20"/>
          <w:color w:val="auto"/>
        </w:rPr>
      </w:pPr>
    </w:p>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3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38" w:lineRule="exact"/>
        <w:rPr>
          <w:sz w:val="20"/>
          <w:szCs w:val="20"/>
          <w:color w:val="auto"/>
        </w:rPr>
      </w:pPr>
    </w:p>
    <w:p>
      <w:pPr>
        <w:ind w:left="660" w:right="1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0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anticipated growth, our business and prospects will be harmed.</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As of September 30,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Once public,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attract, train, retain and motivate qualified personnel could materially harm our business, results of operations, financial condition and prospects.</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4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22"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8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2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researchers’ opinions of the utility of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our Proteograph in published research;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2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our Proteograph or expansion of our Proteograph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0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2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2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 systems;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440" w:right="379" w:bottom="1440" w:gutter="0" w:footer="0" w:header="0"/>
        </w:sectPr>
      </w:pPr>
    </w:p>
    <w:bookmarkStart w:id="33" w:name="page34"/>
    <w:bookmarkEnd w:id="33"/>
    <w:p>
      <w:pPr>
        <w:spacing w:after="0" w:line="14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26" w:lineRule="exact"/>
        <w:rPr>
          <w:sz w:val="20"/>
          <w:szCs w:val="20"/>
          <w:color w:val="auto"/>
        </w:rPr>
      </w:pPr>
    </w:p>
    <w:p>
      <w:pPr>
        <w:ind w:left="660" w:right="4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insufficient accounting personnel to enable segregation of duties relating to the general ledger, disbursement, and certain accounting functions;</w:t>
      </w:r>
    </w:p>
    <w:p>
      <w:pPr>
        <w:spacing w:after="0" w:line="107" w:lineRule="exact"/>
        <w:rPr>
          <w:rFonts w:ascii="Times New Roman" w:cs="Times New Roman" w:eastAsia="Times New Roman" w:hAnsi="Times New Roman"/>
          <w:sz w:val="18"/>
          <w:szCs w:val="18"/>
          <w:color w:val="auto"/>
        </w:rPr>
      </w:pPr>
    </w:p>
    <w:p>
      <w:pPr>
        <w:jc w:val="both"/>
        <w:ind w:left="660" w:right="66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85"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0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34"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3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will be engaging in a process to document and evaluate our internal control over financial reporting, which is both costly and challenging.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3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3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660" w:right="7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Proteograph Product Suite, once commercialized;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Proteograph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our Proteograph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1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reach agreement with PrognomIQ on future commercial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not become a meaningful customer of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stake in PrognomIQ may add complexities to our business from a finance, tax and accounting perspective.</w:t>
      </w:r>
    </w:p>
    <w:p>
      <w:pPr>
        <w:spacing w:after="0" w:line="10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applications and the enforcement or defense of our issued patents, all of which could have a material adverse effect on our business, financial condition, results of operations and prospects.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 intellectual property rights on a worldwide basis. As a result, it is possible that we will not be able to enforce our rights against third parties that misappropriate our proprietary technology in those countries.</w:t>
      </w:r>
    </w:p>
    <w:p>
      <w:pPr>
        <w:spacing w:after="0" w:line="108"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Proteograph Product Suite for an adequate amount of time.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use the same licensed intellectual property to compete with us. Any of the foregoing could have a material adverse effect on our business, financial condition, results of operation or prospects.</w:t>
      </w:r>
    </w:p>
    <w:p>
      <w:pPr>
        <w:spacing w:after="0" w:line="10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3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manufacture or commercialize our products without infringing third-party patent rights. Any of the foregoing could harm our business, financial condition, results of operations and prospects.</w:t>
      </w:r>
    </w:p>
    <w:p>
      <w:pPr>
        <w:spacing w:after="0" w:line="104"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that include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3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3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0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660" w:right="5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ind w:right="720" w:firstLine="324"/>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this offering, there has been no public market for shares of our Class A common stock and an active trading market for our Class A common stock may never develop or be sustained.</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Class A common stock. We intend to apply to list our Class A common stock on the Nasdaq Stock Market under the symbol “SEER.” We cannot assure you that an active trading market for our Class A common stock will develop on that exchange or elsewhere. If an active trading market does not develop, or develops but is not maintained, you may have difficulty selling any of our Class A common stock that you purchase due to the limited public float. Accordingly, we cannot assure you of your ability to sell your shares of Class A common stock when desired or the prices that you may obtain for your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which could result in substantial losses for investors purchasing shares in this offering.</w:t>
      </w:r>
    </w:p>
    <w:p>
      <w:pPr>
        <w:spacing w:after="0" w:line="175"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for our Class A common stock will be determined through negotiations with the underwriters. This initial public offering price may differ from the market price of our Class A common stock after the offering. As a result, you may not be able to sell your Class A common stock at or above the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Some of the factors that may cause the market price of our Class A common stock to fluctuate include, but are not limited to:</w:t>
      </w:r>
    </w:p>
    <w:p>
      <w:pPr>
        <w:spacing w:after="0" w:line="171" w:lineRule="exact"/>
        <w:rPr>
          <w:sz w:val="20"/>
          <w:szCs w:val="20"/>
          <w:color w:val="auto"/>
        </w:rPr>
      </w:pPr>
    </w:p>
    <w:p>
      <w:pPr>
        <w:ind w:left="660" w:right="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lock-up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holders of our Class B common stock will hold in the aggregate % of the voting power of our capital stock.</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 result, the holders of our Class B common stock collectively will continue to control a majority of the combined voting power of our common stock and therefore be able to control all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upon the earlier of the first day following the fifth anniversary of the closing of this offering and December 31,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3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Class A common stock could decrease. Even if we do obtain analyst coverage,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following this offering could cause the price of our Class A common stock to decline.</w:t>
      </w:r>
    </w:p>
    <w:p>
      <w:pPr>
        <w:spacing w:after="0" w:line="10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following the expiration of the market standoff and lock-up agreements or the early release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or the perception in the market that the holders of a large number of shares of Class A common stock intend to sell shares and could reduce the market price of our Class A common stock. After giving effect to (i) the filing and effectiveness of our amended and restated certificate of incorporation, (ii) the automatic conversion of all shares of our convertible preferred stock outstanding as of September 30, 2020 into 62,117,410 shares of Class A common</w:t>
      </w:r>
    </w:p>
    <w:p>
      <w:pPr>
        <w:spacing w:after="0" w:line="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stock and (iii) the issuance and sale of shares of Class A common stock by us in this offering, we will have shares of Class A common stock outstanding and 20,000,000 shares of Class B common stock outstanding. Of these shares, the shares of Class A common stock we are selling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offering may be resold in the public market immediately, unless purchased by our affiliates. The remaining 69,192,354 shares of Class A common</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stock, or % of our outstanding shares of Class A common stock after this offering and all shares of our Class B common stock (and any share of Class A common stock into which they are converted) are currently prohibited or otherwise restricted from being sold in the public market under securities laws, market standoff agreements entered into by our stockholders with us, or lock-up agreements entered into by our stockholders with the underwriters; however, subject to applicable securities law restrictions and excluding shares of Class A common stock issued pursuant to the early exercise of unvested stock options that will remain unvested, the shares of our Class A common stock outstanding after this offering will be able to be sold in the public market</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beginning on ,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3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Moreover, after this offering, holders of an aggregate of 63,224,477 shares of our Class A common stock will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We also plan to register all shares of Class A common stock that we may issue under our equity compensation and employee stock purchase plans. Once we register these shares, they can be freely sold in the public market upon issuance and, if applicable, vesting, subject to volume limitations applicable to affiliates and the lock-up agreements described in the section titled “Underwriting” in this prospectus.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in this prospectus.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in this offering may never obtain a return on their investment.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appreciation, which may never occur, as the only way to realize any return on their investment. As a result, investors seeking cash dividends should not purchase our Class A common stock.</w:t>
      </w:r>
    </w:p>
    <w:p>
      <w:pPr>
        <w:spacing w:after="0" w:line="10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3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that will be in effect prior to the closing of this offering might discourage, delay or prevent a change in control of our company or changes in our management and, therefore, depress the trading price of our Class A common stock.</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1440" w:right="399" w:bottom="1440" w:gutter="0" w:footer="0" w:header="0"/>
        </w:sectPr>
      </w:pPr>
    </w:p>
    <w:bookmarkStart w:id="56" w:name="page57"/>
    <w:bookmarkEnd w:id="5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and restated bylaws contain provisions that may make the acquisition of our company more difficult, including the following:</w:t>
      </w:r>
    </w:p>
    <w:p>
      <w:pPr>
        <w:spacing w:after="0" w:line="171" w:lineRule="exact"/>
        <w:rPr>
          <w:sz w:val="20"/>
          <w:szCs w:val="20"/>
          <w:color w:val="auto"/>
        </w:rPr>
      </w:pPr>
    </w:p>
    <w:p>
      <w:pPr>
        <w:ind w:left="660" w:right="2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will be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85" w:lineRule="exact"/>
        <w:rPr>
          <w:rFonts w:ascii="Times New Roman" w:cs="Times New Roman" w:eastAsia="Times New Roman" w:hAnsi="Times New Roman"/>
          <w:sz w:val="17"/>
          <w:szCs w:val="17"/>
          <w:color w:val="auto"/>
        </w:rPr>
      </w:pPr>
    </w:p>
    <w:p>
      <w:pPr>
        <w:ind w:left="660" w:right="2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will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will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only be able to take action at a meeting of stockholders and will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determine whether the use of our NOLs is impaired. We may have previously undergone an “ownership change.” In addition, this offering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3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and management resources as a result of operating as a public company.</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Class A common stock in this offering, you will incur immediate and substantial dilution as a result of this offering.</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you purchase our Class A common stock in this offering, you will incur immediate and substantial dilution of $ per share, representing the difference between the assumed initial public offering price of $ per share, which is the midpoint of the price range set forth on the cover page of this</w:t>
      </w:r>
    </w:p>
    <w:p>
      <w:pPr>
        <w:spacing w:after="0" w:line="265" w:lineRule="auto"/>
        <w:rPr>
          <w:sz w:val="20"/>
          <w:szCs w:val="20"/>
          <w:color w:val="auto"/>
        </w:rPr>
      </w:pPr>
      <w:r>
        <w:rPr>
          <w:rFonts w:ascii="Times New Roman" w:cs="Times New Roman" w:eastAsia="Times New Roman" w:hAnsi="Times New Roman"/>
          <w:sz w:val="17"/>
          <w:szCs w:val="17"/>
          <w:color w:val="auto"/>
        </w:rPr>
        <w:t>prospectus, after deducting the estimated underwriting discounts and commissions and estimated offering expenses payable by us, and our pro forma net tangible book value per share after giving effect to (i) the filing and effectiveness of our amended and restated certificate of incorporation, (ii) the automatic conversion of all shares of our convertible preferred stock outstanding as of September 30, 2020 into 62,117,410 shares of Class A common stock and (iii)</w:t>
      </w:r>
    </w:p>
    <w:p>
      <w:pPr>
        <w:ind w:right="80"/>
        <w:spacing w:after="0" w:line="253" w:lineRule="auto"/>
        <w:rPr>
          <w:sz w:val="20"/>
          <w:szCs w:val="20"/>
          <w:color w:val="auto"/>
        </w:rPr>
      </w:pPr>
      <w:r>
        <w:rPr>
          <w:rFonts w:ascii="Times New Roman" w:cs="Times New Roman" w:eastAsia="Times New Roman" w:hAnsi="Times New Roman"/>
          <w:sz w:val="18"/>
          <w:szCs w:val="18"/>
          <w:color w:val="auto"/>
        </w:rPr>
        <w:t>the issuance and sale of shares of Class A common stock by us in this offering. As of September 30, 2020, there were 16,164,706 shares of our Class A common stock subject to outstanding stock options with a weighted-average exercise price of $1.17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jc w:val="both"/>
        <w:ind w:right="9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8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22"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7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3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1440" w:right="439" w:bottom="1440" w:gutter="0" w:footer="0" w:header="0"/>
        </w:sectPr>
      </w:pPr>
    </w:p>
    <w:bookmarkStart w:id="62" w:name="page63"/>
    <w:bookmarkEnd w:id="6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22" w:lineRule="exact"/>
        <w:rPr>
          <w:sz w:val="20"/>
          <w:szCs w:val="20"/>
          <w:color w:val="auto"/>
        </w:rPr>
      </w:pPr>
    </w:p>
    <w:p>
      <w:pPr>
        <w:ind w:left="660" w:right="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our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this or future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use of proceeds from this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PrognomIQ, Inc.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3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sources of industry, market and other data contained in this prospectus are listed below:</w:t>
      </w:r>
    </w:p>
    <w:p>
      <w:pPr>
        <w:spacing w:after="0" w:line="1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Allied Market Research. “Global Proteomics Market - Opportunity Analysis and Industry Forecast, 2018-2025” (March 2019).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Technavio. “Genomics Market by Solution and Geography - Forecast and Analysis 2020-2024”.</w:t>
      </w:r>
    </w:p>
    <w:p>
      <w:pPr>
        <w:spacing w:after="0" w:line="171" w:lineRule="exact"/>
        <w:rPr>
          <w:rFonts w:ascii="Times New Roman" w:cs="Times New Roman" w:eastAsia="Times New Roman" w:hAnsi="Times New Roman"/>
          <w:sz w:val="18"/>
          <w:szCs w:val="18"/>
          <w:color w:val="auto"/>
        </w:rPr>
      </w:pPr>
    </w:p>
    <w:p>
      <w:pPr>
        <w:jc w:val="both"/>
        <w:ind w:left="660" w:right="60" w:hanging="328"/>
        <w:spacing w:after="0" w:line="312"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85"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ClinVar. ClinVar is a freely accessible, public archive of reports of the relationships among human variations and phenotypes, with supporting evidence.</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published studies referenced throughout this prospectus, the citations for those studies are listed below:</w:t>
      </w:r>
    </w:p>
    <w:p>
      <w:pPr>
        <w:spacing w:after="0" w:line="16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Blume, J. E. et al. Rapid, deep and precise profiling of the plasma proteome with multi-nanoparticle protein corona.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11, (2020).</w:t>
      </w:r>
    </w:p>
    <w:p>
      <w:pPr>
        <w:spacing w:after="0" w:line="17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Keshishian, H. et al. Quantitative, multiplexed workflow for deep analysis of human blood plasma and biomarker discovery by mass spectrometry. </w:t>
      </w:r>
      <w:r>
        <w:rPr>
          <w:rFonts w:ascii="Times New Roman" w:cs="Times New Roman" w:eastAsia="Times New Roman" w:hAnsi="Times New Roman"/>
          <w:sz w:val="18"/>
          <w:szCs w:val="18"/>
          <w:i w:val="1"/>
          <w:iCs w:val="1"/>
          <w:color w:val="auto"/>
        </w:rPr>
        <w:t xml:space="preserve">Nat. Protoc. </w:t>
      </w:r>
      <w:r>
        <w:rPr>
          <w:rFonts w:ascii="Times New Roman" w:cs="Times New Roman" w:eastAsia="Times New Roman" w:hAnsi="Times New Roman"/>
          <w:sz w:val="18"/>
          <w:szCs w:val="18"/>
          <w:color w:val="auto"/>
        </w:rPr>
        <w:t>12, 1683–1701 (2017).</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Schwenk, J. M. et al. The Human Plasma Proteome Draft of 2017: Building on the Human Plasma PeptideAtlas from Mass Spectrometry and Complementary Assays. </w:t>
      </w:r>
      <w:r>
        <w:rPr>
          <w:rFonts w:ascii="Times New Roman" w:cs="Times New Roman" w:eastAsia="Times New Roman" w:hAnsi="Times New Roman"/>
          <w:sz w:val="18"/>
          <w:szCs w:val="18"/>
          <w:i w:val="1"/>
          <w:iCs w:val="1"/>
          <w:color w:val="auto"/>
        </w:rPr>
        <w:t>J. Proteome Res.</w:t>
      </w:r>
      <w:r>
        <w:rPr>
          <w:rFonts w:ascii="Times New Roman" w:cs="Times New Roman" w:eastAsia="Times New Roman" w:hAnsi="Times New Roman"/>
          <w:sz w:val="18"/>
          <w:szCs w:val="18"/>
          <w:color w:val="auto"/>
        </w:rPr>
        <w:t xml:space="preserve"> 16, 4299–4310 (2017).</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Liao, W. Y. et al. Heparin co-factor II enhances cell motility and promotes metastasis in non-small cell lung cancer. </w:t>
      </w:r>
      <w:r>
        <w:rPr>
          <w:rFonts w:ascii="Times New Roman" w:cs="Times New Roman" w:eastAsia="Times New Roman" w:hAnsi="Times New Roman"/>
          <w:sz w:val="18"/>
          <w:szCs w:val="18"/>
          <w:i w:val="1"/>
          <w:iCs w:val="1"/>
          <w:color w:val="auto"/>
        </w:rPr>
        <w:t>J. Pathol.</w:t>
      </w:r>
      <w:r>
        <w:rPr>
          <w:rFonts w:ascii="Times New Roman" w:cs="Times New Roman" w:eastAsia="Times New Roman" w:hAnsi="Times New Roman"/>
          <w:sz w:val="18"/>
          <w:szCs w:val="18"/>
          <w:color w:val="auto"/>
        </w:rPr>
        <w:t xml:space="preserve"> 235, 50–64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0" w:lineRule="exact"/>
        <w:rPr>
          <w:sz w:val="20"/>
          <w:szCs w:val="20"/>
          <w:color w:val="auto"/>
        </w:rPr>
      </w:pPr>
    </w:p>
    <w:p>
      <w:pPr>
        <w:ind w:left="328" w:hanging="328"/>
        <w:spacing w:after="0" w:line="282" w:lineRule="auto"/>
        <w:tabs>
          <w:tab w:leader="none" w:pos="3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Szklarczyk, D. et al. STRING v11: Protein-protein association networks with increased coverage, supporting functional discovery in genome-wide experimental datasets. </w:t>
      </w:r>
      <w:r>
        <w:rPr>
          <w:rFonts w:ascii="Times New Roman" w:cs="Times New Roman" w:eastAsia="Times New Roman" w:hAnsi="Times New Roman"/>
          <w:sz w:val="18"/>
          <w:szCs w:val="18"/>
          <w:i w:val="1"/>
          <w:iCs w:val="1"/>
          <w:color w:val="auto"/>
        </w:rPr>
        <w:t>Nucleic Acids Res.</w:t>
      </w:r>
      <w:r>
        <w:rPr>
          <w:rFonts w:ascii="Times New Roman" w:cs="Times New Roman" w:eastAsia="Times New Roman" w:hAnsi="Times New Roman"/>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88"/>
          </w:cols>
          <w:pgMar w:left="652" w:top="1440" w:right="359" w:bottom="1440" w:gutter="0" w:footer="0" w:header="0"/>
        </w:sectPr>
      </w:pPr>
    </w:p>
    <w:bookmarkStart w:id="66" w:name="page67"/>
    <w:bookmarkEnd w:id="66"/>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our Class A common stock in this offering will be approximately</w:t>
      </w:r>
    </w:p>
    <w:p>
      <w:pPr>
        <w:spacing w:after="0" w:line="27" w:lineRule="exact"/>
        <w:rPr>
          <w:sz w:val="20"/>
          <w:szCs w:val="20"/>
          <w:color w:val="auto"/>
        </w:rPr>
      </w:pPr>
    </w:p>
    <w:p>
      <w:pPr>
        <w:spacing w:after="0"/>
        <w:tabs>
          <w:tab w:leader="none" w:pos="620" w:val="left"/>
          <w:tab w:leader="none" w:pos="3140" w:val="left"/>
          <w:tab w:leader="none" w:pos="8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million if the underwriters exercise their option to purchase up to</w:t>
      </w:r>
      <w:r>
        <w:rPr>
          <w:sz w:val="20"/>
          <w:szCs w:val="20"/>
          <w:color w:val="auto"/>
        </w:rPr>
        <w:tab/>
      </w:r>
      <w:r>
        <w:rPr>
          <w:rFonts w:ascii="Times New Roman" w:cs="Times New Roman" w:eastAsia="Times New Roman" w:hAnsi="Times New Roman"/>
          <w:sz w:val="17"/>
          <w:szCs w:val="17"/>
          <w:color w:val="auto"/>
        </w:rPr>
        <w:t>additional shares our Class A</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common stock in full, based on an initial public offering price of $ per share, which is the midpoint of the price range set forth on the cover page of this prospectus, and after deducting the underwriting discounts and commissions and estimated offering expenses payable by us.</w:t>
      </w:r>
    </w:p>
    <w:p>
      <w:pPr>
        <w:spacing w:after="0" w:line="1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which is the midpoint of the price range set forth on the cover of this prospectus, would increase or decrease, as applicable, the aggregate net proceeds to us from this offering by approximately</w:t>
      </w:r>
    </w:p>
    <w:p>
      <w:pPr>
        <w:jc w:val="both"/>
        <w:ind w:firstLine="8"/>
        <w:spacing w:after="0" w:line="265" w:lineRule="auto"/>
        <w:tabs>
          <w:tab w:leader="none" w:pos="63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assuming the number of shares of Class A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 Class A common stock offered by us would increase or decrease, as applicable, the net proceeds to us from this</w:t>
      </w:r>
    </w:p>
    <w:p>
      <w:pPr>
        <w:ind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offering by approximately $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change the time at which we will need to seek additional capital.</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are to obtain additional capital to support our operations, establish a public market for our Class A common stock and facilitate our future access to the public capital markets. We currently intend to use the net proceeds from this offering, together with our existing cash as follows:</w:t>
      </w:r>
    </w:p>
    <w:p>
      <w:pPr>
        <w:spacing w:after="0" w:line="12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$million to commercialize our Proteograph Product Suite and for ongoing sales and marketing activities; and</w:t>
      </w:r>
    </w:p>
    <w:p>
      <w:pPr>
        <w:spacing w:after="0" w:line="27"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other development work associated with advancing our Proteograph Product Suite, research and development, and general corporate purposes.</w:t>
      </w:r>
    </w:p>
    <w:p>
      <w:pPr>
        <w:spacing w:after="0" w:line="1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2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w:t>
      </w:r>
    </w:p>
    <w:p>
      <w:pPr>
        <w:spacing w:after="0" w:line="12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Pending their uses, we plan to invest the net proceeds of this offering in short-term, interest-bearing, investment-grade instruments, including certificates of deposit or direct or guaranteed obligations of the U.S. government.</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proceeds for this offering, together with our existing cash, will be sufficient to fund our operations through the broad commercial availability phase of our commercial launch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investments and our capitalization as of September 30, 2020:</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w:t>
      </w:r>
    </w:p>
    <w:p>
      <w:pPr>
        <w:spacing w:after="0" w:line="17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of our outstanding shares of convertible preferred stock into an aggregate of 62,117,410 shares of Class A common stock immediately prior to the completion of this offering as if such conversion had occurred on September 30, 2020,</w:t>
      </w:r>
    </w:p>
    <w:p>
      <w:pPr>
        <w:spacing w:after="0" w:line="107"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 and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immediately prior to the completion of this offering;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set forth above; and</w:t>
      </w:r>
    </w:p>
    <w:p>
      <w:pPr>
        <w:sectPr>
          <w:pgSz w:w="11900" w:h="16838" w:orient="portrait"/>
          <w:cols w:equalWidth="0" w:num="1">
            <w:col w:w="11120"/>
          </w:cols>
          <w:pgMar w:left="320" w:top="1440" w:right="45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3"/>
        <w:spacing w:after="0" w:line="261" w:lineRule="auto"/>
        <w:rPr>
          <w:sz w:val="20"/>
          <w:szCs w:val="20"/>
          <w:color w:val="auto"/>
        </w:rPr>
      </w:pPr>
      <w:r>
        <w:rPr>
          <w:rFonts w:ascii="Times New Roman" w:cs="Times New Roman" w:eastAsia="Times New Roman" w:hAnsi="Times New Roman"/>
          <w:sz w:val="18"/>
          <w:szCs w:val="18"/>
          <w:color w:val="auto"/>
        </w:rPr>
        <w:t>the sale and issuance of</w:t>
      </w:r>
      <w:r>
        <w:rPr>
          <w:sz w:val="20"/>
          <w:szCs w:val="20"/>
          <w:color w:val="auto"/>
        </w:rPr>
        <w:t xml:space="preserve"> </w:t>
      </w:r>
      <w:r>
        <w:rPr>
          <w:rFonts w:ascii="Times New Roman" w:cs="Times New Roman" w:eastAsia="Times New Roman" w:hAnsi="Times New Roman"/>
          <w:sz w:val="18"/>
          <w:szCs w:val="18"/>
          <w:color w:val="auto"/>
        </w:rPr>
        <w:t>shares of our Class A common stock by us in this offering, based upon the assumed initial public offering price of $ per share, which is the midpoint of the price range set forth on the cover page of this prospectus, after deducting underwriting</w:t>
      </w:r>
    </w:p>
    <w:p>
      <w:pPr>
        <w:spacing w:after="0" w:line="1" w:lineRule="exact"/>
        <w:rPr>
          <w:sz w:val="20"/>
          <w:szCs w:val="20"/>
          <w:color w:val="auto"/>
        </w:rPr>
      </w:pPr>
    </w:p>
    <w:p>
      <w:pPr>
        <w:sectPr>
          <w:pgSz w:w="11900" w:h="16838" w:orient="portrait"/>
          <w:cols w:equalWidth="0" w:num="2">
            <w:col w:w="720" w:space="260"/>
            <w:col w:w="10140"/>
          </w:cols>
          <w:pgMar w:left="320" w:top="1440"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w:t>
      </w:r>
    </w:p>
    <w:p>
      <w:pPr>
        <w:spacing w:after="0" w:line="15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1440" w:right="459" w:bottom="1440" w:gutter="0" w:footer="0" w:header="0"/>
          <w:type w:val="continuous"/>
        </w:sectPr>
      </w:pPr>
    </w:p>
    <w:bookmarkStart w:id="69" w:name="page70"/>
    <w:bookmarkEnd w:id="69"/>
    <w:p>
      <w:pPr>
        <w:spacing w:after="0" w:line="14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 2020</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560" w:type="dxa"/>
            <w:vAlign w:val="bottom"/>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357"/>
              <w:spacing w:after="0" w:line="189" w:lineRule="exact"/>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gridSpan w:val="6"/>
          </w:tcPr>
          <w:p>
            <w:pPr>
              <w:jc w:val="center"/>
              <w:ind w:right="277"/>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0" w:type="dxa"/>
            <w:vAlign w:val="bottom"/>
          </w:tcPr>
          <w:p>
            <w:pPr>
              <w:spacing w:after="0"/>
              <w:rPr>
                <w:sz w:val="1"/>
                <w:szCs w:val="1"/>
                <w:color w:val="auto"/>
              </w:rPr>
            </w:pPr>
          </w:p>
        </w:tc>
      </w:tr>
      <w:tr>
        <w:trPr>
          <w:trHeight w:val="23"/>
        </w:trPr>
        <w:tc>
          <w:tcPr>
            <w:tcW w:w="29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70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par value $0.00001 per share: 62,117,414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62,117,410 issued and outstanding, actual; no shares authorized,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pro forma and pro forma as adjusted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Preferred stock, par value $0.00001 per share: no shares authorized, issued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actual;</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 authorized and no shares issued and outstanding,</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and pro forma as adjusted</w:t>
            </w:r>
          </w:p>
        </w:tc>
        <w:tc>
          <w:tcPr>
            <w:tcW w:w="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$0.00001 per share: 120,000,000 shares authorized,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7,054,694 issued and outstanding, actual;</w:t>
            </w:r>
          </w:p>
        </w:tc>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authorized, 69,172,104</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pro forma; and</w:t>
            </w:r>
          </w:p>
        </w:tc>
        <w:tc>
          <w:tcPr>
            <w:tcW w:w="2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shares authorized,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tcBorders>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shares issued and outstanding, pro forma as adjusted</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B common stock, par value $0.00001 per share: 20,000,000 shares authorized,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authorized, 20,000,000 shares issued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and outstanding, pro forma and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7"/>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-95885</wp:posOffset>
            </wp:positionV>
            <wp:extent cx="3103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initial public offering price of $    per share, which is the midpoint of the estimated offering price range set forth on the cover page of this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prospectus, would increase or decrease, as applicable, the amount of our pro forma as adjusted cash and cash equivalents, additional paid-in capital, total stockholders’ equity and total</w:t>
      </w:r>
    </w:p>
    <w:p>
      <w:pPr>
        <w:spacing w:after="0" w:line="1" w:lineRule="exact"/>
        <w:rPr>
          <w:sz w:val="20"/>
          <w:szCs w:val="20"/>
          <w:color w:val="auto"/>
        </w:rPr>
      </w:pPr>
    </w:p>
    <w:p>
      <w:pPr>
        <w:ind w:left="340" w:right="80"/>
        <w:spacing w:after="0" w:line="247" w:lineRule="auto"/>
        <w:rPr>
          <w:sz w:val="20"/>
          <w:szCs w:val="20"/>
          <w:color w:val="auto"/>
        </w:rPr>
      </w:pPr>
      <w:r>
        <w:rPr>
          <w:rFonts w:ascii="Times New Roman" w:cs="Times New Roman" w:eastAsia="Times New Roman" w:hAnsi="Times New Roman"/>
          <w:sz w:val="14"/>
          <w:szCs w:val="14"/>
          <w:color w:val="auto"/>
        </w:rPr>
        <w:t>capitalization by $ , assuming that the number of shares of Class A common stock offered by us, as set forth on the cover page of this prospectus, remains the same and after deducting estimated underwriting discounts and commissions payable by us. An increase or decrease of 1.0 million shares in the number of shares of Class A common stock offered by us would increase or decrease, as applicable, the amount of our pro forma as adjusted cash and cash equivalents, additional paid-in capital, total stockholders’ equity and total capitalization by $ , assuming the assumed initial public offering price remains the same, and after deducting estimated underwriting discounts and commissions payable by us.</w:t>
      </w:r>
    </w:p>
    <w:p>
      <w:pPr>
        <w:spacing w:after="0" w:line="13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pro forma and pro forma as adjusted columns in the table above are based on 69,172,104 shares of our Class A common stock (after giving effect to the conversion of all of our shares of convertible preferred stock) and 20,000,000 shares of our Class B common stock outstanding as of September 30, 2020, and excludes the following:</w:t>
      </w:r>
    </w:p>
    <w:p>
      <w:pPr>
        <w:spacing w:after="0" w:line="122" w:lineRule="exact"/>
        <w:rPr>
          <w:sz w:val="20"/>
          <w:szCs w:val="20"/>
          <w:color w:val="auto"/>
        </w:rPr>
      </w:pPr>
    </w:p>
    <w:p>
      <w:pPr>
        <w:ind w:left="660" w:right="84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16,164,706 shares of our Class A common stock issuable upon the exercise of options to purchase shares of our Class A common stock outstanding as of September 30, 2020, with a weighted-average exercise price of $1.17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717,319 shares of our Class A common stock issuable upon the vesting of RSUs outstanding as of September 30,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3" w:lineRule="exact"/>
        <w:rPr>
          <w:sz w:val="20"/>
          <w:szCs w:val="20"/>
          <w:color w:val="auto"/>
        </w:rPr>
      </w:pPr>
    </w:p>
    <w:p>
      <w:pPr>
        <w:ind w:left="848" w:hanging="848"/>
        <w:spacing w:after="0"/>
        <w:tabs>
          <w:tab w:leader="none" w:pos="8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shares of our Class A common stock reserved for future issuance under our equity compensation plans, consisting of:</w:t>
      </w:r>
    </w:p>
    <w:p>
      <w:pPr>
        <w:spacing w:after="0" w:line="148" w:lineRule="exact"/>
        <w:rPr>
          <w:rFonts w:ascii="Times New Roman" w:cs="Times New Roman" w:eastAsia="Times New Roman" w:hAnsi="Times New Roman"/>
          <w:sz w:val="20"/>
          <w:szCs w:val="20"/>
          <w:color w:val="auto"/>
        </w:rPr>
      </w:pPr>
    </w:p>
    <w:p>
      <w:pPr>
        <w:ind w:left="648" w:right="100" w:hanging="324"/>
        <w:spacing w:after="0" w:line="266" w:lineRule="auto"/>
        <w:tabs>
          <w:tab w:leader="none" w:pos="11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21" w:lineRule="exact"/>
        <w:rPr>
          <w:rFonts w:ascii="Times New Roman" w:cs="Times New Roman" w:eastAsia="Times New Roman" w:hAnsi="Times New Roman"/>
          <w:sz w:val="18"/>
          <w:szCs w:val="18"/>
          <w:color w:val="auto"/>
        </w:rPr>
      </w:pPr>
    </w:p>
    <w:p>
      <w:pPr>
        <w:ind w:left="648" w:right="20" w:hanging="324"/>
        <w:spacing w:after="0" w:line="266" w:lineRule="auto"/>
        <w:tabs>
          <w:tab w:leader="none" w:pos="11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21" w:lineRule="exact"/>
        <w:rPr>
          <w:rFonts w:ascii="Times New Roman" w:cs="Times New Roman" w:eastAsia="Times New Roman" w:hAnsi="Times New Roman"/>
          <w:sz w:val="18"/>
          <w:szCs w:val="18"/>
          <w:color w:val="auto"/>
        </w:rPr>
      </w:pPr>
    </w:p>
    <w:p>
      <w:pPr>
        <w:ind w:left="648" w:hanging="324"/>
        <w:spacing w:after="0" w:line="266" w:lineRule="auto"/>
        <w:tabs>
          <w:tab w:leader="none" w:pos="6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2,551,205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48"/>
          </w:cols>
          <w:pgMar w:left="652" w:top="1440" w:right="399" w:bottom="1440" w:gutter="0" w:footer="0" w:header="0"/>
        </w:sectPr>
      </w:pPr>
    </w:p>
    <w:bookmarkStart w:id="71" w:name="page72"/>
    <w:bookmarkEnd w:id="7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2020 was $124.4 million, or $4.60 per share. Our historical net tangible book value is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2020 was $124.4 million, or $1.39 per share. Pro forma net tangible book value represents the amount of our total tangible assets less our total liabilities, after giving effect to the conversion of all outstanding shares of our convertible preferred stock into an aggregate of 62,117,410 shares of Class A common stock immediately prior to the completion of this offering.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62,117,410 shares of our Class A common stock immediately prior to the completion of this offering.</w:t>
      </w:r>
    </w:p>
    <w:p>
      <w:pPr>
        <w:spacing w:after="0" w:line="133" w:lineRule="exact"/>
        <w:rPr>
          <w:sz w:val="20"/>
          <w:szCs w:val="20"/>
          <w:color w:val="auto"/>
        </w:rPr>
      </w:pPr>
    </w:p>
    <w:p>
      <w:pPr>
        <w:ind w:left="340"/>
        <w:spacing w:after="0"/>
        <w:tabs>
          <w:tab w:leader="none" w:pos="3620" w:val="left"/>
        </w:tabs>
        <w:rPr>
          <w:sz w:val="20"/>
          <w:szCs w:val="20"/>
          <w:color w:val="auto"/>
        </w:rPr>
      </w:pPr>
      <w:r>
        <w:rPr>
          <w:rFonts w:ascii="Times New Roman" w:cs="Times New Roman" w:eastAsia="Times New Roman" w:hAnsi="Times New Roman"/>
          <w:sz w:val="18"/>
          <w:szCs w:val="18"/>
          <w:color w:val="auto"/>
        </w:rPr>
        <w:t>After giving further effect to our sale of</w:t>
      </w:r>
      <w:r>
        <w:rPr>
          <w:sz w:val="20"/>
          <w:szCs w:val="20"/>
          <w:color w:val="auto"/>
        </w:rPr>
        <w:tab/>
      </w:r>
      <w:r>
        <w:rPr>
          <w:rFonts w:ascii="Times New Roman" w:cs="Times New Roman" w:eastAsia="Times New Roman" w:hAnsi="Times New Roman"/>
          <w:sz w:val="18"/>
          <w:szCs w:val="18"/>
          <w:color w:val="auto"/>
        </w:rPr>
        <w:t>shares of Class A common stock in this offering at the assumed initial public offering price of</w:t>
      </w:r>
    </w:p>
    <w:p>
      <w:pPr>
        <w:spacing w:after="0" w:line="27" w:lineRule="exact"/>
        <w:rPr>
          <w:sz w:val="20"/>
          <w:szCs w:val="20"/>
          <w:color w:val="auto"/>
        </w:rPr>
      </w:pPr>
    </w:p>
    <w:p>
      <w:pPr>
        <w:ind w:left="600" w:hanging="592"/>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share, which is the midpoint of the price range set forth on the cover page of this prospectus, and after deducting the underwriting discounts and</w:t>
      </w:r>
    </w:p>
    <w:p>
      <w:pPr>
        <w:spacing w:after="0" w:line="21"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commissions and estimated offering expenses payable by us, based on</w:t>
      </w:r>
      <w:r>
        <w:rPr>
          <w:sz w:val="20"/>
          <w:szCs w:val="20"/>
          <w:color w:val="auto"/>
        </w:rPr>
        <w:tab/>
      </w:r>
      <w:r>
        <w:rPr>
          <w:rFonts w:ascii="Times New Roman" w:cs="Times New Roman" w:eastAsia="Times New Roman" w:hAnsi="Times New Roman"/>
          <w:sz w:val="17"/>
          <w:szCs w:val="17"/>
          <w:color w:val="auto"/>
        </w:rPr>
        <w:t>shares of Class A common stock outstanding as of September 30, 2020, our</w:t>
      </w:r>
    </w:p>
    <w:p>
      <w:pPr>
        <w:spacing w:after="0" w:line="9" w:lineRule="exact"/>
        <w:rPr>
          <w:sz w:val="20"/>
          <w:szCs w:val="20"/>
          <w:color w:val="auto"/>
        </w:rPr>
      </w:pPr>
    </w:p>
    <w:p>
      <w:pPr>
        <w:spacing w:after="0"/>
        <w:tabs>
          <w:tab w:leader="none" w:pos="8080" w:val="left"/>
          <w:tab w:leader="none" w:pos="10520" w:val="left"/>
        </w:tabs>
        <w:rPr>
          <w:sz w:val="20"/>
          <w:szCs w:val="20"/>
          <w:color w:val="auto"/>
        </w:rPr>
      </w:pPr>
      <w:r>
        <w:rPr>
          <w:rFonts w:ascii="Times New Roman" w:cs="Times New Roman" w:eastAsia="Times New Roman" w:hAnsi="Times New Roman"/>
          <w:sz w:val="18"/>
          <w:szCs w:val="18"/>
          <w:color w:val="auto"/>
        </w:rPr>
        <w:t>pro forma as adjusted net tangible book value as of September 30, 2020 would have been approximately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7"/>
          <w:szCs w:val="17"/>
          <w:color w:val="auto"/>
        </w:rPr>
        <w:t>per share.</w:t>
      </w:r>
    </w:p>
    <w:p>
      <w:pPr>
        <w:spacing w:after="0" w:line="9" w:lineRule="exact"/>
        <w:rPr>
          <w:sz w:val="20"/>
          <w:szCs w:val="20"/>
          <w:color w:val="auto"/>
        </w:rPr>
      </w:pPr>
    </w:p>
    <w:p>
      <w:pPr>
        <w:spacing w:after="0"/>
        <w:tabs>
          <w:tab w:leader="none" w:pos="7020" w:val="left"/>
        </w:tabs>
        <w:rPr>
          <w:sz w:val="20"/>
          <w:szCs w:val="20"/>
          <w:color w:val="auto"/>
        </w:rPr>
      </w:pPr>
      <w:r>
        <w:rPr>
          <w:rFonts w:ascii="Times New Roman" w:cs="Times New Roman" w:eastAsia="Times New Roman" w:hAnsi="Times New Roman"/>
          <w:sz w:val="18"/>
          <w:szCs w:val="18"/>
          <w:color w:val="auto"/>
        </w:rPr>
        <w:t>This represents an immediate increase in pro forma as adjusted net tangible book value of $</w:t>
      </w:r>
      <w:r>
        <w:rPr>
          <w:sz w:val="20"/>
          <w:szCs w:val="20"/>
          <w:color w:val="auto"/>
        </w:rPr>
        <w:tab/>
      </w:r>
      <w:r>
        <w:rPr>
          <w:rFonts w:ascii="Times New Roman" w:cs="Times New Roman" w:eastAsia="Times New Roman" w:hAnsi="Times New Roman"/>
          <w:sz w:val="18"/>
          <w:szCs w:val="18"/>
          <w:color w:val="auto"/>
        </w:rPr>
        <w:t>per share to our existing stockholders and an immediate</w:t>
      </w:r>
    </w:p>
    <w:p>
      <w:pPr>
        <w:spacing w:after="0" w:line="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dilution in pro forma as adjusted net tangible book value of approximately $</w:t>
      </w:r>
      <w:r>
        <w:rPr>
          <w:sz w:val="20"/>
          <w:szCs w:val="20"/>
          <w:color w:val="auto"/>
        </w:rPr>
        <w:tab/>
      </w:r>
      <w:r>
        <w:rPr>
          <w:rFonts w:ascii="Times New Roman" w:cs="Times New Roman" w:eastAsia="Times New Roman" w:hAnsi="Times New Roman"/>
          <w:sz w:val="18"/>
          <w:szCs w:val="18"/>
          <w:color w:val="auto"/>
        </w:rPr>
        <w:t>per share to new investors purchasing Class A common stock in this</w:t>
      </w:r>
    </w:p>
    <w:p>
      <w:pPr>
        <w:spacing w:after="0" w:line="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offering. Dilution per share to new investors purchasing Class A common stock in this offering is determined by subtracting pro forma as adjusted net tangible book value per share after this offering from the assumed initial public offering price per share paid by new investors. The following table illustrates this dilution on a per share basis:</w:t>
      </w:r>
    </w:p>
    <w:p>
      <w:pPr>
        <w:sectPr>
          <w:pgSz w:w="11900" w:h="16838" w:orient="portrait"/>
          <w:cols w:equalWidth="0" w:num="1">
            <w:col w:w="11240"/>
          </w:cols>
          <w:pgMar w:left="320" w:top="1440" w:right="339" w:bottom="1440" w:gutter="0" w:footer="0" w:header="0"/>
        </w:sectPr>
      </w:pP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7720" w:val="left"/>
        </w:tabs>
        <w:rPr>
          <w:sz w:val="20"/>
          <w:szCs w:val="20"/>
          <w:color w:val="auto"/>
        </w:rPr>
      </w:pPr>
      <w:r>
        <w:rPr>
          <w:rFonts w:ascii="Times New Roman" w:cs="Times New Roman" w:eastAsia="Times New Roman" w:hAnsi="Times New Roman"/>
          <w:sz w:val="18"/>
          <w:szCs w:val="18"/>
          <w:color w:val="auto"/>
        </w:rPr>
        <w:t>Historical net tangible book value per share as of September 30, 2020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 forma decrease in net tangible book value per share as of September 30, 2020</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p>
      <w:pPr>
        <w:spacing w:after="0" w:line="31" w:lineRule="exact"/>
        <w:rPr>
          <w:sz w:val="20"/>
          <w:szCs w:val="20"/>
          <w:color w:val="auto"/>
        </w:rPr>
      </w:pPr>
    </w:p>
    <w:p>
      <w:pPr>
        <w:ind w:left="400" w:right="660" w:hanging="161"/>
        <w:spacing w:after="0" w:line="237" w:lineRule="auto"/>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purchasing shares of Class A common stock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in this offering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4.60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14605</wp:posOffset>
            </wp:positionV>
            <wp:extent cx="11144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274320</wp:posOffset>
            </wp:positionV>
            <wp:extent cx="11144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43180</wp:posOffset>
            </wp:positionV>
            <wp:extent cx="11144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300" w:space="720"/>
            <w:col w:w="2220"/>
          </w:cols>
          <w:pgMar w:left="320" w:top="1440" w:right="339" w:bottom="1440" w:gutter="0" w:footer="0" w:header="0"/>
          <w:type w:val="continuous"/>
        </w:sect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the midpoint of the estimated offering price range set forth on the cover page of this prospectus, would increase or decrease, as applicable, our pro forma as adjusted net tangible book value as of September 30,</w:t>
      </w:r>
    </w:p>
    <w:p>
      <w:pPr>
        <w:spacing w:after="0"/>
        <w:tabs>
          <w:tab w:leader="none" w:pos="3640" w:val="left"/>
          <w:tab w:leader="none" w:pos="6060" w:val="left"/>
        </w:tabs>
        <w:rPr>
          <w:sz w:val="20"/>
          <w:szCs w:val="20"/>
          <w:color w:val="auto"/>
        </w:rPr>
      </w:pPr>
      <w:r>
        <w:rPr>
          <w:rFonts w:ascii="Times New Roman" w:cs="Times New Roman" w:eastAsia="Times New Roman" w:hAnsi="Times New Roman"/>
          <w:sz w:val="18"/>
          <w:szCs w:val="18"/>
          <w:color w:val="auto"/>
        </w:rPr>
        <w:t>2020 after this offering by approximately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per share, and would decrease (increase) dilution to investors in this</w:t>
      </w:r>
    </w:p>
    <w:p>
      <w:pPr>
        <w:spacing w:after="0" w:line="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offering by approximately $ per share, assuming that the number of shares of Class A common stock offered by us, as set forth on the cover page of this prospectus, remains the same, after deducting the underwriting discounts and commissions and estimated offering expenses payable by us. We may also increase or decrease the number of shares of Class A common stock we are offering. An increase or decrease of 1.0 million in the number of shares of our Class A common stock we are offering would increase or decrease, as applicable, our pro forma as adjusted net tangible book value as of September</w:t>
      </w:r>
    </w:p>
    <w:p>
      <w:pPr>
        <w:spacing w:after="0" w:line="2" w:lineRule="exact"/>
        <w:rPr>
          <w:sz w:val="20"/>
          <w:szCs w:val="20"/>
          <w:color w:val="auto"/>
        </w:rPr>
      </w:pPr>
    </w:p>
    <w:p>
      <w:pPr>
        <w:spacing w:after="0"/>
        <w:tabs>
          <w:tab w:leader="none" w:pos="3640" w:val="left"/>
          <w:tab w:leader="none" w:pos="6060" w:val="left"/>
        </w:tabs>
        <w:rPr>
          <w:sz w:val="20"/>
          <w:szCs w:val="20"/>
          <w:color w:val="auto"/>
        </w:rPr>
      </w:pPr>
      <w:r>
        <w:rPr>
          <w:rFonts w:ascii="Times New Roman" w:cs="Times New Roman" w:eastAsia="Times New Roman" w:hAnsi="Times New Roman"/>
          <w:sz w:val="18"/>
          <w:szCs w:val="18"/>
          <w:color w:val="auto"/>
        </w:rPr>
        <w:t>30, 2020 after this offering by approximately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per share, and would decrease or increase, as applicable, dilution to</w:t>
      </w:r>
    </w:p>
    <w:p>
      <w:pPr>
        <w:spacing w:after="0" w:line="9"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8"/>
          <w:szCs w:val="18"/>
          <w:color w:val="auto"/>
        </w:rPr>
        <w:t>investors in this offering by approximately $</w:t>
      </w:r>
      <w:r>
        <w:rPr>
          <w:sz w:val="20"/>
          <w:szCs w:val="20"/>
          <w:color w:val="auto"/>
        </w:rPr>
        <w:tab/>
      </w:r>
      <w:r>
        <w:rPr>
          <w:rFonts w:ascii="Times New Roman" w:cs="Times New Roman" w:eastAsia="Times New Roman" w:hAnsi="Times New Roman"/>
          <w:sz w:val="17"/>
          <w:szCs w:val="17"/>
          <w:color w:val="auto"/>
        </w:rPr>
        <w:t>per share, assuming the assumed initial public offering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the underwriters fully exercise their option to purchase additional shares of Class A common stock at the assumed initial public offering price of</w:t>
      </w:r>
    </w:p>
    <w:p>
      <w:pPr>
        <w:spacing w:after="0" w:line="27" w:lineRule="exact"/>
        <w:rPr>
          <w:sz w:val="20"/>
          <w:szCs w:val="20"/>
          <w:color w:val="auto"/>
        </w:rPr>
      </w:pPr>
    </w:p>
    <w:p>
      <w:pPr>
        <w:ind w:left="540" w:hanging="532"/>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which is the midpoint of the price range set forth on the cover of this prospectus, assuming the number of shares offered by us as set forth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cover page of this prospectus remains the same, and after deducting underwriting discounts and commissions and estimated offering expenses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payable by us, pro forma as adjusted net tangible book value after this offering would increase to approximately $ per share, and there would be an immediate dilution of approximately $ per share to new investors.</w:t>
      </w:r>
    </w:p>
    <w:p>
      <w:pPr>
        <w:spacing w:after="0" w:line="108" w:lineRule="exact"/>
        <w:rPr>
          <w:sz w:val="20"/>
          <w:szCs w:val="20"/>
          <w:color w:val="auto"/>
        </w:rPr>
      </w:pPr>
    </w:p>
    <w:p>
      <w:pPr>
        <w:ind w:right="120" w:firstLine="324"/>
        <w:spacing w:after="0" w:line="276" w:lineRule="auto"/>
        <w:rPr>
          <w:sz w:val="20"/>
          <w:szCs w:val="20"/>
          <w:color w:val="auto"/>
        </w:rPr>
      </w:pPr>
      <w:r>
        <w:rPr>
          <w:rFonts w:ascii="Times New Roman" w:cs="Times New Roman" w:eastAsia="Times New Roman" w:hAnsi="Times New Roman"/>
          <w:sz w:val="17"/>
          <w:szCs w:val="17"/>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by existing stockholders and by new investors in this offering, assuming an initial public offering price of $ per share, which is the midpoint of the price range set forth on the cover page of this prospectus, and before deducting underwriting discounts and commissions and estimated offering expenses payable by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Average Price Per</w:t>
            </w:r>
          </w:p>
        </w:tc>
      </w:tr>
      <w:tr>
        <w:trPr>
          <w:trHeight w:val="201"/>
        </w:trPr>
        <w:tc>
          <w:tcPr>
            <w:tcW w:w="3580" w:type="dxa"/>
            <w:vAlign w:val="bottom"/>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83"/>
        </w:trPr>
        <w:tc>
          <w:tcPr>
            <w:tcW w:w="3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investors</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CCEEFF"/>
            </w:tcBorders>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5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52"/>
        </w:trPr>
        <w:tc>
          <w:tcPr>
            <w:tcW w:w="61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additional shares of Class A common stock in this offering. If</w:t>
            </w:r>
          </w:p>
        </w:tc>
      </w:tr>
    </w:tbl>
    <w:p>
      <w:pPr>
        <w:spacing w:after="0"/>
        <w:rPr>
          <w:sz w:val="20"/>
          <w:szCs w:val="20"/>
          <w:color w:val="auto"/>
        </w:rPr>
      </w:pPr>
      <w:r>
        <w:rPr>
          <w:rFonts w:ascii="Times New Roman" w:cs="Times New Roman" w:eastAsia="Times New Roman" w:hAnsi="Times New Roman"/>
          <w:sz w:val="18"/>
          <w:szCs w:val="18"/>
          <w:color w:val="auto"/>
        </w:rPr>
        <w:t>the underwriters’ option to purchase additional shares of Class A common stock is exercised in full, the number of shares of our common stock held by</w:t>
      </w:r>
    </w:p>
    <w:p>
      <w:pPr>
        <w:spacing w:after="0" w:line="200" w:lineRule="exact"/>
        <w:rPr>
          <w:sz w:val="20"/>
          <w:szCs w:val="20"/>
          <w:color w:val="auto"/>
        </w:rPr>
      </w:pPr>
    </w:p>
    <w:p>
      <w:pPr>
        <w:spacing w:after="0" w:line="2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existing stockholders would be 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 million, assuming that</w:t>
      </w:r>
    </w:p>
    <w:p>
      <w:pPr>
        <w:ind w:right="20"/>
        <w:spacing w:after="0" w:line="264" w:lineRule="auto"/>
        <w:rPr>
          <w:sz w:val="20"/>
          <w:szCs w:val="20"/>
          <w:color w:val="auto"/>
        </w:rPr>
      </w:pPr>
      <w:r>
        <w:rPr>
          <w:rFonts w:ascii="Times New Roman" w:cs="Times New Roman" w:eastAsia="Times New Roman" w:hAnsi="Times New Roman"/>
          <w:sz w:val="17"/>
          <w:szCs w:val="17"/>
          <w:color w:val="auto"/>
        </w:rPr>
        <w:t>the number of shares of Class A common stock offered by us, as set forth on the cover page of this prospectus, remains the same and after deducting the underwriting discounts and commissions payable by us. Similarly, an increase or decrease of 1.0 million shares in the number of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 offered by us would increase or decrease, as applicable, the total consideration paid by new investors by $ million, assuming no change in the assumed initial public offering price and after deducting the underwriting discounts and commissions payable by us.</w:t>
      </w:r>
    </w:p>
    <w:p>
      <w:pPr>
        <w:spacing w:after="0" w:line="10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per share calculation) are based on 69,172,104 shares of our Class A common stock (after giving effect to the conversion of all of our shares of convertible preferred stock) and 20,000,000 shares of our Class B common stock outstanding as of September 30, 2020, and excludes the following:</w:t>
      </w:r>
    </w:p>
    <w:p>
      <w:pPr>
        <w:spacing w:after="0" w:line="122" w:lineRule="exact"/>
        <w:rPr>
          <w:sz w:val="20"/>
          <w:szCs w:val="20"/>
          <w:color w:val="auto"/>
        </w:rPr>
      </w:pPr>
    </w:p>
    <w:p>
      <w:pPr>
        <w:ind w:left="660" w:right="84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16,164,706 shares of our Class A common stock issuable upon the exercise of options to purchase shares of our Class A common stock outstanding as of September 30, 2020, with a weighted-average exercise price of $1.17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717,319 shares of our Class A common stock issuable upon the vesting of RSUs outstanding as of September 30,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left="728" w:hanging="728"/>
        <w:spacing w:after="0"/>
        <w:tabs>
          <w:tab w:leader="none" w:pos="7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648" w:right="240" w:hanging="324"/>
        <w:spacing w:after="0" w:line="266" w:lineRule="auto"/>
        <w:tabs>
          <w:tab w:leader="none" w:pos="104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21" w:lineRule="exact"/>
        <w:rPr>
          <w:rFonts w:ascii="Times New Roman" w:cs="Times New Roman" w:eastAsia="Times New Roman" w:hAnsi="Times New Roman"/>
          <w:sz w:val="18"/>
          <w:szCs w:val="18"/>
          <w:color w:val="auto"/>
        </w:rPr>
      </w:pPr>
    </w:p>
    <w:p>
      <w:pPr>
        <w:ind w:left="648" w:right="20" w:hanging="324"/>
        <w:spacing w:after="0" w:line="266" w:lineRule="auto"/>
        <w:tabs>
          <w:tab w:leader="none" w:pos="104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21" w:lineRule="exact"/>
        <w:rPr>
          <w:rFonts w:ascii="Times New Roman" w:cs="Times New Roman" w:eastAsia="Times New Roman" w:hAnsi="Times New Roman"/>
          <w:sz w:val="18"/>
          <w:szCs w:val="18"/>
          <w:color w:val="auto"/>
        </w:rPr>
      </w:pPr>
    </w:p>
    <w:p>
      <w:pPr>
        <w:ind w:left="648" w:hanging="324"/>
        <w:spacing w:after="0" w:line="266" w:lineRule="auto"/>
        <w:tabs>
          <w:tab w:leader="none" w:pos="6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2,551,205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848"/>
          </w:cols>
          <w:pgMar w:left="652" w:top="1440" w:right="399" w:bottom="1440" w:gutter="0" w:footer="0" w:header="0"/>
        </w:sectPr>
      </w:pPr>
    </w:p>
    <w:bookmarkStart w:id="74" w:name="page75"/>
    <w:bookmarkEnd w:id="7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7"/>
                <w:szCs w:val="17"/>
                <w:color w:val="auto"/>
              </w:rPr>
            </w:pPr>
          </w:p>
        </w:tc>
        <w:tc>
          <w:tcPr>
            <w:tcW w:w="286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00" w:type="dxa"/>
            <w:vAlign w:val="bottom"/>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4"/>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40" w:type="dxa"/>
            <w:vAlign w:val="bottom"/>
            <w:gridSpan w:val="4"/>
          </w:tcPr>
          <w:p>
            <w:pPr>
              <w:jc w:val="right"/>
              <w:ind w:right="322"/>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240"/>
        <w:spacing w:after="0" w:line="208" w:lineRule="auto"/>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p>
      <w:pPr>
        <w:ind w:left="240"/>
        <w:spacing w:after="0" w:line="231" w:lineRule="auto"/>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63" w:lineRule="exact"/>
        <w:rPr>
          <w:sz w:val="20"/>
          <w:szCs w:val="20"/>
          <w:color w:val="auto"/>
        </w:rPr>
      </w:pPr>
    </w:p>
    <w:p>
      <w:pPr>
        <w:ind w:left="180" w:hanging="161"/>
        <w:spacing w:after="0" w:line="283" w:lineRule="auto"/>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r>
        <w:rPr>
          <w:rFonts w:ascii="Times New Roman" w:cs="Times New Roman" w:eastAsia="Times New Roman" w:hAnsi="Times New Roman"/>
          <w:sz w:val="23"/>
          <w:szCs w:val="23"/>
          <w:color w:val="auto"/>
          <w:vertAlign w:val="superscript"/>
        </w:rPr>
        <w:t>(2)</w:t>
      </w:r>
    </w:p>
    <w:p>
      <w:pPr>
        <w:spacing w:after="0" w:line="79" w:lineRule="exact"/>
        <w:rPr>
          <w:sz w:val="20"/>
          <w:szCs w:val="20"/>
          <w:color w:val="auto"/>
        </w:rPr>
      </w:pPr>
    </w:p>
    <w:p>
      <w:pPr>
        <w:ind w:left="180" w:right="620" w:hanging="161"/>
        <w:spacing w:after="0" w:line="224" w:lineRule="auto"/>
        <w:rPr>
          <w:sz w:val="20"/>
          <w:szCs w:val="20"/>
          <w:color w:val="auto"/>
        </w:rPr>
      </w:pPr>
      <w:r>
        <w:rPr>
          <w:rFonts w:ascii="Times New Roman" w:cs="Times New Roman" w:eastAsia="Times New Roman" w:hAnsi="Times New Roman"/>
          <w:sz w:val="18"/>
          <w:szCs w:val="18"/>
          <w:color w:val="auto"/>
        </w:rPr>
        <w:t>Weighted-average common shares outstanding, basic and diluted</w:t>
      </w:r>
      <w:r>
        <w:rPr>
          <w:rFonts w:ascii="Times New Roman" w:cs="Times New Roman" w:eastAsia="Times New Roman" w:hAnsi="Times New Roman"/>
          <w:sz w:val="23"/>
          <w:szCs w:val="23"/>
          <w:color w:val="auto"/>
          <w:vertAlign w:val="superscript"/>
        </w:rPr>
        <w:t>(2)</w:t>
      </w:r>
    </w:p>
    <w:p>
      <w:pPr>
        <w:ind w:left="20"/>
        <w:spacing w:after="0" w:line="219" w:lineRule="auto"/>
        <w:rPr>
          <w:sz w:val="20"/>
          <w:szCs w:val="20"/>
          <w:color w:val="auto"/>
        </w:rPr>
      </w:pPr>
      <w:r>
        <w:rPr>
          <w:rFonts w:ascii="Times New Roman" w:cs="Times New Roman" w:eastAsia="Times New Roman" w:hAnsi="Times New Roman"/>
          <w:sz w:val="18"/>
          <w:szCs w:val="18"/>
          <w:color w:val="auto"/>
        </w:rPr>
        <w:t>Pro forma net loss per common share, basic and diluted</w:t>
      </w:r>
      <w:r>
        <w:rPr>
          <w:rFonts w:ascii="Times New Roman" w:cs="Times New Roman" w:eastAsia="Times New Roman" w:hAnsi="Times New Roman"/>
          <w:sz w:val="23"/>
          <w:szCs w:val="23"/>
          <w:color w:val="auto"/>
          <w:vertAlign w:val="superscript"/>
        </w:rPr>
        <w:t>(2)</w:t>
      </w:r>
    </w:p>
    <w:p>
      <w:pPr>
        <w:ind w:left="180" w:right="300" w:hanging="161"/>
        <w:spacing w:after="0" w:line="195" w:lineRule="auto"/>
        <w:rPr>
          <w:sz w:val="20"/>
          <w:szCs w:val="20"/>
          <w:color w:val="auto"/>
        </w:rPr>
      </w:pPr>
      <w:r>
        <w:rPr>
          <w:rFonts w:ascii="Times New Roman" w:cs="Times New Roman" w:eastAsia="Times New Roman" w:hAnsi="Times New Roman"/>
          <w:sz w:val="18"/>
          <w:szCs w:val="18"/>
          <w:color w:val="auto"/>
        </w:rPr>
        <w:t>Pro forma weighted-average common shares used to compute basic and diluted net loss per common share</w:t>
      </w:r>
      <w:r>
        <w:rPr>
          <w:rFonts w:ascii="Times New Roman" w:cs="Times New Roman" w:eastAsia="Times New Roman" w:hAnsi="Times New Roman"/>
          <w:sz w:val="23"/>
          <w:szCs w:val="23"/>
          <w:color w:val="auto"/>
          <w:vertAlign w:val="superscript"/>
        </w:rPr>
        <w:t>(2)</w:t>
      </w: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include stock-based compensation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3,776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5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6,758</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r>
      <w:tr>
        <w:trPr>
          <w:trHeight w:val="270"/>
        </w:trPr>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(6,758)</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50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65"/>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3"/>
        </w:trPr>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(6,307)</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r>
      <w:tr>
        <w:trPr>
          <w:trHeight w:val="20"/>
        </w:trPr>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88"/>
        </w:trPr>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8,502,926</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14,878,157</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13,987,682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20,778,317</w:t>
            </w:r>
          </w:p>
        </w:tc>
      </w:tr>
      <w:tr>
        <w:trPr>
          <w:trHeight w:val="20"/>
        </w:trPr>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r>
      <w:tr>
        <w:trPr>
          <w:trHeight w:val="20"/>
        </w:trPr>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4"/>
        </w:trPr>
        <w:tc>
          <w:tcPr>
            <w:tcW w:w="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45,913,238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75,804,154</w:t>
            </w:r>
          </w:p>
        </w:tc>
      </w:tr>
      <w:tr>
        <w:trPr>
          <w:trHeight w:val="21"/>
        </w:trPr>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-2082165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-1765300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-453390</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-1447800</wp:posOffset>
            </wp:positionV>
            <wp:extent cx="7132320" cy="771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-2425065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3">
            <w:col w:w="4760" w:space="80"/>
            <w:col w:w="80" w:space="620"/>
            <w:col w:w="5700"/>
          </w:cols>
          <w:pgMar w:left="320" w:top="1440" w:right="339" w:bottom="1440" w:gutter="0" w:footer="0" w:header="0"/>
          <w:type w:val="continuous"/>
        </w:sectPr>
      </w:pPr>
    </w:p>
    <w:tbl>
      <w:tblPr>
        <w:tblLayout w:type="fixed"/>
        <w:tblInd w:w="3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5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75" w:name="page76"/>
    <w:bookmarkEnd w:id="75"/>
    <w:p>
      <w:pPr>
        <w:spacing w:after="0" w:line="135" w:lineRule="exact"/>
        <w:rPr>
          <w:sz w:val="20"/>
          <w:szCs w:val="20"/>
          <w:color w:val="auto"/>
        </w:rPr>
      </w:pPr>
    </w:p>
    <w:p>
      <w:pPr>
        <w:ind w:left="340" w:right="240" w:hanging="332"/>
        <w:spacing w:after="0" w:line="282"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60" w:type="dxa"/>
            <w:vAlign w:val="bottom"/>
            <w:gridSpan w:val="3"/>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30,953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0" w:type="dxa"/>
            <w:vAlign w:val="bottom"/>
          </w:tcPr>
          <w:p>
            <w:pPr>
              <w:spacing w:after="0"/>
              <w:rPr>
                <w:sz w:val="1"/>
                <w:szCs w:val="1"/>
                <w:color w:val="auto"/>
              </w:rPr>
            </w:pPr>
          </w:p>
        </w:tc>
      </w:tr>
      <w:tr>
        <w:trPr>
          <w:trHeight w:val="27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(3)</w:t>
            </w:r>
          </w:p>
        </w:tc>
        <w:tc>
          <w:tcPr>
            <w:tcW w:w="114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27,521</w:t>
            </w: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82,991</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117,451</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33,696</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3,721</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29,975</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87,679</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360" w:hanging="332"/>
        <w:spacing w:after="0" w:line="282" w:lineRule="auto"/>
        <w:tabs>
          <w:tab w:leader="none" w:pos="33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5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300"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4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3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service, support and distribution infrastructure in advance of commercialization;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40"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as a public company.</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2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Times New Roman" w:cs="Times New Roman" w:eastAsia="Times New Roman" w:hAnsi="Times New Roman"/>
          <w:sz w:val="18"/>
          <w:szCs w:val="18"/>
          <w:i w:val="1"/>
          <w:iCs w:val="1"/>
          <w:color w:val="auto"/>
        </w:rPr>
        <w:t>PrognomIQ</w:t>
      </w:r>
      <w:r>
        <w:rPr>
          <w:rFonts w:ascii="Times New Roman" w:cs="Times New Roman" w:eastAsia="Times New Roman" w:hAnsi="Times New Roman"/>
          <w:sz w:val="18"/>
          <w:szCs w:val="18"/>
          <w:color w:val="auto"/>
        </w:rPr>
        <w:t>.” We do not view these amounts to be material to our financial condition and results of operations nor do we expect these amounts to ever be material to us in the future.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from product sales and may not do so in the near future. Our revenue to date has been generated from research collaborations and activities.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2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expect to incur additional general and administrative expenses as we continue to invest in our personnel as we grow and with the additional costs incurred as a result of preparing to operate as a public company, including accounting, human resources, legal, insurance and investor relations costs. As a result, we expect general and administrative expenses to increase in absolute dollars in future periods.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investments.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related to certain convertible promissory notes that were issued in May 2019. These notes were converted to convertible preferred stock in November 2019.</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Nine Months Ended September 30, 2019 and 2020</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9600" w:hanging="8"/>
        <w:spacing w:after="0" w:line="487" w:lineRule="auto"/>
        <w:tabs>
          <w:tab w:leader="none" w:pos="475" w:val="left"/>
        </w:tabs>
        <w:numPr>
          <w:ilvl w:val="0"/>
          <w:numId w:val="5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 meaningful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262</w:t>
            </w:r>
          </w:p>
        </w:tc>
        <w:tc>
          <w:tcPr>
            <w:tcW w:w="11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452%</w:t>
            </w:r>
          </w:p>
        </w:tc>
      </w:tr>
    </w:tbl>
    <w:p>
      <w:pPr>
        <w:spacing w:after="0" w:line="14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8"/>
                <w:szCs w:val="18"/>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8,580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4,940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14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R&amp;D expenses increased by $4.9 million, or 58%, from $8.6 million in the nine months ended September 30, 2019 to $13.5 million in the nine months ended September 30, 2020. The increase was primarily due to an increase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8"/>
                <w:szCs w:val="18"/>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8"/>
                <w:szCs w:val="18"/>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2,963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4,445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14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proposed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7"/>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181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14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Years Ended December 31, 2018 and 2019</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185"/>
        </w:trPr>
        <w:tc>
          <w:tcPr>
            <w:tcW w:w="5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6"/>
        </w:trPr>
        <w:tc>
          <w:tcPr>
            <w:tcW w:w="5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revenue</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tcPr>
          <w:p>
            <w:pPr>
              <w:spacing w:after="0"/>
              <w:rPr>
                <w:sz w:val="20"/>
                <w:szCs w:val="20"/>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5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32" w:lineRule="exact"/>
        <w:rPr>
          <w:sz w:val="20"/>
          <w:szCs w:val="20"/>
          <w:color w:val="auto"/>
        </w:rPr>
      </w:pPr>
    </w:p>
    <w:p>
      <w:pPr>
        <w:ind w:left="340" w:right="9600" w:hanging="8"/>
        <w:spacing w:after="0" w:line="487" w:lineRule="auto"/>
        <w:tabs>
          <w:tab w:leader="none" w:pos="475" w:val="left"/>
        </w:tabs>
        <w:numPr>
          <w:ilvl w:val="0"/>
          <w:numId w:val="5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 meaningful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116</w:t>
            </w:r>
          </w:p>
        </w:tc>
        <w:tc>
          <w:tcPr>
            <w:tcW w:w="10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5"/>
                <w:szCs w:val="15"/>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8,617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bl>
    <w:p>
      <w:pPr>
        <w:spacing w:after="0" w:line="14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 growth in research and development personnel, $1.4 million related to the expansion of facilities and maintenance and depreciation of laboratory equipment, $1.5 million in laboratory materials, supplies and reagents used for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5"/>
                <w:szCs w:val="15"/>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1,624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4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394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14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ectPr>
          <w:pgSz w:w="11900" w:h="16838" w:orient="portrait"/>
          <w:cols w:equalWidth="0" w:num="1">
            <w:col w:w="11240"/>
          </w:cols>
          <w:pgMar w:left="320" w:top="1440" w:right="339" w:bottom="1440" w:gutter="0" w:footer="0" w:header="0"/>
        </w:sectPr>
      </w:pPr>
    </w:p>
    <w:p>
      <w:pPr>
        <w:spacing w:after="0" w:line="217"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24765</wp:posOffset>
            </wp:positionV>
            <wp:extent cx="20485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9" w:lineRule="exact"/>
        <w:rPr>
          <w:sz w:val="20"/>
          <w:szCs w:val="20"/>
          <w:color w:val="auto"/>
        </w:rPr>
      </w:pPr>
    </w:p>
    <w:p>
      <w:pPr>
        <w:sectPr>
          <w:pgSz w:w="11900" w:h="16838" w:orient="portrait"/>
          <w:cols w:equalWidth="0" w:num="2">
            <w:col w:w="7860" w:space="720"/>
            <w:col w:w="26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(13,073)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72,331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55,395</w:t>
            </w:r>
          </w:p>
        </w:tc>
        <w:tc>
          <w:tcPr>
            <w:tcW w:w="0" w:type="dxa"/>
            <w:vAlign w:val="bottom"/>
          </w:tcPr>
          <w:p>
            <w:pPr>
              <w:spacing w:after="0"/>
              <w:rPr>
                <w:sz w:val="1"/>
                <w:szCs w:val="1"/>
                <w:color w:val="auto"/>
              </w:rPr>
            </w:pPr>
          </w:p>
        </w:tc>
      </w:tr>
      <w:tr>
        <w:trPr>
          <w:trHeight w:val="155"/>
        </w:trPr>
        <w:tc>
          <w:tcPr>
            <w:tcW w:w="47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cash</w:t>
            </w:r>
          </w:p>
        </w:tc>
        <w:tc>
          <w:tcPr>
            <w:tcW w:w="5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10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4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08" w:lineRule="exact"/>
        <w:rPr>
          <w:sz w:val="20"/>
          <w:szCs w:val="20"/>
          <w:color w:val="auto"/>
        </w:rPr>
      </w:pPr>
    </w:p>
    <w:p>
      <w:pPr>
        <w:ind w:left="340" w:right="40"/>
        <w:spacing w:after="0" w:line="438" w:lineRule="auto"/>
        <w:rPr>
          <w:sz w:val="20"/>
          <w:szCs w:val="20"/>
          <w:color w:val="auto"/>
        </w:rPr>
      </w:pPr>
      <w:r>
        <w:rPr>
          <w:rFonts w:ascii="Times New Roman" w:cs="Times New Roman" w:eastAsia="Times New Roman" w:hAnsi="Times New Roman"/>
          <w:sz w:val="18"/>
          <w:szCs w:val="18"/>
          <w:color w:val="auto"/>
        </w:rPr>
        <w:t xml:space="preserve">In 2018, cash used in investing activities was $0.2 million, which related to payments for property and equipment used for general business operations. </w:t>
      </w:r>
      <w:r>
        <w:rPr>
          <w:rFonts w:ascii="Times New Roman" w:cs="Times New Roman" w:eastAsia="Times New Roman" w:hAnsi="Times New Roman"/>
          <w:sz w:val="18"/>
          <w:szCs w:val="18"/>
          <w:b w:val="1"/>
          <w:bCs w:val="1"/>
          <w:i w:val="1"/>
          <w:iCs w:val="1"/>
          <w:color w:val="auto"/>
        </w:rPr>
        <w:t>Financing Activities</w:t>
      </w:r>
    </w:p>
    <w:p>
      <w:pPr>
        <w:spacing w:after="0" w:line="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10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122"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8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2018, cash provided by financing activities was $29.9 million which was attributable to the net proceeds from the issuance of Series B convertible preferred stock, net of issuance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8,788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Since the date of our incorporation, we have not engaged in any off-balance sheet arrangements, as such term is defined in the rules and regulations of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2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3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22" w:lineRule="exact"/>
        <w:rPr>
          <w:sz w:val="20"/>
          <w:szCs w:val="20"/>
          <w:color w:val="auto"/>
        </w:rPr>
      </w:pPr>
    </w:p>
    <w:p>
      <w:pPr>
        <w:ind w:left="660" w:right="400" w:hanging="328"/>
        <w:spacing w:after="0" w:line="26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stock—Historically, as there has been no public market for our common stock, the fair value of our common stock was determined by our board of directors based in part on valuations of our common stock prepared by a third-party valuation specialist. See the subsection titled “Fair Value of Common Stock” below.</w:t>
      </w:r>
    </w:p>
    <w:p>
      <w:pPr>
        <w:spacing w:after="0" w:line="12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ind w:left="660" w:right="100" w:hanging="328"/>
        <w:spacing w:after="0" w:line="258"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volatility—Since we are a privately-held company and do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29"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issues in effect at the time of grant for periods corresponding with the expected term of the options.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yield—We have never paid dividends on our common stock and have no plans to pay dividends on our common stock. Therefore, we used an expected dividend yield of zero.</w:t>
      </w:r>
    </w:p>
    <w:p>
      <w:pPr>
        <w:spacing w:after="0" w:line="10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26"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intrinsic value of all outstanding options as of September 30, 2020 was $ million, of which $ million related to unvested options as of such date, based on the assumed initial public offering price of $ per share, which is the midpoint of the price range set forth on the cover page of this prospectus.</w:t>
      </w:r>
    </w:p>
    <w:p>
      <w:pPr>
        <w:spacing w:after="0" w:line="12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expect to incur stock-based compensation of approximately $11.0 million to $12.7 million over the next three to four years as a result of all compensatory equity issuances made in fiscal year 2020.</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expect to incur stock-based compensation of approximately $5.1 million to $6.7 million in fiscal year 2021 as a result of all compensatory equity issuances outstanding as of September 30,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or the Practice Aid, our board of directors exercised reasonable judgment and considered numerous objective and subjective factors to determine the best estimate of the fair value of our common stock at each grant date. These factors include:</w:t>
      </w:r>
    </w:p>
    <w:p>
      <w:pPr>
        <w:spacing w:after="0" w:line="133"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technology industry and trends within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convertible preferred stock relative to those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convertible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results and financial performance, including our levels of available capital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and business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conditions affecting comparable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40"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U.S.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34"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8" w:lineRule="exact"/>
        <w:rPr>
          <w:sz w:val="20"/>
          <w:szCs w:val="20"/>
          <w:color w:val="auto"/>
        </w:rPr>
      </w:pPr>
    </w:p>
    <w:p>
      <w:pPr>
        <w:ind w:left="660" w:right="20" w:hanging="328"/>
        <w:spacing w:after="0" w:line="26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2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2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determined that an OPM was the most appropriate method for allocating our enterprise value to determine the estimated fair value of our common stock for valuations during 2018 and 2019.</w:t>
      </w:r>
    </w:p>
    <w:p>
      <w:pPr>
        <w:spacing w:after="0" w:line="10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Starting in 2020, we used a hybrid method to determine the estimated fair value of our common stock, which included both the OPM and PWERM models.</w:t>
      </w:r>
    </w:p>
    <w:p>
      <w:pPr>
        <w:spacing w:after="0" w:line="108" w:lineRule="exact"/>
        <w:rPr>
          <w:sz w:val="20"/>
          <w:szCs w:val="20"/>
          <w:color w:val="auto"/>
        </w:rPr>
      </w:pPr>
    </w:p>
    <w:p>
      <w:pPr>
        <w:ind w:right="380" w:firstLine="324"/>
        <w:spacing w:after="0" w:line="274" w:lineRule="auto"/>
        <w:rPr>
          <w:sz w:val="20"/>
          <w:szCs w:val="20"/>
          <w:color w:val="auto"/>
        </w:rPr>
      </w:pPr>
      <w:r>
        <w:rPr>
          <w:rFonts w:ascii="Times New Roman" w:cs="Times New Roman" w:eastAsia="Times New Roman" w:hAnsi="Times New Roman"/>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1440" w:right="379" w:bottom="1440" w:gutter="0" w:footer="0" w:header="0"/>
        </w:sectPr>
      </w:pPr>
    </w:p>
    <w:bookmarkStart w:id="89" w:name="page90"/>
    <w:bookmarkEnd w:id="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the first fiscal year beginning after the effective date of the registration statement of which this prospectus is a part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3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08" w:lineRule="exact"/>
        <w:rPr>
          <w:sz w:val="20"/>
          <w:szCs w:val="20"/>
          <w:color w:val="auto"/>
        </w:rPr>
      </w:pPr>
    </w:p>
    <w:p>
      <w:pPr>
        <w:ind w:left="660" w:right="1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being insufficient accounting personnel to enable segregation of duties relating to the general ledger, disbursement, and certain accounting functions.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80"/>
          </w:cols>
          <w:pgMar w:left="320" w:top="1440" w:right="399" w:bottom="1440" w:gutter="0" w:footer="0" w:header="0"/>
        </w:sectPr>
      </w:pPr>
    </w:p>
    <w:bookmarkStart w:id="90" w:name="page91"/>
    <w:bookmarkEnd w:id="90"/>
    <w:p>
      <w:pPr>
        <w:spacing w:after="0" w:line="14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60"/>
          </w:cols>
          <w:pgMar w:left="320" w:top="1440" w:right="419" w:bottom="1440" w:gutter="0" w:footer="0" w:header="0"/>
        </w:sectPr>
      </w:pPr>
    </w:p>
    <w:bookmarkStart w:id="91" w:name="page92"/>
    <w:bookmarkEnd w:id="9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80"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3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Proteomics</w:t>
      </w:r>
    </w:p>
    <w:p>
      <w:pPr>
        <w:spacing w:after="0" w:line="175"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074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Challenges of Accessing the Proteome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97155</wp:posOffset>
            </wp:positionV>
            <wp:extent cx="5143500" cy="2091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Image from Isabell Bludau et al. Proteomic and interactomic insights into the molecular basis of cell functional diversity. </w:t>
      </w:r>
      <w:r>
        <w:rPr>
          <w:rFonts w:ascii="Times New Roman" w:cs="Times New Roman" w:eastAsia="Times New Roman" w:hAnsi="Times New Roman"/>
          <w:sz w:val="14"/>
          <w:szCs w:val="14"/>
          <w:i w:val="1"/>
          <w:iCs w:val="1"/>
          <w:color w:val="auto"/>
        </w:rPr>
        <w:t>Nature Reviews Molecular Cell Biology</w:t>
      </w:r>
      <w:r>
        <w:rPr>
          <w:rFonts w:ascii="Times New Roman" w:cs="Times New Roman" w:eastAsia="Times New Roman" w:hAnsi="Times New Roman"/>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Limitations of Biased Approaches to Proteomics</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100965</wp:posOffset>
            </wp:positionV>
            <wp:extent cx="4500245" cy="213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Limitations of Current Unbiased Approaches to Proteomics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80010</wp:posOffset>
            </wp:positionV>
            <wp:extent cx="4286250" cy="1894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Times New Roman" w:cs="Times New Roman" w:eastAsia="Times New Roman" w:hAnsi="Times New Roman"/>
          <w:sz w:val="18"/>
          <w:szCs w:val="18"/>
          <w:i w:val="1"/>
          <w:iCs w:val="1"/>
          <w:color w:val="auto"/>
        </w:rPr>
        <w:t>Keshishian, H. et al.</w:t>
      </w:r>
      <w:r>
        <w:rPr>
          <w:rFonts w:ascii="Times New Roman" w:cs="Times New Roman" w:eastAsia="Times New Roman" w:hAnsi="Times New Roman"/>
          <w:sz w:val="18"/>
          <w:szCs w:val="18"/>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3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Background of Massively Parallel Sampling</w:t>
      </w:r>
    </w:p>
    <w:p>
      <w:pPr>
        <w:spacing w:after="0" w:line="1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1834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2700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complex biofluid processing workflows required by other unbiased proteomic approaches;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distinguish protein variants at the peptide level;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quantify protein variants and PPIs;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machine learning to design, synthesize and select different NPs and NP panels to create multiple products and applications; and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compatible across a wide range of laboratory workflows, automation equipment and sample processing and detection methods, lowering the hurdle for product adoption.</w:t>
      </w:r>
    </w:p>
    <w:p>
      <w:pPr>
        <w:spacing w:after="0" w:line="10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(Blume et al.), we demonstrated a rapid, deep and precise profiling of the plasma proteome with our proprietary engineered NP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Proteograph Product Suite</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40"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86360</wp:posOffset>
            </wp:positionV>
            <wp:extent cx="5349240" cy="1748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97155</wp:posOffset>
            </wp:positionV>
            <wp:extent cx="2057400" cy="2237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80"/>
          </w:cols>
          <w:pgMar w:left="320" w:top="1440" w:right="399" w:bottom="1440" w:gutter="0" w:footer="0" w:header="0"/>
        </w:sectPr>
      </w:pPr>
    </w:p>
    <w:bookmarkStart w:id="99" w:name="page100"/>
    <w:bookmarkEnd w:id="99"/>
    <w:p>
      <w:pPr>
        <w:spacing w:after="0" w:line="14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93980</wp:posOffset>
            </wp:positionV>
            <wp:extent cx="2357120" cy="1774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5712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 adoption among non-proteomic experts by providing an intuitive user interface that automates and simplifies data handling, processing and analysis, and which provides access to a scalable infrastructure.</w:t>
      </w:r>
    </w:p>
    <w:p>
      <w:pPr>
        <w:spacing w:after="0" w:line="13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From Sample to Data Using our Proteograph Product Suite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Proteomic analysis using our Proteograph Product Suite has five primary steps:</w:t>
      </w:r>
    </w:p>
    <w:p>
      <w:pPr>
        <w:spacing w:after="0" w:line="169" w:lineRule="exact"/>
        <w:rPr>
          <w:sz w:val="20"/>
          <w:szCs w:val="20"/>
          <w:color w:val="auto"/>
        </w:rPr>
      </w:pPr>
    </w:p>
    <w:p>
      <w:pPr>
        <w:ind w:left="660" w:right="100" w:hanging="328"/>
        <w:spacing w:after="0" w:line="261"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Particle-Matrix Association</w:t>
      </w:r>
      <w:r>
        <w:rPr>
          <w:rFonts w:ascii="Times New Roman" w:cs="Times New Roman" w:eastAsia="Times New Roman" w:hAnsi="Times New Roman"/>
          <w:sz w:val="18"/>
          <w:szCs w:val="18"/>
          <w:color w:val="auto"/>
        </w:rPr>
        <w:t>. NPs can be mixed with a wide variety of soluble biological sample types (matrices), including cell or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25"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Particle Wash</w:t>
      </w:r>
      <w:r>
        <w:rPr>
          <w:rFonts w:ascii="Times New Roman" w:cs="Times New Roman" w:eastAsia="Times New Roman" w:hAnsi="Times New Roman"/>
          <w:sz w:val="18"/>
          <w:szCs w:val="18"/>
          <w:color w:val="auto"/>
        </w:rPr>
        <w:t>. NPs are then captured by a magnetic field, after which they undergo repeated cycles of wash with buffer to remove unbound,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loosely bound, proteins.</w:t>
      </w:r>
    </w:p>
    <w:p>
      <w:pPr>
        <w:spacing w:after="0" w:line="104"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In-plate Digestion</w:t>
      </w:r>
      <w:r>
        <w:rPr>
          <w:rFonts w:ascii="Times New Roman" w:cs="Times New Roman" w:eastAsia="Times New Roman" w:hAnsi="Times New Roman"/>
          <w:sz w:val="18"/>
          <w:szCs w:val="18"/>
          <w:color w:val="auto"/>
        </w:rPr>
        <w:t>. Washed NPs are subject to enzymatic digestion to generate peptides, which are collected, quantified, dried and ready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MS analysis.</w:t>
      </w:r>
    </w:p>
    <w:p>
      <w:pPr>
        <w:spacing w:after="0" w:line="104"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Mass Spectrometry</w:t>
      </w:r>
      <w:r>
        <w:rPr>
          <w:rFonts w:ascii="Times New Roman" w:cs="Times New Roman" w:eastAsia="Times New Roman" w:hAnsi="Times New Roman"/>
          <w:sz w:val="18"/>
          <w:szCs w:val="18"/>
          <w:color w:val="auto"/>
        </w:rPr>
        <w:t>. The researcher prepares the digested peptides for measurement by dissolution in appropriate peptide reconstitution buffer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suitable for MS injection, at a volume and concentration that meets the researcher’s MS instrument and liquid chromatography gradient requirements.</w:t>
      </w:r>
    </w:p>
    <w:p>
      <w:pPr>
        <w:spacing w:after="0" w:line="119"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analysis. </w:t>
      </w:r>
      <w:r>
        <w:rPr>
          <w:rFonts w:ascii="Times New Roman" w:cs="Times New Roman" w:eastAsia="Times New Roman" w:hAnsi="Times New Roman"/>
          <w:sz w:val="18"/>
          <w:szCs w:val="18"/>
          <w:color w:val="auto"/>
        </w:rPr>
        <w:t>After data acquisition, typical MS analysis methods are employed within our Proteograph software to identify and quantify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19685</wp:posOffset>
            </wp:positionV>
            <wp:extent cx="4928870" cy="2048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88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88900</wp:posOffset>
            </wp:positionV>
            <wp:extent cx="5143500" cy="2194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Proteograph Product Suite Performance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29" w:lineRule="exact"/>
        <w:rPr>
          <w:sz w:val="20"/>
          <w:szCs w:val="20"/>
          <w:color w:val="auto"/>
        </w:rPr>
      </w:pPr>
    </w:p>
    <w:p>
      <w:pPr>
        <w:ind w:left="660" w:right="60" w:hanging="328"/>
        <w:spacing w:after="0" w:line="257"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Breadth of protein sampling. </w:t>
      </w:r>
      <w:r>
        <w:rPr>
          <w:rFonts w:ascii="Times New Roman" w:cs="Times New Roman" w:eastAsia="Times New Roman" w:hAnsi="Times New Roman"/>
          <w:sz w:val="18"/>
          <w:szCs w:val="18"/>
          <w:color w:val="auto"/>
        </w:rPr>
        <w:t>Breadth of protein sampling refers to our Proteograph Product Suite’s ability to conduct unbiased, highly parallel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440" w:right="419" w:bottom="1440" w:gutter="0" w:footer="0" w:header="0"/>
        </w:sectPr>
      </w:pPr>
    </w:p>
    <w:bookmarkStart w:id="102" w:name="page103"/>
    <w:bookmarkEnd w:id="102"/>
    <w:p>
      <w:pPr>
        <w:spacing w:after="0" w:line="14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80010</wp:posOffset>
            </wp:positionV>
            <wp:extent cx="1285875" cy="3197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5" w:lineRule="exact"/>
        <w:rPr>
          <w:sz w:val="20"/>
          <w:szCs w:val="20"/>
          <w:color w:val="auto"/>
        </w:rPr>
      </w:pPr>
    </w:p>
    <w:p>
      <w:pPr>
        <w:ind w:left="660" w:hanging="328"/>
        <w:spacing w:after="0" w:line="254"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Depth of coverage. </w:t>
      </w:r>
      <w:r>
        <w:rPr>
          <w:rFonts w:ascii="Times New Roman" w:cs="Times New Roman" w:eastAsia="Times New Roman" w:hAnsi="Times New Roman"/>
          <w:sz w:val="18"/>
          <w:szCs w:val="18"/>
          <w:color w:val="auto"/>
        </w:rPr>
        <w:t>Depth of coverage refers to our Proteograph’s ability to evaluate the proteome across the wide dynamic range of abundance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80"/>
          </w:cols>
          <w:pgMar w:left="320" w:top="1440" w:right="399" w:bottom="1440" w:gutter="0" w:footer="0" w:header="0"/>
        </w:sectPr>
      </w:pPr>
    </w:p>
    <w:bookmarkStart w:id="103" w:name="page104"/>
    <w:bookmarkEnd w:id="103"/>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120015</wp:posOffset>
            </wp:positionV>
            <wp:extent cx="4286250" cy="3111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 w:hanging="328"/>
        <w:spacing w:after="0" w:line="255" w:lineRule="auto"/>
        <w:tabs>
          <w:tab w:leader="none" w:pos="3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Accuracy of measurement. </w:t>
      </w:r>
      <w:r>
        <w:rPr>
          <w:rFonts w:ascii="Times New Roman" w:cs="Times New Roman" w:eastAsia="Times New Roman" w:hAnsi="Times New Roman"/>
          <w:sz w:val="18"/>
          <w:szCs w:val="18"/>
          <w:color w:val="auto"/>
        </w:rPr>
        <w:t>Accuracy refers to how close the measured abundance of a protein is to the true abundance in a sample. Accuracy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888"/>
          </w:cols>
          <w:pgMar w:left="652" w:top="1440" w:right="35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1014730</wp:posOffset>
            </wp:positionV>
            <wp:extent cx="2571750" cy="2143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8" w:hanging="328"/>
        <w:spacing w:after="0" w:line="254" w:lineRule="auto"/>
        <w:tabs>
          <w:tab w:leader="none" w:pos="3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Precision of measurement. </w:t>
      </w:r>
      <w:r>
        <w:rPr>
          <w:rFonts w:ascii="Times New Roman" w:cs="Times New Roman" w:eastAsia="Times New Roman" w:hAnsi="Times New Roman"/>
          <w:sz w:val="18"/>
          <w:szCs w:val="18"/>
          <w:color w:val="auto"/>
        </w:rPr>
        <w:t>Precision refers to how close several measurements of protein abundance in the same sample are to each other.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95885</wp:posOffset>
            </wp:positionV>
            <wp:extent cx="1714500" cy="2640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848"/>
          </w:cols>
          <w:pgMar w:left="652" w:top="1440" w:right="399" w:bottom="1440" w:gutter="0" w:footer="0" w:header="0"/>
        </w:sectPr>
      </w:pPr>
    </w:p>
    <w:bookmarkStart w:id="105" w:name="page106"/>
    <w:bookmarkEnd w:id="105"/>
    <w:p>
      <w:pPr>
        <w:spacing w:after="0" w:line="136" w:lineRule="exact"/>
        <w:rPr>
          <w:sz w:val="20"/>
          <w:szCs w:val="20"/>
          <w:color w:val="auto"/>
        </w:rPr>
      </w:pPr>
    </w:p>
    <w:p>
      <w:pPr>
        <w:ind w:left="660" w:right="40" w:hanging="328"/>
        <w:spacing w:after="0" w:line="253"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and large-scale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Proteograph enables rapid and large-scale proteomic sample processing in a seven-hour workflow,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4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091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Proteomics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 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Markets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Proteograph Product Suite and its underlying NP technology have the following advantages:</w:t>
      </w:r>
    </w:p>
    <w:p>
      <w:pPr>
        <w:spacing w:after="0" w:line="167" w:lineRule="exact"/>
        <w:rPr>
          <w:sz w:val="20"/>
          <w:szCs w:val="20"/>
          <w:color w:val="auto"/>
        </w:rPr>
      </w:pPr>
    </w:p>
    <w:p>
      <w:pPr>
        <w:ind w:left="340" w:right="60" w:hanging="332"/>
        <w:spacing w:after="0" w:line="257" w:lineRule="auto"/>
        <w:tabs>
          <w:tab w:leader="none" w:pos="3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Times New Roman" w:cs="Times New Roman" w:eastAsia="Times New Roman" w:hAnsi="Times New Roman"/>
          <w:sz w:val="18"/>
          <w:szCs w:val="18"/>
          <w:color w:val="auto"/>
        </w:rPr>
        <w:t>While other proteomics technologies exist today, we believe that our Proteograph is the first and only product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95250</wp:posOffset>
            </wp:positionV>
            <wp:extent cx="5349240" cy="2434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right="60" w:hanging="332"/>
        <w:spacing w:after="0" w:line="255"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Times New Roman" w:cs="Times New Roman" w:eastAsia="Times New Roman" w:hAnsi="Times New Roman"/>
          <w:sz w:val="18"/>
          <w:szCs w:val="18"/>
          <w:color w:val="auto"/>
        </w:rPr>
        <w:t>The ability to observe the myriad of possible protein variations,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 polymorphisms and PTMs, but not at scale. Moreover, these unbiased approaches are not able to capture PPIs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and protein pathway information at scale. We believe that our Proteograph is uniquely positioned to fully capture the breadth, depth and the complexity of the proteome at scale.</w:t>
      </w:r>
    </w:p>
    <w:p>
      <w:pPr>
        <w:spacing w:after="0" w:line="104" w:lineRule="exact"/>
        <w:rPr>
          <w:sz w:val="20"/>
          <w:szCs w:val="20"/>
          <w:color w:val="auto"/>
        </w:rPr>
      </w:pPr>
    </w:p>
    <w:p>
      <w:pPr>
        <w:ind w:left="340" w:right="240" w:hanging="332"/>
        <w:spacing w:after="0" w:line="255"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was designed to enable broad adoption across a wide variety of customers in both decentralized and centralized settings. </w:t>
      </w:r>
      <w:r>
        <w:rPr>
          <w:rFonts w:ascii="Times New Roman" w:cs="Times New Roman" w:eastAsia="Times New Roman" w:hAnsi="Times New Roman"/>
          <w:sz w:val="18"/>
          <w:szCs w:val="18"/>
          <w:color w:val="auto"/>
        </w:rPr>
        <w:t>Our Proteograph is an integrated solution comprised of consumables, an automation instrument and software, and was designed to deliver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30"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proprietary engineered NPs are a core technology from which we can develop a range of products, applications and platforms.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over 250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30" w:lineRule="exact"/>
        <w:rPr>
          <w:rFonts w:ascii="Times New Roman" w:cs="Times New Roman" w:eastAsia="Times New Roman" w:hAnsi="Times New Roman"/>
          <w:sz w:val="18"/>
          <w:szCs w:val="18"/>
          <w:color w:val="auto"/>
        </w:rPr>
      </w:pPr>
    </w:p>
    <w:p>
      <w:pPr>
        <w:ind w:left="340" w:right="40" w:hanging="332"/>
        <w:spacing w:after="0" w:line="257"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NP technology inherently provides significant operational leverage in research and development, manufacturing and commercialization. </w:t>
      </w:r>
      <w:r>
        <w:rPr>
          <w:rFonts w:ascii="Times New Roman" w:cs="Times New Roman" w:eastAsia="Times New Roman" w:hAnsi="Times New Roman"/>
          <w:sz w:val="18"/>
          <w:szCs w:val="18"/>
          <w:color w:val="auto"/>
        </w:rPr>
        <w:t>NPs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28" w:lineRule="exact"/>
        <w:rPr>
          <w:rFonts w:ascii="Times New Roman" w:cs="Times New Roman" w:eastAsia="Times New Roman" w:hAnsi="Times New Roman"/>
          <w:sz w:val="18"/>
          <w:szCs w:val="18"/>
          <w:color w:val="auto"/>
        </w:rPr>
      </w:pPr>
    </w:p>
    <w:p>
      <w:pPr>
        <w:ind w:left="340" w:right="160" w:hanging="332"/>
        <w:spacing w:after="0" w:line="256"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has the potential to provide sustainable differentiation. </w:t>
      </w:r>
      <w:r>
        <w:rPr>
          <w:rFonts w:ascii="Times New Roman" w:cs="Times New Roman" w:eastAsia="Times New Roman" w:hAnsi="Times New Roman"/>
          <w:sz w:val="18"/>
          <w:szCs w:val="18"/>
          <w:color w:val="auto"/>
        </w:rPr>
        <w:t>Our Proteograph is uniquely capable of generating robust,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growth strategy is to:</w:t>
      </w:r>
    </w:p>
    <w:p>
      <w:pPr>
        <w:spacing w:after="0" w:line="104" w:lineRule="exact"/>
        <w:rPr>
          <w:sz w:val="20"/>
          <w:szCs w:val="20"/>
          <w:color w:val="auto"/>
        </w:rPr>
      </w:pPr>
    </w:p>
    <w:p>
      <w:pPr>
        <w:ind w:left="340" w:right="660" w:hanging="332"/>
        <w:spacing w:after="0" w:line="268" w:lineRule="auto"/>
        <w:tabs>
          <w:tab w:leader="none" w:pos="3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Times New Roman" w:cs="Times New Roman" w:eastAsia="Times New Roman" w:hAnsi="Times New Roman"/>
          <w:sz w:val="18"/>
          <w:szCs w:val="18"/>
          <w:color w:val="auto"/>
        </w:rPr>
        <w:t>Our initial product, the Proteograph, uniquely enables researchers and clinicians to generate unbiased,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proteomic information at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ind w:left="332" w:right="100"/>
        <w:spacing w:after="0" w:line="258" w:lineRule="auto"/>
        <w:rPr>
          <w:sz w:val="20"/>
          <w:szCs w:val="20"/>
          <w:color w:val="auto"/>
        </w:rPr>
      </w:pPr>
      <w:r>
        <w:rPr>
          <w:rFonts w:ascii="Times New Roman" w:cs="Times New Roman" w:eastAsia="Times New Roman" w:hAnsi="Times New Roman"/>
          <w:sz w:val="18"/>
          <w:szCs w:val="18"/>
          <w:color w:val="auto"/>
        </w:rPr>
        <w:t>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25" w:lineRule="exact"/>
        <w:rPr>
          <w:sz w:val="20"/>
          <w:szCs w:val="20"/>
          <w:color w:val="auto"/>
        </w:rPr>
      </w:pPr>
    </w:p>
    <w:p>
      <w:pPr>
        <w:ind w:left="332" w:right="20" w:hanging="332"/>
        <w:spacing w:after="0" w:line="256"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market development activities to increase awareness of the importance of large-scale proteomic data and the ability to access it</w:t>
      </w:r>
      <w:r>
        <w:rPr>
          <w:rFonts w:ascii="Times New Roman" w:cs="Times New Roman" w:eastAsia="Times New Roman" w:hAnsi="Times New Roman"/>
          <w:sz w:val="18"/>
          <w:szCs w:val="18"/>
          <w:color w:val="auto"/>
        </w:rPr>
        <w:t>. In order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28" w:lineRule="exact"/>
        <w:rPr>
          <w:rFonts w:ascii="Times New Roman" w:cs="Times New Roman" w:eastAsia="Times New Roman" w:hAnsi="Times New Roman"/>
          <w:sz w:val="18"/>
          <w:szCs w:val="18"/>
          <w:color w:val="auto"/>
        </w:rPr>
      </w:pPr>
    </w:p>
    <w:p>
      <w:pPr>
        <w:ind w:left="332" w:hanging="332"/>
        <w:spacing w:after="0" w:line="257"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Continually innovate to develop and commercialize additional transformative products to access the proteome and accelerate our understanding of biology</w:t>
      </w:r>
      <w:r>
        <w:rPr>
          <w:rFonts w:ascii="Times New Roman" w:cs="Times New Roman" w:eastAsia="Times New Roman" w:hAnsi="Times New Roman"/>
          <w:sz w:val="18"/>
          <w:szCs w:val="18"/>
          <w:color w:val="auto"/>
        </w:rPr>
        <w:t>. We aim to continually innovate and develop new products, applications, workflows and analysis tools that simplify and accelerate researchers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28" w:lineRule="exact"/>
        <w:rPr>
          <w:rFonts w:ascii="Times New Roman" w:cs="Times New Roman" w:eastAsia="Times New Roman" w:hAnsi="Times New Roman"/>
          <w:sz w:val="18"/>
          <w:szCs w:val="18"/>
          <w:color w:val="auto"/>
        </w:rPr>
      </w:pPr>
    </w:p>
    <w:p>
      <w:pPr>
        <w:ind w:left="332" w:right="120" w:hanging="332"/>
        <w:spacing w:after="0" w:line="259"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build our commercial infrastructure and NP manufacturing capabilities to provide for our commercial launch in the United States and internationally. </w:t>
      </w:r>
      <w:r>
        <w:rPr>
          <w:rFonts w:ascii="Times New Roman" w:cs="Times New Roman" w:eastAsia="Times New Roman" w:hAnsi="Times New Roman"/>
          <w:sz w:val="18"/>
          <w:szCs w:val="18"/>
          <w:color w:val="auto"/>
        </w:rPr>
        <w:t>We are initially building our commercial infrastructure to sell and support our products directly in the United States, the European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25" w:lineRule="exact"/>
        <w:rPr>
          <w:rFonts w:ascii="Times New Roman" w:cs="Times New Roman" w:eastAsia="Times New Roman" w:hAnsi="Times New Roman"/>
          <w:sz w:val="18"/>
          <w:szCs w:val="18"/>
          <w:color w:val="auto"/>
        </w:rPr>
      </w:pPr>
    </w:p>
    <w:p>
      <w:pPr>
        <w:ind w:left="332" w:right="40" w:hanging="332"/>
        <w:spacing w:after="0" w:line="256"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Foster the creation of an ecosystem of customers, partners and collaborators whose expertise and offerings complement and enhance the power and utility of our products. </w:t>
      </w:r>
      <w:r>
        <w:rPr>
          <w:rFonts w:ascii="Times New Roman" w:cs="Times New Roman" w:eastAsia="Times New Roman" w:hAnsi="Times New Roman"/>
          <w:sz w:val="18"/>
          <w:szCs w:val="18"/>
          <w:color w:val="auto"/>
        </w:rPr>
        <w:t>We intend to seed and develop a new ecosystem of applications and organizations that can take advantage of large-scale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28" w:lineRule="exact"/>
        <w:rPr>
          <w:rFonts w:ascii="Times New Roman" w:cs="Times New Roman" w:eastAsia="Times New Roman" w:hAnsi="Times New Roman"/>
          <w:sz w:val="18"/>
          <w:szCs w:val="18"/>
          <w:color w:val="auto"/>
        </w:rPr>
      </w:pPr>
    </w:p>
    <w:p>
      <w:pPr>
        <w:ind w:left="332" w:right="20" w:hanging="332"/>
        <w:spacing w:after="0" w:line="257"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proprietary engineered NP technology to analyze molecules beyond proteins. </w:t>
      </w:r>
      <w:r>
        <w:rPr>
          <w:rFonts w:ascii="Times New Roman" w:cs="Times New Roman" w:eastAsia="Times New Roman" w:hAnsi="Times New Roman"/>
          <w:sz w:val="18"/>
          <w:szCs w:val="18"/>
          <w:color w:val="auto"/>
        </w:rPr>
        <w:t>Given the inherent flexibility and ability to synthesize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32"/>
          </w:cols>
          <w:pgMar w:left="328" w:top="1440" w:right="339" w:bottom="1440" w:gutter="0" w:footer="0" w:header="0"/>
        </w:sectPr>
      </w:pPr>
    </w:p>
    <w:bookmarkStart w:id="110" w:name="page111"/>
    <w:bookmarkEnd w:id="1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Basic Research and Discovery Applications</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Cataloging protein diversity</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figure below shows the type of protein cataloging possible with our Proteograph Product Suite. Interrogating the protein data from our previously published work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88900</wp:posOffset>
            </wp:positionV>
            <wp:extent cx="2571750" cy="2537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99060</wp:posOffset>
            </wp:positionV>
            <wp:extent cx="4714875" cy="3437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1440" w:right="4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1014730</wp:posOffset>
            </wp:positionV>
            <wp:extent cx="1714500" cy="2768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Proteogenomics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6574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Interactome</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interrogated the plasma proteome of 276 subjects across early- and late-stage non-small-cell lung carcinoma (NSCLC), co-morbid and healthy controls. These subjects are a subset of those described in our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1988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Translational Research Applications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Biomarker discovery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To date, most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utility of our Proteograph for exploration of potential biomarkers is illustrated in a proof-of-principle study in lung-cancer, as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(Blume et al.). In this study, approximately 2,000 proteins were quantified across 141 subjects comprising early stage lung cancer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1440" w:right="4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314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Target Identification and Exploration</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Clinical Trial Applications</w:t>
      </w:r>
    </w:p>
    <w:p>
      <w:pPr>
        <w:spacing w:after="0" w:line="17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Diagnostic Applications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Applied Applications in Agriculture, Environmental and Food Safety</w:t>
      </w:r>
    </w:p>
    <w:p>
      <w:pPr>
        <w:spacing w:after="0" w:line="175"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1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10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PrognomIQ</w:t>
      </w:r>
    </w:p>
    <w:p>
      <w:pPr>
        <w:spacing w:after="0" w:line="17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transition services and support, including laboratory and office space to PrognomIQ during the transition period. We anticipate these services to continue through the first half of 2021.</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Times New Roman" w:cs="Times New Roman" w:eastAsia="Times New Roman" w:hAnsi="Times New Roman"/>
          <w:sz w:val="18"/>
          <w:szCs w:val="18"/>
          <w:i w:val="1"/>
          <w:iCs w:val="1"/>
          <w:color w:val="auto"/>
        </w:rPr>
        <w:t>PrognomIQ</w:t>
      </w:r>
      <w:r>
        <w:rPr>
          <w:rFonts w:ascii="Times New Roman" w:cs="Times New Roman" w:eastAsia="Times New Roman" w:hAnsi="Times New Roman"/>
          <w:sz w:val="18"/>
          <w:szCs w:val="18"/>
          <w:color w:val="auto"/>
        </w:rPr>
        <w:t>.” We do not view these amounts to be material to our financial condition and results of operations nor do we expect these amounts to ever be material to us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Strategy</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w:t>
      </w:r>
    </w:p>
    <w:p>
      <w:pPr>
        <w:spacing w:after="0" w:line="13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2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38"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To service our potential Proteograph customers, we will provide multiple levels of technical service for our Proteograph automation instruments, depending upon customer need. We recognize that excellent customer support can be a critical part of a customer experience, and we will invest accordingly in our technical and application support to achieve the desired levels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80"/>
          </w:cols>
          <w:pgMar w:left="320" w:top="1440" w:right="399" w:bottom="1440" w:gutter="0" w:footer="0" w:header="0"/>
        </w:sectPr>
      </w:pPr>
    </w:p>
    <w:bookmarkStart w:id="118" w:name="page119"/>
    <w:bookmarkEnd w:id="118"/>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Proteograph Product Suite Commercial Launch Plan</w:t>
      </w:r>
    </w:p>
    <w:p>
      <w:pPr>
        <w:spacing w:after="0" w:line="17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10" w:lineRule="exact"/>
        <w:rPr>
          <w:sz w:val="20"/>
          <w:szCs w:val="20"/>
          <w:color w:val="auto"/>
        </w:rPr>
      </w:pPr>
    </w:p>
    <w:p>
      <w:pPr>
        <w:ind w:left="660" w:right="120" w:hanging="328"/>
        <w:spacing w:after="0" w:line="254"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expect to place another Proteograph with a second collaborator before the end of 2020.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3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3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Organization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Manufacturing</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overall manufacturing strategy is to continuously develop and refine our processes to achieve our objectives of continuity of supply, quality of supply and margin enhancement. Over time, this may lead to in-sourcing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outsourcing certain functions, including manufacturing, in various geographic locations in order to achieve our objectives.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3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2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08"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0"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2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w:t>
      </w:r>
    </w:p>
    <w:p>
      <w:pPr>
        <w:spacing w:after="0" w:line="14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own approximately two issued U.S. patents, eight U.S. pending patent applications and four pending Patent Cooperation Treaty (PCT) patent applications. Our owned patents and patent 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patent portfolio owned by us includes:</w:t>
      </w:r>
    </w:p>
    <w:p>
      <w:pPr>
        <w:spacing w:after="0" w:line="171" w:lineRule="exact"/>
        <w:rPr>
          <w:sz w:val="20"/>
          <w:szCs w:val="20"/>
          <w:color w:val="auto"/>
        </w:rPr>
      </w:pPr>
    </w:p>
    <w:p>
      <w:pPr>
        <w:ind w:left="660" w:right="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patent applications that are directed to methods for interrogating protein pathways and PPIs with the biosensors;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0"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issued U.S. patent and a pending U.S. patent application directed to the classification of biological states;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issued U.S. patent and a pending PCT patent application directed to methods for biomarker discovery, including an algorithm-based method that uses data sampled by the biosensor platform.</w:t>
      </w:r>
    </w:p>
    <w:p>
      <w:pPr>
        <w:spacing w:after="0" w:line="108"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18"/>
          <w:szCs w:val="18"/>
          <w:i w:val="1"/>
          <w:iCs w:val="1"/>
          <w:color w:val="auto"/>
        </w:rPr>
        <w:t>“Business —Collaboration and License Agreements.”</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18"/>
          <w:szCs w:val="18"/>
          <w:i w:val="1"/>
          <w:iCs w:val="1"/>
          <w:color w:val="auto"/>
        </w:rPr>
        <w:t>“Risk factors—Risks Related to our Intellectual Property.”</w:t>
      </w:r>
    </w:p>
    <w:p>
      <w:pPr>
        <w:spacing w:after="0" w:line="134" w:lineRule="exact"/>
        <w:rPr>
          <w:sz w:val="20"/>
          <w:szCs w:val="20"/>
          <w:color w:val="auto"/>
        </w:rPr>
      </w:pPr>
    </w:p>
    <w:p>
      <w:pPr>
        <w:jc w:val="right"/>
        <w:ind w:right="8240"/>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71"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8"/>
          <w:szCs w:val="18"/>
          <w:b w:val="1"/>
          <w:bCs w:val="1"/>
          <w:i w:val="1"/>
          <w:iCs w:val="1"/>
          <w:color w:val="auto"/>
        </w:rPr>
        <w:t>The Brigham and Women’s Hospital</w:t>
      </w:r>
    </w:p>
    <w:p>
      <w:pPr>
        <w:spacing w:after="0" w:line="175" w:lineRule="exact"/>
        <w:rPr>
          <w:sz w:val="20"/>
          <w:szCs w:val="20"/>
          <w:color w:val="auto"/>
        </w:rPr>
      </w:pPr>
    </w:p>
    <w:p>
      <w:pPr>
        <w:jc w:val="both"/>
        <w:ind w:right="300" w:firstLine="324"/>
        <w:spacing w:after="0" w:line="289" w:lineRule="auto"/>
        <w:rPr>
          <w:sz w:val="20"/>
          <w:szCs w:val="20"/>
          <w:color w:val="auto"/>
        </w:rPr>
      </w:pPr>
      <w:r>
        <w:rPr>
          <w:rFonts w:ascii="Times New Roman" w:cs="Times New Roman" w:eastAsia="Times New Roman" w:hAnsi="Times New Roman"/>
          <w:sz w:val="17"/>
          <w:szCs w:val="17"/>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2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3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and Ralph Weissleder, M.D.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we had 60 employees, all based in the United States, including 46 in research and development and 14 in selling, general and administrative. None of our employees are represented by a labor union or covered under a collective bargaining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research and development facilities, and manufacturing and distribution centers are located at 3800 Bridge Parkway, Redwood City, CA 94065. The facility is approximately 25,600 square feet and is compliant with all relevant stage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80"/>
          </w:cols>
          <w:pgMar w:left="320" w:top="1440" w:right="399" w:bottom="1440" w:gutter="0" w:footer="0" w:header="0"/>
        </w:sectPr>
      </w:pPr>
    </w:p>
    <w:bookmarkStart w:id="127" w:name="page128"/>
    <w:bookmarkEnd w:id="12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Omid Farokhzad, M.D.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70"/>
        </w:trPr>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David R. Horn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Omead Ostadan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270"/>
        </w:trPr>
        <w:tc>
          <w:tcPr>
            <w:tcW w:w="4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spacing w:after="0"/>
              <w:rPr>
                <w:sz w:val="23"/>
                <w:szCs w:val="23"/>
                <w:color w:val="auto"/>
              </w:rPr>
            </w:pP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0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70"/>
        </w:trPr>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David Hallal</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70"/>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Catherine J. Friedman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Robert Langer, Sc.D.</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Terrance McGuire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David Singer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155"/>
        </w:trPr>
        <w:tc>
          <w:tcPr>
            <w:tcW w:w="4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tcPr>
          <w:p>
            <w:pPr>
              <w:spacing w:after="0"/>
              <w:rPr>
                <w:sz w:val="13"/>
                <w:szCs w:val="13"/>
                <w:color w:val="auto"/>
              </w:rPr>
            </w:pPr>
          </w:p>
        </w:tc>
      </w:tr>
    </w:tbl>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corporate governance and nominating committee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Omid Farokhzad, M.D. </w:t>
      </w:r>
      <w:r>
        <w:rPr>
          <w:rFonts w:ascii="Times New Roman" w:cs="Times New Roman" w:eastAsia="Times New Roman" w:hAnsi="Times New Roman"/>
          <w:sz w:val="18"/>
          <w:szCs w:val="18"/>
          <w:color w:val="auto"/>
        </w:rPr>
        <w:t>co-founded our Company and has served as our Chief Executive Officer since February 2018 and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3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David R. Horn </w:t>
      </w:r>
      <w:r>
        <w:rPr>
          <w:rFonts w:ascii="Times New Roman" w:cs="Times New Roman" w:eastAsia="Times New Roman" w:hAnsi="Times New Roman"/>
          <w:sz w:val="18"/>
          <w:szCs w:val="18"/>
          <w:color w:val="auto"/>
        </w:rPr>
        <w:t>has served as our Chief Financial Officer since May 2020. Prior to joining us, Mr. Horn was with Morgan Stanley, an investment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Omead Ostadan </w:t>
      </w:r>
      <w:r>
        <w:rPr>
          <w:rFonts w:ascii="Times New Roman" w:cs="Times New Roman" w:eastAsia="Times New Roman" w:hAnsi="Times New Roman"/>
          <w:sz w:val="18"/>
          <w:szCs w:val="18"/>
          <w:color w:val="auto"/>
        </w:rPr>
        <w:t>has served as our President and Chief Operating Officer since July 2020 and as a member of our board of directors since March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 California, Davis and an M.B.A from the Wharton School of Business. We believe Mr. Ostadan is qualified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our board of directors because of his extensive experience in product development at life science companies, his leadership skills, as well as his strong strategic planning and product knowledge.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David Hallal </w:t>
      </w:r>
      <w:r>
        <w:rPr>
          <w:rFonts w:ascii="Times New Roman" w:cs="Times New Roman" w:eastAsia="Times New Roman" w:hAnsi="Times New Roman"/>
          <w:sz w:val="18"/>
          <w:szCs w:val="18"/>
          <w:color w:val="auto"/>
        </w:rPr>
        <w:t>has served as a member of our board of directors since February 2018 and as Lead Independent Director since September 2020.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Catherine J. Friedman </w:t>
      </w:r>
      <w:r>
        <w:rPr>
          <w:rFonts w:ascii="Times New Roman" w:cs="Times New Roman" w:eastAsia="Times New Roman" w:hAnsi="Times New Roman"/>
          <w:sz w:val="18"/>
          <w:szCs w:val="18"/>
          <w:color w:val="auto"/>
        </w:rPr>
        <w:t>has served as a member of our board of directors since September 2020. Ms. Friedman has been an independent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Robert Langer, Sc.D. </w:t>
      </w:r>
      <w:r>
        <w:rPr>
          <w:rFonts w:ascii="Times New Roman" w:cs="Times New Roman" w:eastAsia="Times New Roman" w:hAnsi="Times New Roman"/>
          <w:sz w:val="18"/>
          <w:szCs w:val="18"/>
          <w:color w:val="auto"/>
        </w:rPr>
        <w:t>has served as a member of our board of directors since December 2017. Dr. Langer has served as a David H. Koch Institute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Professor at the Massachusetts Institute of Technology since July 2005. He currently serves on the board of directors of Abpro Bio Co. Ltd., Frequency Therapeutics, Inc., Lyra Therapeutics, Inc., Moderna, Inc. and Puretech Health plc, and previously served on the board of directors of Alkermes, Inc., Kala Pharmaceuticals, Inc., Momentum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1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Terrance McGuire </w:t>
      </w:r>
      <w:r>
        <w:rPr>
          <w:rFonts w:ascii="Times New Roman" w:cs="Times New Roman" w:eastAsia="Times New Roman" w:hAnsi="Times New Roman"/>
          <w:sz w:val="18"/>
          <w:szCs w:val="18"/>
          <w:color w:val="auto"/>
        </w:rPr>
        <w:t>has served as a member of our board of directors since December 2017. Mr. McGuire serves as a General Partner of Polaris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 venture capital firm he co-founded in 1996. He currently serves on the 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31"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David B. Singe</w:t>
      </w:r>
      <w:r>
        <w:rPr>
          <w:rFonts w:ascii="Times New Roman" w:cs="Times New Roman" w:eastAsia="Times New Roman" w:hAnsi="Times New Roman"/>
          <w:sz w:val="18"/>
          <w:szCs w:val="18"/>
          <w:color w:val="auto"/>
        </w:rPr>
        <w:t>r has served as a member of our board of directors since December 2017. Mr. Singer has held various positions at Maverick Ventures,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capital firm, or its affiliates, since December 2004, including Managing Partner of Maverick Ventures since February 2015. Mr. Singer currently serves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2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and their terms will expire at the annual meeting of stockholders to be held in 2021;</w:t>
            </w:r>
          </w:p>
        </w:tc>
      </w:tr>
      <w:tr>
        <w:trPr>
          <w:trHeight w:val="36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7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and their terms will expire at the annual meeting of stockholders to be held in 2022;</w:t>
            </w:r>
          </w:p>
        </w:tc>
      </w:tr>
      <w:tr>
        <w:trPr>
          <w:trHeight w:val="234"/>
        </w:trPr>
        <w:tc>
          <w:tcPr>
            <w:tcW w:w="18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7320" w:type="dxa"/>
            <w:vAlign w:val="bottom"/>
          </w:tcPr>
          <w:p>
            <w:pPr>
              <w:spacing w:after="0"/>
              <w:rPr>
                <w:sz w:val="20"/>
                <w:szCs w:val="20"/>
                <w:color w:val="auto"/>
              </w:rPr>
            </w:pPr>
          </w:p>
        </w:tc>
      </w:tr>
      <w:tr>
        <w:trPr>
          <w:trHeight w:val="37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732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 and their terms will expire at the annual meeting of stockholders to be held in 2023.</w:t>
            </w:r>
          </w:p>
        </w:tc>
      </w:tr>
    </w:tbl>
    <w:p>
      <w:pPr>
        <w:spacing w:after="0" w:line="144" w:lineRule="exact"/>
        <w:rPr>
          <w:sz w:val="20"/>
          <w:szCs w:val="20"/>
          <w:color w:val="auto"/>
        </w:rPr>
      </w:pPr>
    </w:p>
    <w:p>
      <w:pPr>
        <w:jc w:val="both"/>
        <w:ind w:right="80" w:firstLine="324"/>
        <w:spacing w:after="0" w:line="281" w:lineRule="auto"/>
        <w:rPr>
          <w:sz w:val="20"/>
          <w:szCs w:val="20"/>
          <w:color w:val="auto"/>
        </w:rPr>
      </w:pPr>
      <w:r>
        <w:rPr>
          <w:rFonts w:ascii="Times New Roman" w:cs="Times New Roman" w:eastAsia="Times New Roman" w:hAnsi="Times New Roman"/>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classification of our board of directors may have the effect of delaying or preventing changes in control of our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completion of this offering, we anticipate that our Class A common stock will be listed on the Nasdaq Stock Market. Under the rules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6"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3"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family relationships, our board of directors has determined that ,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3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5" w:lineRule="exact"/>
        <w:rPr>
          <w:sz w:val="20"/>
          <w:szCs w:val="20"/>
          <w:color w:val="auto"/>
        </w:rPr>
      </w:pPr>
    </w:p>
    <w:p>
      <w:pPr>
        <w:ind w:left="340"/>
        <w:spacing w:after="0"/>
        <w:tabs>
          <w:tab w:leader="none" w:pos="4420" w:val="left"/>
          <w:tab w:leader="none" w:pos="5640" w:val="left"/>
          <w:tab w:leader="none" w:pos="9520" w:val="left"/>
        </w:tabs>
        <w:rPr>
          <w:sz w:val="20"/>
          <w:szCs w:val="20"/>
          <w:color w:val="auto"/>
        </w:rPr>
      </w:pPr>
      <w:r>
        <w:rPr>
          <w:rFonts w:ascii="Times New Roman" w:cs="Times New Roman" w:eastAsia="Times New Roman" w:hAnsi="Times New Roman"/>
          <w:sz w:val="18"/>
          <w:szCs w:val="18"/>
          <w:color w:val="auto"/>
        </w:rPr>
        <w:t>The members of our audit committee 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is the chair of our audit committee. Each of</w:t>
      </w:r>
      <w:r>
        <w:rPr>
          <w:sz w:val="20"/>
          <w:szCs w:val="20"/>
          <w:color w:val="auto"/>
        </w:rPr>
        <w:tab/>
      </w:r>
      <w:r>
        <w:rPr>
          <w:rFonts w:ascii="Times New Roman" w:cs="Times New Roman" w:eastAsia="Times New Roman" w:hAnsi="Times New Roman"/>
          <w:sz w:val="17"/>
          <w:szCs w:val="17"/>
          <w:color w:val="auto"/>
        </w:rPr>
        <w:t>is an audit committee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32"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and hire the independent registered public accounting firm to audit our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to ensure the independence and performance of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audit and non-audit services and fees;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audit committee report that the SEC requires to be included in our annual proxy statement;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and communications from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 disclosure controls and procedure;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related-party transactions;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completion of this offering, which will satisfy the applicable rules of the SEC and the listing standards of Nasdaq.</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members of our compensation committee are . is the chair of our compensation committee. Our compensation committee oversees our compensation policies, plans and benefits programs. The compensation committee will also:</w:t>
      </w:r>
    </w:p>
    <w:p>
      <w:pPr>
        <w:spacing w:after="0" w:line="108"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our overall compensation philosophy and compensation policies, plans and benefit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to the board of directors for approval compensation for our executive officers and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compensation committee report that the SEC will require to be included in our annual proxy statement;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compensation plans.</w:t>
      </w:r>
    </w:p>
    <w:p>
      <w:pPr>
        <w:spacing w:after="0" w:line="17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completion of this offering, which will satisfy the applicable rules of the SEC and the listing standards of Nasdaq.</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ectPr>
          <w:pgSz w:w="11900" w:h="16838" w:orient="portrait"/>
          <w:cols w:equalWidth="0" w:num="1">
            <w:col w:w="11220"/>
          </w:cols>
          <w:pgMar w:left="320" w:top="1440" w:right="359" w:bottom="1440" w:gutter="0" w:footer="0" w:header="0"/>
        </w:sectPr>
      </w:pP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members of our corporate governance and nominating committee 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the chair of our corporate governance and</w:t>
      </w:r>
    </w:p>
    <w:p>
      <w:pPr>
        <w:spacing w:after="0" w:line="39" w:lineRule="exact"/>
        <w:rPr>
          <w:sz w:val="20"/>
          <w:szCs w:val="20"/>
          <w:color w:val="auto"/>
        </w:rPr>
      </w:pPr>
    </w:p>
    <w:p>
      <w:pPr>
        <w:sectPr>
          <w:pgSz w:w="11900" w:h="16838" w:orient="portrait"/>
          <w:cols w:equalWidth="0" w:num="3">
            <w:col w:w="5820" w:space="720"/>
            <w:col w:w="220" w:space="720"/>
            <w:col w:w="374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nominating committee. Our corporate governance and nominating committee</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320" w:top="1440" w:right="359" w:bottom="1440" w:gutter="0" w:footer="0" w:header="0"/>
          <w:type w:val="continuous"/>
        </w:sectPr>
      </w:pPr>
    </w:p>
    <w:bookmarkStart w:id="132" w:name="page133"/>
    <w:bookmarkEnd w:id="132"/>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oversees and assists our board of directors in reviewing and recommending nominees for election as directors. Specifically, the corporate governance and nominating committee will:</w:t>
      </w:r>
    </w:p>
    <w:p>
      <w:pPr>
        <w:spacing w:after="0" w:line="108" w:lineRule="exact"/>
        <w:rPr>
          <w:sz w:val="20"/>
          <w:szCs w:val="20"/>
          <w:color w:val="auto"/>
        </w:rPr>
      </w:pPr>
    </w:p>
    <w:p>
      <w:pPr>
        <w:ind w:left="660" w:right="84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make recommendations to our board of directors regarding nominees for election to our board of directors and its committees;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make recommendations to our board of directors regarding the composition of our board of directors and its committees;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developments in corporate governance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adequacy of our corporate governance practices and reporting;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board of directors and of individual directors.</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 Compensation</w:t>
      </w:r>
    </w:p>
    <w:p>
      <w:pPr>
        <w:spacing w:after="0" w:line="17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ind w:right="440" w:firstLine="324"/>
        <w:spacing w:after="0" w:line="312" w:lineRule="auto"/>
        <w:rPr>
          <w:sz w:val="20"/>
          <w:szCs w:val="20"/>
          <w:color w:val="auto"/>
        </w:rPr>
      </w:pPr>
      <w:r>
        <w:rPr>
          <w:rFonts w:ascii="Times New Roman" w:cs="Times New Roman" w:eastAsia="Times New Roman" w:hAnsi="Times New Roman"/>
          <w:sz w:val="17"/>
          <w:szCs w:val="17"/>
          <w:color w:val="auto"/>
        </w:rPr>
        <w:t>Our employee director, Dr. Farokhzad, did not receive any compensation for his service as a director for the year ended December 31, 2019. The compensation received by Dr. Farokhzad as an employee is set forth in the section titled “Executive Compensation—Summary Compensation Table.”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non-employee directors for service as directors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6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Catherine J. Friedman</w:t>
            </w:r>
            <w:r>
              <w:rPr>
                <w:rFonts w:ascii="Times New Roman" w:cs="Times New Roman" w:eastAsia="Times New Roman" w:hAnsi="Times New Roman"/>
                <w:sz w:val="23"/>
                <w:szCs w:val="23"/>
                <w:color w:val="auto"/>
                <w:vertAlign w:val="superscript"/>
              </w:rPr>
              <w:t>(2)</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Hallal</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Langer, Sc.D.</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McClellan, Ph.D.</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Terrance McGuire</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Singer</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jc w:val="both"/>
        <w:ind w:left="340" w:right="200" w:hanging="332"/>
        <w:spacing w:after="0" w:line="241" w:lineRule="auto"/>
        <w:tabs>
          <w:tab w:leader="none" w:pos="33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aggregate grant-date fair value of the award as computed as of the grant date of each option awarded in fiscal 2019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Friedman joined our board of directors in September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McClellan resigned from our board of directors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non-employee directors as of 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Unvested</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40" w:type="dxa"/>
            <w:vAlign w:val="bottom"/>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Catherine J. Friedman</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David Hallal</w:t>
            </w:r>
          </w:p>
        </w:tc>
        <w:tc>
          <w:tcPr>
            <w:tcW w:w="14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2/19/2018</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192,031</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left="574"/>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5/18/2018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125,235</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9/20/2017</w:t>
            </w: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119,792</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Robert Langer, Sc.D.</w:t>
            </w: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380" w:type="dxa"/>
            <w:vAlign w:val="bottom"/>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2/19/2018</w:t>
            </w: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47,598</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5/18/2018</w:t>
            </w:r>
          </w:p>
        </w:tc>
        <w:tc>
          <w:tcPr>
            <w:tcW w:w="100" w:type="dxa"/>
            <w:vAlign w:val="bottom"/>
          </w:tcPr>
          <w:p>
            <w:pPr>
              <w:spacing w:after="0"/>
              <w:rPr>
                <w:sz w:val="18"/>
                <w:szCs w:val="18"/>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222,639</w:t>
            </w: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634"/>
              <w:spacing w:after="0" w:line="176" w:lineRule="exact"/>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8"/>
                <w:szCs w:val="18"/>
                <w:color w:val="auto"/>
              </w:rPr>
            </w:pPr>
          </w:p>
        </w:tc>
        <w:tc>
          <w:tcPr>
            <w:tcW w:w="12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w w:val="98"/>
              </w:rPr>
              <w:t>5/17/2028</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McClellan, Ph.D.</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644,927</w:t>
            </w:r>
          </w:p>
        </w:tc>
        <w:tc>
          <w:tcPr>
            <w:tcW w:w="460" w:type="dxa"/>
            <w:vAlign w:val="bottom"/>
          </w:tcPr>
          <w:p>
            <w:pPr>
              <w:ind w:left="40"/>
              <w:spacing w:after="0" w:line="96"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9"/>
                <w:szCs w:val="19"/>
                <w:color w:val="auto"/>
              </w:rPr>
            </w:pPr>
          </w:p>
        </w:tc>
        <w:tc>
          <w:tcPr>
            <w:tcW w:w="108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6/26/2029</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Terrance McGuire</w:t>
            </w:r>
          </w:p>
        </w:tc>
        <w:tc>
          <w:tcPr>
            <w:tcW w:w="14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11/15/2017</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130,209</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left="574"/>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shd w:val="clear" w:color="auto" w:fill="CCEEFF"/>
          </w:tcPr>
          <w:p>
            <w:pPr>
              <w:spacing w:after="0"/>
              <w:rPr>
                <w:sz w:val="4"/>
                <w:szCs w:val="4"/>
                <w:color w:val="auto"/>
              </w:rPr>
            </w:pPr>
          </w:p>
        </w:tc>
        <w:tc>
          <w:tcPr>
            <w:tcW w:w="14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47,598</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2/19/2018</w:t>
            </w: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5/18/2018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222,639</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5/17/2028</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Singer</w:t>
            </w:r>
          </w:p>
        </w:tc>
        <w:tc>
          <w:tcPr>
            <w:tcW w:w="10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-1709420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-1263650</wp:posOffset>
            </wp:positionV>
            <wp:extent cx="7132320" cy="43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75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436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Friedman joined our board of directors in September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27 equal monthly installments beginning on January 23,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an early option exercise and vest in 27 equal monthly installments beginning on January 23,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23 equal monthly installments beginning on January 31,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25 equal monthly installments beginning on January 31, 2020, subject to continued service to the Company.</w:t>
      </w:r>
    </w:p>
    <w:p>
      <w:pPr>
        <w:spacing w:after="0" w:line="1" w:lineRule="exact"/>
        <w:rPr>
          <w:rFonts w:ascii="Times New Roman" w:cs="Times New Roman" w:eastAsia="Times New Roman" w:hAnsi="Times New Roman"/>
          <w:sz w:val="14"/>
          <w:szCs w:val="14"/>
          <w:color w:val="auto"/>
        </w:rPr>
      </w:pPr>
    </w:p>
    <w:p>
      <w:pPr>
        <w:ind w:left="340" w:right="220" w:hanging="332"/>
        <w:spacing w:after="0" w:line="241"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 subject to continued service to the Company.</w:t>
      </w: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McClellan resigned from our board of directors in September 2020, subject to continued service to the Company.</w:t>
      </w:r>
    </w:p>
    <w:p>
      <w:pPr>
        <w:spacing w:after="0" w:line="1" w:lineRule="exact"/>
        <w:rPr>
          <w:rFonts w:ascii="Times New Roman" w:cs="Times New Roman" w:eastAsia="Times New Roman" w:hAnsi="Times New Roman"/>
          <w:sz w:val="14"/>
          <w:szCs w:val="14"/>
          <w:color w:val="auto"/>
        </w:rPr>
      </w:pPr>
    </w:p>
    <w:p>
      <w:pPr>
        <w:ind w:left="340" w:right="280" w:hanging="332"/>
        <w:spacing w:after="0" w:line="241"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option are subject to an early exercise provision and are immediately exercisable. One-fourth of the shares underlying the option vested on March 6, 2020 and 1/48th of the shares vest monthly thereafter, subject to continued service to the Company.</w:t>
      </w:r>
    </w:p>
    <w:p>
      <w:pPr>
        <w:ind w:left="340" w:right="140" w:hanging="332"/>
        <w:spacing w:after="0" w:line="241"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held of record by Strong Bridge LLC (Strong Bridge) for which Mr. McGuire serves as an operating manager. The shares were acquired pursuant to a restricted stock award and vest in 25 equal monthly installments beginning on January 31, 2020, subject to Mr. McGuire’s continued service to the Company.</w:t>
      </w:r>
    </w:p>
    <w:p>
      <w:pPr>
        <w:ind w:left="340" w:right="180" w:hanging="332"/>
        <w:spacing w:after="0" w:line="241" w:lineRule="auto"/>
        <w:tabs>
          <w:tab w:leader="none" w:pos="337"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held of record by Strong Bridge LLC. The shares were acquired pursuant to an early exercise provision and vest in 25 equal monthly installments beginning on January 31, 2020, subject to Mr. McGuire’s continued service to the Company.</w:t>
      </w:r>
    </w:p>
    <w:p>
      <w:pPr>
        <w:ind w:left="340" w:right="580" w:hanging="332"/>
        <w:spacing w:after="0" w:line="258" w:lineRule="auto"/>
        <w:tabs>
          <w:tab w:leader="none" w:pos="331"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28" w:lineRule="exact"/>
        <w:rPr>
          <w:sz w:val="20"/>
          <w:szCs w:val="20"/>
          <w:color w:val="auto"/>
        </w:rPr>
      </w:pPr>
    </w:p>
    <w:p>
      <w:pPr>
        <w:ind w:right="180" w:firstLine="324"/>
        <w:spacing w:after="0" w:line="438" w:lineRule="auto"/>
        <w:rPr>
          <w:sz w:val="20"/>
          <w:szCs w:val="20"/>
          <w:color w:val="auto"/>
        </w:rPr>
      </w:pPr>
      <w:r>
        <w:rPr>
          <w:rFonts w:ascii="Times New Roman" w:cs="Times New Roman" w:eastAsia="Times New Roman" w:hAnsi="Times New Roman"/>
          <w:sz w:val="18"/>
          <w:szCs w:val="18"/>
          <w:color w:val="auto"/>
        </w:rPr>
        <w:t xml:space="preserve">Following the completion of this offering, we expect to implement an annual cash and equity compensation program for our non-employee directors. </w:t>
      </w:r>
      <w:r>
        <w:rPr>
          <w:rFonts w:ascii="Times New Roman" w:cs="Times New Roman" w:eastAsia="Times New Roman" w:hAnsi="Times New Roman"/>
          <w:sz w:val="18"/>
          <w:szCs w:val="18"/>
          <w:b w:val="1"/>
          <w:bCs w:val="1"/>
          <w:color w:val="auto"/>
        </w:rPr>
        <w:t>Outside Director Compensation Policy</w:t>
      </w:r>
    </w:p>
    <w:p>
      <w:pPr>
        <w:spacing w:after="0" w:line="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Prior to this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2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provided to our non-employee directors. Based on the discussions with and assistance from the compensation consultant, prior to the completion of this offering, our board of directors intends to adopt, and we expect our stockholders will approve, an Outside Director Compensation Policy that will provide for certain compensation to our non-employee directors on and after the effective date of the registration statement of which this prospectus forms a part. The below is a summary of the terms currently expected to be implemented under the Outside Director Compensation Policy, which are subject to change.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Outside Director Compensation Policy will provide for the following cash compensation program for our non-employee directors, effective upon the effective date of the registration statement of which this prospectus forms a part:</w:t>
      </w:r>
    </w:p>
    <w:p>
      <w:pPr>
        <w:spacing w:after="0" w:line="108"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per year for service as a non-employee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for service as lead independent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for service as chair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for service as a member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for service as chair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for service as a member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per year for service as chair of the corporate governance and nominating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for service as a member of the corporate governance and nominating committee.</w:t>
      </w:r>
    </w:p>
    <w:p>
      <w:pPr>
        <w:spacing w:after="0" w:line="17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 Compensation Policy, we also will reimburse our non-employee directors for reasonable travel expenses to attend meetings of our board of directors and its committees.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73"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Initial Award</w:t>
      </w:r>
      <w:r>
        <w:rPr>
          <w:rFonts w:ascii="Times New Roman" w:cs="Times New Roman" w:eastAsia="Times New Roman" w:hAnsi="Times New Roman"/>
          <w:sz w:val="17"/>
          <w:szCs w:val="17"/>
          <w:color w:val="auto"/>
        </w:rPr>
        <w:t>. Pursuant to our Outside Director Compensation Policy, each person who first becomes a non-employee director after the effective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such policy will receive, on the first trading day on or after the date that the person first becomes a non-employee director, an initial award of stock</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options to purchase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3" w:lineRule="exact"/>
        <w:rPr>
          <w:sz w:val="20"/>
          <w:szCs w:val="20"/>
          <w:color w:val="auto"/>
        </w:rPr>
      </w:pPr>
    </w:p>
    <w:p>
      <w:pPr>
        <w:ind w:right="20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Annual Award</w:t>
      </w:r>
      <w:r>
        <w:rPr>
          <w:rFonts w:ascii="Times New Roman" w:cs="Times New Roman" w:eastAsia="Times New Roman" w:hAnsi="Times New Roman"/>
          <w:sz w:val="17"/>
          <w:szCs w:val="17"/>
          <w:color w:val="auto"/>
        </w:rPr>
        <w:t>. Each non-employee director automatically will receive, on the first trading day immediately after the date of each annual meeting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stockholders (an Annual Meeting) that occurs following the effective date of our Outside Director Compensation Policy, an annual award of stock</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options to purchase shares of our common stock (the Annual Award), except if an individual began service as a non-employee director after the date of the Annual Meeting that occurred immediately prior to such Annual Meeting (or if there is no such prior Annual Meeting, then the effective date of the registration statement of the offering of which this prospectus forms a part), then the Annual Award granted to such non-employee director will be prorated based on the number of whole months that the individual served as a non-employee director prior to the Annual Award’s grant date during the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80"/>
          </w:cols>
          <w:pgMar w:left="320" w:top="1440" w:right="399" w:bottom="1440" w:gutter="0" w:footer="0" w:header="0"/>
        </w:sectPr>
      </w:pPr>
    </w:p>
    <w:bookmarkStart w:id="135" w:name="page136"/>
    <w:bookmarkEnd w:id="135"/>
    <w:p>
      <w:pPr>
        <w:spacing w:after="0" w:line="14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24"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IPO Awards. </w:t>
      </w:r>
      <w:r>
        <w:rPr>
          <w:rFonts w:ascii="Times New Roman" w:cs="Times New Roman" w:eastAsia="Times New Roman" w:hAnsi="Times New Roman"/>
          <w:sz w:val="18"/>
          <w:szCs w:val="18"/>
          <w:color w:val="auto"/>
        </w:rPr>
        <w:t>Effective as of the effective date of the registration statement of which this prospectus forms a part, each non-employee director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was granted any stock options covering shares of our common stock prior to such date will be granted an award of stock options to purchase</w:t>
      </w:r>
    </w:p>
    <w:p>
      <w:pPr>
        <w:ind w:left="420"/>
        <w:spacing w:after="0"/>
        <w:rPr>
          <w:sz w:val="20"/>
          <w:szCs w:val="20"/>
          <w:color w:val="auto"/>
        </w:rPr>
      </w:pPr>
      <w:r>
        <w:rPr>
          <w:rFonts w:ascii="Times New Roman" w:cs="Times New Roman" w:eastAsia="Times New Roman" w:hAnsi="Times New Roman"/>
          <w:sz w:val="18"/>
          <w:szCs w:val="18"/>
          <w:color w:val="auto"/>
        </w:rPr>
        <w:t>shares of our common stock (a Continuing Director IPO Award) and each non-employee director who, prior to such date, was not granted any stock</w:t>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options covering shares of our common stock will be granted an award of stock options to purchase shares of our common stock (a New Director IPO Award). Each New Director IPO Award will be scheduled to vest in equal installments as to 1/36th of the shares of our common stock subject to the New Director IPO Award on a monthly basis following the effective date of the registration statement of which this prospectus forms a part,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is granted or (ii) the day immediately before the date of the next Annual Meeting that occurs after the effective date of the registration statement of which this prospectus forms a part, subject to continued services to us through the applicable vesting date.</w:t>
      </w:r>
    </w:p>
    <w:p>
      <w:pPr>
        <w:spacing w:after="0" w:line="132"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our change in control, as defined in our 2020 Equity Incentive Plan, each non-employee director’s then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covering shares of our common stock that were granted to him or her while a non-employee director will accelerate vesting in full, provided that he or she remains a non-employee director through the date of our change in control.</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Other Award Terms</w:t>
      </w:r>
      <w:r>
        <w:rPr>
          <w:rFonts w:ascii="Times New Roman" w:cs="Times New Roman" w:eastAsia="Times New Roman" w:hAnsi="Times New Roman"/>
          <w:sz w:val="18"/>
          <w:szCs w:val="18"/>
          <w:color w:val="auto"/>
        </w:rPr>
        <w:t>. Each Initial Award, Annual Award, Continuing Director IPO Award, and New Director IPO Award will be granted under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Our Outside Director Compensation Policy will provide that in any fiscal year, a non-employee director may be paid</w:t>
      </w:r>
    </w:p>
    <w:p>
      <w:pPr>
        <w:spacing w:after="0" w:line="2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cash compensation and granted equity awards with an aggregate value of no more than $ (with the value of equity awards based on its grant date fair value determined in accordance with GAAP for purposes of this limit), with such limit increased to $ in the fiscal year of his or her initial service as a</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non-employee director. Equity awards granted or other compensation provided to a non-employee director for services provided as an employee or consultant (other than a non-employee director), or provided before the effective date of the registration statement of which this prospectus forms a part, will not count toward this annual limit.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 Participation</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http://seer.bio. We intend to disclose future amendments to such code, or any waivers of its requirements, applicable to any principal executive officer,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80"/>
          </w:cols>
          <w:pgMar w:left="320" w:top="1440" w:right="599" w:bottom="1440" w:gutter="0" w:footer="0" w:header="0"/>
        </w:sectPr>
      </w:pPr>
    </w:p>
    <w:bookmarkStart w:id="137" w:name="page138"/>
    <w:bookmarkEnd w:id="13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year ended December 31, 2019, which consist of our principal executive officer and our only other executive officer for that year, are:</w:t>
      </w:r>
    </w:p>
    <w:p>
      <w:pPr>
        <w:spacing w:after="0" w:line="108"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 M.D., our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Ma, Ph.D., our Chief Business Officer and former President.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named executive officers for the year ended December 31, 2019.</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Bonus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Awards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33" w:lineRule="exact"/>
        <w:rPr>
          <w:sz w:val="20"/>
          <w:szCs w:val="20"/>
          <w:color w:val="auto"/>
        </w:rPr>
      </w:pPr>
    </w:p>
    <w:p>
      <w:pPr>
        <w:sectPr>
          <w:pgSz w:w="11900" w:h="16838" w:orient="portrait"/>
          <w:cols w:equalWidth="0" w:num="9">
            <w:col w:w="2200" w:space="720"/>
            <w:col w:w="280" w:space="660"/>
            <w:col w:w="400" w:space="580"/>
            <w:col w:w="380" w:space="460"/>
            <w:col w:w="460" w:space="460"/>
            <w:col w:w="480" w:space="480"/>
            <w:col w:w="900" w:space="520"/>
            <w:col w:w="880" w:space="700"/>
            <w:col w:w="6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620" w:type="dxa"/>
            <w:vAlign w:val="bottom"/>
            <w:tcBorders>
              <w:top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Omid Farokhzad, M.D.</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421,011</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vMerge w:val="restart"/>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214,240</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751,123</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Philip Ma, Ph.D.</w:t>
            </w:r>
            <w:r>
              <w:rPr>
                <w:rFonts w:ascii="Times New Roman" w:cs="Times New Roman" w:eastAsia="Times New Roman" w:hAnsi="Times New Roman"/>
                <w:sz w:val="20"/>
                <w:szCs w:val="20"/>
                <w:color w:val="auto"/>
                <w:vertAlign w:val="superscript"/>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342,071</w:t>
            </w:r>
          </w:p>
        </w:tc>
        <w:tc>
          <w:tcPr>
            <w:tcW w:w="10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487,085</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 transitioned to PrognomIQ to serve as its full-time chief executive officer as of October 15, 2020. He will remain a consultant of the Company until April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each of our named executive officers as of 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Number of Shares or</w:t>
            </w:r>
          </w:p>
        </w:tc>
        <w:tc>
          <w:tcPr>
            <w:tcW w:w="14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Stock That Have Not</w:t>
            </w: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8"/>
                <w:szCs w:val="18"/>
                <w:b w:val="1"/>
                <w:bCs w:val="1"/>
                <w:color w:val="auto"/>
                <w:vertAlign w:val="superscript"/>
              </w:rPr>
              <w:t>(1)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of Stock That</w:t>
            </w:r>
          </w:p>
        </w:tc>
        <w:tc>
          <w:tcPr>
            <w:tcW w:w="1420" w:type="dxa"/>
            <w:vAlign w:val="bottom"/>
          </w:tcPr>
          <w:p>
            <w:pPr>
              <w:jc w:val="center"/>
              <w:spacing w:after="0" w:line="165"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0"/>
        </w:trPr>
        <w:tc>
          <w:tcPr>
            <w:tcW w:w="20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Omid Farokhzad, M.D.</w:t>
            </w:r>
          </w:p>
        </w:tc>
        <w:tc>
          <w:tcPr>
            <w:tcW w:w="120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9/20/2017</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787,500</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2/19/2018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6"/>
                <w:szCs w:val="16"/>
                <w:color w:val="auto"/>
              </w:rPr>
              <w:t>247,507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311,859</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5/18/2018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1,113,195</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5/17/2028</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Philip Ma, Ph.D.</w:t>
            </w: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9/20/2017</w:t>
            </w:r>
          </w:p>
        </w:tc>
        <w:tc>
          <w:tcPr>
            <w:tcW w:w="100" w:type="dxa"/>
            <w:vAlign w:val="bottom"/>
          </w:tcPr>
          <w:p>
            <w:pPr>
              <w:spacing w:after="0"/>
              <w:rPr>
                <w:sz w:val="16"/>
                <w:szCs w:val="16"/>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6"/>
                <w:szCs w:val="16"/>
                <w:color w:val="auto"/>
              </w:rPr>
              <w:t>187,500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236,250</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2/19/2018</w:t>
            </w:r>
          </w:p>
        </w:tc>
        <w:tc>
          <w:tcPr>
            <w:tcW w:w="10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6"/>
                <w:szCs w:val="16"/>
                <w:color w:val="auto"/>
              </w:rPr>
              <w:t>74,252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93,558</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5/18/2018</w:t>
            </w:r>
          </w:p>
        </w:tc>
        <w:tc>
          <w:tcPr>
            <w:tcW w:w="100" w:type="dxa"/>
            <w:vAlign w:val="bottom"/>
          </w:tcPr>
          <w:p>
            <w:pPr>
              <w:spacing w:after="0"/>
              <w:rPr>
                <w:sz w:val="19"/>
                <w:szCs w:val="19"/>
                <w:color w:val="auto"/>
              </w:rPr>
            </w:pPr>
          </w:p>
        </w:tc>
        <w:tc>
          <w:tcPr>
            <w:tcW w:w="1340" w:type="dxa"/>
            <w:vAlign w:val="bottom"/>
          </w:tcPr>
          <w:p>
            <w:pPr>
              <w:jc w:val="right"/>
              <w:ind w:right="327"/>
              <w:spacing w:after="0"/>
              <w:rPr>
                <w:sz w:val="20"/>
                <w:szCs w:val="20"/>
                <w:color w:val="auto"/>
              </w:rPr>
            </w:pPr>
            <w:r>
              <w:rPr>
                <w:rFonts w:ascii="Times New Roman" w:cs="Times New Roman" w:eastAsia="Times New Roman" w:hAnsi="Times New Roman"/>
                <w:sz w:val="16"/>
                <w:szCs w:val="16"/>
                <w:color w:val="auto"/>
              </w:rPr>
              <w:t>333,959</w:t>
            </w:r>
          </w:p>
        </w:tc>
        <w:tc>
          <w:tcPr>
            <w:tcW w:w="100" w:type="dxa"/>
            <w:vAlign w:val="bottom"/>
          </w:tcPr>
          <w:p>
            <w:pPr>
              <w:spacing w:after="0"/>
              <w:rPr>
                <w:sz w:val="19"/>
                <w:szCs w:val="19"/>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5/17/2028</w:t>
            </w:r>
          </w:p>
        </w:tc>
        <w:tc>
          <w:tcPr>
            <w:tcW w:w="100" w:type="dxa"/>
            <w:vAlign w:val="bottom"/>
          </w:tcPr>
          <w:p>
            <w:pPr>
              <w:spacing w:after="0"/>
              <w:rPr>
                <w:sz w:val="19"/>
                <w:szCs w:val="19"/>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outstanding equity awards was granted pursuant to our 2017 Plan.</w:t>
      </w:r>
    </w:p>
    <w:p>
      <w:pPr>
        <w:spacing w:after="0" w:line="1" w:lineRule="exact"/>
        <w:rPr>
          <w:rFonts w:ascii="Times New Roman" w:cs="Times New Roman" w:eastAsia="Times New Roman" w:hAnsi="Times New Roman"/>
          <w:sz w:val="14"/>
          <w:szCs w:val="14"/>
          <w:color w:val="auto"/>
        </w:rPr>
      </w:pPr>
    </w:p>
    <w:p>
      <w:pPr>
        <w:ind w:left="340" w:right="460" w:hanging="332"/>
        <w:spacing w:after="0" w:line="241"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fair market value of our common stock of $1.26 as of December 31, 2019 (the determination of the fair market value by our board of directors as of the most proximate date) multiplied by the amount shown in the column for the number of shares or units that have not vested.</w:t>
      </w:r>
    </w:p>
    <w:p>
      <w:pPr>
        <w:ind w:left="320" w:hanging="312"/>
        <w:spacing w:after="0"/>
        <w:tabs>
          <w:tab w:leader="none" w:pos="3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24 equal monthly installments beginning on January 20,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26 equal monthly installments beginning on January 31, 2020, subject to continued service to the Company.</w:t>
      </w:r>
    </w:p>
    <w:p>
      <w:pPr>
        <w:spacing w:after="0" w:line="1" w:lineRule="exact"/>
        <w:rPr>
          <w:rFonts w:ascii="Times New Roman" w:cs="Times New Roman" w:eastAsia="Times New Roman" w:hAnsi="Times New Roman"/>
          <w:sz w:val="14"/>
          <w:szCs w:val="14"/>
          <w:color w:val="auto"/>
        </w:rPr>
      </w:pPr>
    </w:p>
    <w:p>
      <w:pPr>
        <w:ind w:left="340" w:right="220" w:hanging="332"/>
        <w:spacing w:after="0" w:line="258"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our named executive officers has executed our standard form of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40" w:right="339" w:bottom="1440" w:gutter="0" w:footer="0" w:header="0"/>
          <w:type w:val="continuous"/>
        </w:sectPr>
      </w:pPr>
    </w:p>
    <w:bookmarkStart w:id="138" w:name="page139"/>
    <w:bookmarkEnd w:id="138"/>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Dr. Omid Farokhzad</w:t>
      </w:r>
    </w:p>
    <w:p>
      <w:pPr>
        <w:spacing w:after="0" w:line="175"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Prior to the completion of this offering, we intend to enter into a confirmatory employment letter with Dr. Farokhzad, our chief executive officer, which employment letter will be effective as of the day before the effective date of our registration statement of which this prospectus forms a part. The confirmatory employment letter will have no specific term and will provide that Dr. Farokhzad is an at-will employee. Dr. Farokhzad’s current annual base salary is $426,500 and he is eligible for an annual target cash incentive bonus for our fiscal year 2020 equal to 50% of his annual base salary. Provided Dr. Farokhzad remains employed by us through the effective date of this offering, his annual base salary will be immediately increased to $510,000 and his annual target cash incentive bonus for both 2020 and 2021 will be increased to 65% of his annual base salary. The employment letter will continue to provide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 in Control and Severance Agreement</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expect to enter into a change in control and severance agreement (the Severance Agreement) with Dr. Farokhzad, which Severance Agreement would provide for certain severance and change in control benefits as described below. The Severance Agreement will be effective as of the day before the effective date of our registration statement of which this prospectus forms a part.</w:t>
      </w:r>
    </w:p>
    <w:p>
      <w:pPr>
        <w:spacing w:after="0" w:line="12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If Dr. Farokhzad’s employment is terminated outside the period beginning on the date that is three months prior to the date of a change in control and ending on the date that is twelve months following such change in control (the Change in Control Period) either (1) by the Company without “cause” (excluding by reason of death or disability) or (2) by Dr. Farokhzad as a “good reason termination” (as such terms are defined in and the Severance Agreement), Dr. Farokhzad will receive the following benefits if he timely signs and does not revoke a release of claims in our favor:</w:t>
      </w:r>
    </w:p>
    <w:p>
      <w:pPr>
        <w:spacing w:after="0" w:line="126" w:lineRule="exact"/>
        <w:rPr>
          <w:sz w:val="20"/>
          <w:szCs w:val="20"/>
          <w:color w:val="auto"/>
        </w:rPr>
      </w:pPr>
    </w:p>
    <w:p>
      <w:pPr>
        <w:ind w:left="660" w:right="4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Farokhzad and his eligible dependents have qualifying health care at the time of such termination, then either reimbursements for or direct payments of payment of premiums for coverage under the Consolidated Omnibus Budget Reconciliation Act of 1985, as amended (COBRA), for Dr. Farokhzad and his eligible dependents, if any, for up to 12 months; and</w:t>
      </w:r>
    </w:p>
    <w:p>
      <w:pPr>
        <w:spacing w:after="0" w:line="121"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only, if greater, 100% acceleration of the number of shares that are otherwise scheduled to vest if Dr. Farokhzad remained employed by the Company (or any parent or subsidiary of the Company) through the one year anniversary of his termination.</w:t>
      </w:r>
    </w:p>
    <w:p>
      <w:pPr>
        <w:spacing w:after="0" w:line="13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If, during the Change in Control Period, Dr. Farokhzad’s employment with the Company is terminated either (1) by the Company without cause (excluding by reason of death or disability) or (2) by Dr. Farokhzad as a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termination, Dr. Farokhzad will receive the following benefits if he timely signs and does not revoke a separation agreement and release of claims in our favor:</w:t>
      </w:r>
    </w:p>
    <w:p>
      <w:pPr>
        <w:spacing w:after="0" w:line="108" w:lineRule="exact"/>
        <w:rPr>
          <w:sz w:val="20"/>
          <w:szCs w:val="20"/>
          <w:color w:val="auto"/>
        </w:rPr>
      </w:pPr>
    </w:p>
    <w:p>
      <w:pPr>
        <w:ind w:left="660" w:right="12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as in effect immediately prior to the reduction)(or, if higher, as in effect immediately before the change in control);</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equal to 150% of Dr. Farokhzad’s annualized target bonus as in effect for the performance period in which such termination occurs, or, if greater, as in effect for the performance period in which a change in control occurs;</w:t>
      </w:r>
    </w:p>
    <w:p>
      <w:pPr>
        <w:spacing w:after="0" w:line="107" w:lineRule="exact"/>
        <w:rPr>
          <w:rFonts w:ascii="Times New Roman" w:cs="Times New Roman" w:eastAsia="Times New Roman" w:hAnsi="Times New Roman"/>
          <w:sz w:val="18"/>
          <w:szCs w:val="18"/>
          <w:color w:val="auto"/>
        </w:rPr>
      </w:pPr>
    </w:p>
    <w:p>
      <w:pPr>
        <w:ind w:left="660" w:right="160" w:hanging="328"/>
        <w:spacing w:after="0" w:line="312" w:lineRule="auto"/>
        <w:tabs>
          <w:tab w:leader="none" w:pos="6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100% of the shares subject to Dr. Farokhzad’s outstanding time-based equity awards.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Dr. Farokhzad begins employment or enters into a consultant entity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the effective date of the registration statement of which this prospectus forms a part.</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continues to serve as executive chair of the Company with a base salary and target bonus opportunity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00"/>
          </w:cols>
          <w:pgMar w:left="320" w:top="1440" w:right="379" w:bottom="1440" w:gutter="0" w:footer="0" w:header="0"/>
        </w:sectPr>
      </w:pPr>
    </w:p>
    <w:bookmarkStart w:id="140" w:name="page141"/>
    <w:bookmarkEnd w:id="140"/>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servicing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Compensation Plan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intends to adopt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 The below is a summary of the terms currently expected to be implemented under the Executive Incentive Compensation Plan, which are subject to change.</w:t>
      </w:r>
    </w:p>
    <w:p>
      <w:pPr>
        <w:spacing w:after="0" w:line="133"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Under our Executive Incentive Compensation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4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and conditions, including vesting, as determined by the administrator. Payment of awards occurs as soon as administratively practicable after they are earned, but no later than the dates set forth in our Executive Incentive Compensation Plan.</w:t>
      </w:r>
    </w:p>
    <w:p>
      <w:pPr>
        <w:spacing w:after="0" w:line="10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3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intends to adopt, and we expect our stockholders will approve, our 2020 Equity Incentive Plan or, the 2020 Plan. We expect that the 2020 Plan will be effective on the business day immediately before the effective date of our registration statement of which this prospectus forms a part. Our 2020 Plan will provide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currently expected to be implemented, which are subject to change.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total of shares of our Class A common stock will be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is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have been reserved but not issued pursuant to awards granted under each Prior Plan and are not subject to any awards under</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each Prior Plan (provided that the maximum number of shares that may be added to the 2020 Plan pursuant to this sentence is shares). The number of shares available for issuance under our 2020 Plan also will include an annual increase, or the evergreen feature, on the first day of each of our fiscal years, beginning with our fiscal year 2021, equal to the least of:</w:t>
      </w:r>
    </w:p>
    <w:p>
      <w:pPr>
        <w:sectPr>
          <w:pgSz w:w="11900" w:h="16838" w:orient="portrait"/>
          <w:cols w:equalWidth="0" w:num="1">
            <w:col w:w="11240"/>
          </w:cols>
          <w:pgMar w:left="320" w:top="1440" w:right="339" w:bottom="1440" w:gutter="0" w:footer="0" w:header="0"/>
        </w:sectPr>
      </w:pP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71" w:lineRule="exact"/>
        <w:rPr>
          <w:sz w:val="20"/>
          <w:szCs w:val="20"/>
          <w:color w:val="auto"/>
        </w:rPr>
      </w:pPr>
    </w:p>
    <w:p>
      <w:pPr>
        <w:sectPr>
          <w:pgSz w:w="11900" w:h="16838" w:orient="portrait"/>
          <w:cols w:equalWidth="0" w:num="2">
            <w:col w:w="660" w:space="720"/>
            <w:col w:w="986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82" w:lineRule="auto"/>
        <w:rPr>
          <w:sz w:val="20"/>
          <w:szCs w:val="20"/>
          <w:color w:val="auto"/>
        </w:rPr>
      </w:pPr>
      <w:r>
        <w:rPr>
          <w:rFonts w:ascii="Times New Roman" w:cs="Times New Roman" w:eastAsia="Times New Roman" w:hAnsi="Times New Roman"/>
          <w:sz w:val="18"/>
          <w:szCs w:val="18"/>
          <w:color w:val="auto"/>
        </w:rPr>
        <w:t>a number of shares equal to fiscal year; or</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Times New Roman" w:cs="Times New Roman" w:eastAsia="Times New Roman" w:hAnsi="Times New Roman"/>
          <w:sz w:val="18"/>
          <w:szCs w:val="18"/>
          <w:color w:val="auto"/>
        </w:rPr>
        <w:t>% of the outstanding shares of all classes of our common stock as of the last day of the immediately preceding</w:t>
      </w:r>
    </w:p>
    <w:p>
      <w:pPr>
        <w:spacing w:after="0" w:line="387" w:lineRule="exact"/>
        <w:rPr>
          <w:sz w:val="20"/>
          <w:szCs w:val="20"/>
          <w:color w:val="auto"/>
        </w:rPr>
      </w:pPr>
    </w:p>
    <w:p>
      <w:pPr>
        <w:sectPr>
          <w:pgSz w:w="11900" w:h="16838" w:orient="portrait"/>
          <w:cols w:equalWidth="0" w:num="3">
            <w:col w:w="400" w:space="260"/>
            <w:col w:w="1980" w:space="300"/>
            <w:col w:w="8300"/>
          </w:cols>
          <w:pgMar w:left="320" w:top="1440" w:right="339" w:bottom="1440" w:gutter="0" w:footer="0" w:header="0"/>
          <w:type w:val="continuous"/>
        </w:sectPr>
      </w:pPr>
    </w:p>
    <w:p>
      <w:pPr>
        <w:ind w:left="660" w:right="4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as our board of directors or its designated committee may determine no later than the last day of our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type w:val="continuous"/>
        </w:sectPr>
      </w:pPr>
    </w:p>
    <w:bookmarkStart w:id="142" w:name="page143"/>
    <w:bookmarkEnd w:id="142"/>
    <w:p>
      <w:pPr>
        <w:spacing w:after="0" w:line="14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will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termination of service, except that in the event a participant’s service is terminated by the Company for Cause (as defined in our 2020 Plan), the option will terminate immediately. An option, however, may not be exercised later than the expiration of its term. Subject to the provisions of our 2020 Plan, the administrator determines the terms of options.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our 2020 Plan. Restricted stock awards (RSAs) are grants of shares of our Class A common stock that may have vesting requirements under any such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7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73"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All outside (non-employee) directors will be eligible to receive all types of awards (except for incentive stock options) under our 2020 Plan. Prior to the completion of this offering, we intend to implement a formal Outside Director Compensation Policy pursuant to which our outside directors will be eligible to receive equity awards under our 2020 Plan. Our 2020 Plan will provide that in any given fiscal year, no outside director may be granted awards (the value of which will be based on their grant date fair value) under our 2020 Plan and be provided any other compensation (including without limitation</w:t>
      </w:r>
    </w:p>
    <w:p>
      <w:pPr>
        <w:spacing w:after="0" w:line="3"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color w:val="auto"/>
        </w:rPr>
        <w:t>any cash retainers and fees) that in the aggregate exceed $</w:t>
      </w:r>
      <w:r>
        <w:rPr>
          <w:sz w:val="20"/>
          <w:szCs w:val="20"/>
          <w:color w:val="auto"/>
        </w:rPr>
        <w:tab/>
      </w:r>
      <w:r>
        <w:rPr>
          <w:rFonts w:ascii="Times New Roman" w:cs="Times New Roman" w:eastAsia="Times New Roman" w:hAnsi="Times New Roman"/>
          <w:sz w:val="17"/>
          <w:szCs w:val="17"/>
          <w:color w:val="auto"/>
        </w:rPr>
        <w:t>, provided that in the fiscal year of the individual’s initial service as a non-employee</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director, such amount is increased to $ .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before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a successor corporation or its parent or subsidiary does not assume or substitute an equivalent award for any outstanding award (or a portion of such award), then such award (or its applicable portion) will fully vest,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7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RSU Equity Incentive Plan</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2020 RSU Equity Incentive Plan, or RSU Plan, was adopted by our board of directors in April 2020, and was most recently amended and restated in July 2020, and we expect the RSU Plan to be further amended and restated before the effectiveness of the registration statement of which this prospectus forms a part. Our stockholders last approved our 2020 Plan in August 2020. It is expected that as of one business day before the effectiveness of the registration statement of which this prospectus forms a part, our RSU Plan will be terminated and we will not grant any additional awards under our RSU Plan thereafter. However, our RSU Plan will continue to govern the terms and conditions of the outstanding awards previously granted under our RSU Plan. The below is a summary of the terms currently expected to be implemented under the upcoming amendment and restatement of the RSU Plan, which are subject to change.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RSU Plan allows us to grant restricted stock units to employees, directors, officers and consultants of ours and any parent or subsidiary of ours.</w:t>
      </w:r>
    </w:p>
    <w:p>
      <w:pPr>
        <w:spacing w:after="0" w:line="17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an aggregate of 717,319 shares of our Class A common stock is reserved for issuance under our RSU Plan. As of September 30, 2020, restricted stock unit awards covering an aggregate of 717,319 shares of our Class A common stock were outstanding under our RSU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00"/>
          </w:cols>
          <w:pgMar w:left="320" w:top="1440" w:right="379" w:bottom="1440" w:gutter="0" w:footer="0" w:header="0"/>
        </w:sectPr>
      </w:pPr>
    </w:p>
    <w:bookmarkStart w:id="146" w:name="page147"/>
    <w:bookmarkEnd w:id="146"/>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may be granted, determine the number of shares covered by each award, approve forms of award agreements for use under the RSU Plan, determine the terms and conditions of awards, construe and interpret the terms of our RSU Plan and awards granted under it, prescribe, amend and rescind rules 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Restricted stock units may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may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amend, suspend or terminate our RSU Plan, provided such action does not materially impair the rights of any participant unless mutually agreed otherwise. Unless sooner terminated by our board of directors, the RSU Plan will continue in effect for a term of ten</w:t>
      </w:r>
    </w:p>
    <w:p>
      <w:pPr>
        <w:ind w:right="40" w:firstLine="8"/>
        <w:spacing w:after="0" w:line="253" w:lineRule="auto"/>
        <w:tabs>
          <w:tab w:leader="none" w:pos="3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later of (a) the effective date of the RSU Plan in April 2020, or (b) the earlier of the most recent board of directors or stockholder approval of an increase in the number of shares reserved for issuance under the RSU Plan. As noted above, it is expected that as of one business day before the effectiveness of the registration statement of which this prospectus forms a part, our RSU Plan will be terminated and we will not grant any additional awards under our RSU Plan thereafter.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Stock Incentive Plan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2017 Stock Incentive Plan, or 2017 Plan, originally was adopted by our board of directors in September 2017 and was most recently amended and restated in May 2020, and we expect the 2017 Plan to be further amended and restated before the effectiveness of the registration statement of which this prospectus forms a part. Our stockholders last approved our 2017 Plan in May 2020. It is expected that as of one business day before the effectiveness of the registration statement of which this prospectus forms a part, our 2017 Plan will be terminated and we will not grant any additional awards under our 2017 Plan thereafter. However, our 2017 Plan will continue to govern the terms and conditions of the outstanding awards previously granted under our 2017 Plan. The below is a summary of the terms currently expected to be implemented under the upcoming amendment and restatement of the 2017 Plan, which are subject to change.</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2017 Plan allows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4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an aggregate of 25,283,351 shares of our Class A common stock, is reserved for issuance under our 2017 Plan. As of September 30, 2020, awards outstanding under our 2017 Plan consisted of stock options to purchase an aggregate of 16,164,706 shares of our Class A common stock and no RSAs .</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authorize the issuance of restricted stock grant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 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Employees, officers, directors and consultants or advisors of ours or our parent or subsidiary companies are eligible to receive awards. Only our employees or employees of our parent or subsidiary companies are eligible to receive incentive stock options.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our outstanding stock,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our board of directors.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Stock Options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reserved for issuance under the 2017 Plan, the number and kind of shares or other securities subject to any then outstanding stock options, and the price of shares covered by each outstanding stock option. Except as 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Transactions</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Class A common stock subject to outstanding vested stock options,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our board of directors with the participant. The award (or its applicable portion) will then terminate upon the expiration of the specified period of time. If an option (or portion of such option) is not assumed or substituted, our board of directors will notify the participant that such option will be exercisable for a period of time determined by our board of directors in its sole discretion and the option will terminate upon the expiration of such period.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7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may amend or terminate our 2017 Plan at any time. Amendments to our 2017 Plan not requiring shareholder approval will become effective when adopted by our board of directors. Amendments requiring shareholder approval will become effective when adopted by our board of directors, but if shareholder approval is not obtained within twelve months of such adoption, any incentive stock options granted pursuant to such amendment will be deemed to be non-statutory options, provided that such stock options are authorized by our 2017 Plan. Unless sooner terminated by action of our board of directors, the 2017 Plan will terminate upon the close of business on the day next preceding the tenth anniversary of the date of its adoption by our board of directors. As noted above, it is expected that as of one business day before the effectiveness of the registration statement of which this prospectus forms a part, our 2017 Plan will be terminated and we will not grant any additional awards under our 2017 Plan thereafter.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we expect that our board of directors will adopt, and our stockholders will approve, our 2020 Employee Stock Purchase Plan (the ESPP). Our ESPP will be effective upon the later of its adoption by our board of directors or one business day immediately before the effective date of the registration statement of which this prospectus forms a part. The below is a summary of the terms currently expected to be implemented under the ESPP, which are subject to change.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total of shares of our Class A common stock will be available for issuance under our ESPP. In addition, our ESPP will provide for annual increases in the number of shares of our Class A common stock available for issuance under our ESPP on the first day of each of our fiscal years beginning with our fiscal year 2021, in an amount equal to the least of:</w:t>
      </w:r>
    </w:p>
    <w:p>
      <w:pPr>
        <w:sectPr>
          <w:pgSz w:w="11900" w:h="16838" w:orient="portrait"/>
          <w:cols w:equalWidth="0" w:num="1">
            <w:col w:w="11240"/>
          </w:cols>
          <w:pgMar w:left="320" w:top="1440" w:right="339" w:bottom="1440" w:gutter="0" w:footer="0" w:header="0"/>
        </w:sectPr>
      </w:pP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71" w:lineRule="exact"/>
        <w:rPr>
          <w:sz w:val="20"/>
          <w:szCs w:val="20"/>
          <w:color w:val="auto"/>
        </w:rPr>
      </w:pPr>
    </w:p>
    <w:p>
      <w:pPr>
        <w:sectPr>
          <w:pgSz w:w="11900" w:h="16838" w:orient="portrait"/>
          <w:cols w:equalWidth="0" w:num="2">
            <w:col w:w="480" w:space="720"/>
            <w:col w:w="1004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82" w:lineRule="auto"/>
        <w:rPr>
          <w:sz w:val="20"/>
          <w:szCs w:val="20"/>
          <w:color w:val="auto"/>
        </w:rPr>
      </w:pPr>
      <w:r>
        <w:rPr>
          <w:rFonts w:ascii="Times New Roman" w:cs="Times New Roman" w:eastAsia="Times New Roman" w:hAnsi="Times New Roman"/>
          <w:sz w:val="18"/>
          <w:szCs w:val="18"/>
          <w:color w:val="auto"/>
        </w:rPr>
        <w:t>a number of shares equal to fiscal year;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of the outstanding shares of all classes of our common stock on the last day of our immediately preceding</w:t>
      </w:r>
    </w:p>
    <w:p>
      <w:pPr>
        <w:spacing w:after="0" w:line="398" w:lineRule="exact"/>
        <w:rPr>
          <w:sz w:val="20"/>
          <w:szCs w:val="20"/>
          <w:color w:val="auto"/>
        </w:rPr>
      </w:pPr>
    </w:p>
    <w:p>
      <w:pPr>
        <w:sectPr>
          <w:pgSz w:w="11900" w:h="16838" w:orient="portrait"/>
          <w:cols w:equalWidth="0" w:num="3">
            <w:col w:w="400" w:space="260"/>
            <w:col w:w="1980" w:space="580"/>
            <w:col w:w="8020"/>
          </w:cols>
          <w:pgMar w:left="320" w:top="1440" w:right="339" w:bottom="1440" w:gutter="0" w:footer="0" w:header="0"/>
          <w:type w:val="continuous"/>
        </w:sectPr>
      </w:pPr>
    </w:p>
    <w:p>
      <w:pPr>
        <w:ind w:left="340" w:right="440" w:hanging="8"/>
        <w:spacing w:after="0" w:line="437" w:lineRule="auto"/>
        <w:tabs>
          <w:tab w:leader="none" w:pos="6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or a committee appointed by our board of directors may administer the ESPP. We expect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type w:val="continuous"/>
        </w:sectPr>
      </w:pPr>
    </w:p>
    <w:bookmarkStart w:id="151" w:name="page152"/>
    <w:bookmarkEnd w:id="151"/>
    <w:p>
      <w:pPr>
        <w:spacing w:after="0" w:line="140"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nationals or employed outside the U.S. The administrator’s findings, decisions, and determinations are final and binding on all participants to the maximum extent permitted by law.</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3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73" w:lineRule="exact"/>
        <w:rPr>
          <w:sz w:val="20"/>
          <w:szCs w:val="20"/>
          <w:color w:val="auto"/>
        </w:rPr>
      </w:pPr>
    </w:p>
    <w:p>
      <w:pPr>
        <w:ind w:right="60" w:firstLine="324"/>
        <w:spacing w:after="0" w:line="218" w:lineRule="exact"/>
        <w:rPr>
          <w:sz w:val="20"/>
          <w:szCs w:val="20"/>
          <w:color w:val="auto"/>
        </w:rPr>
      </w:pPr>
      <w:r>
        <w:rPr>
          <w:rFonts w:ascii="Times New Roman" w:cs="Times New Roman" w:eastAsia="Times New Roman" w:hAnsi="Times New Roman"/>
          <w:sz w:val="18"/>
          <w:szCs w:val="18"/>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 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7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Purchase Right</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2,500 shares during each offering period.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73"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the contributions credited to his or her ESPP account or rights granted under our ESPP, other than by will or the laws of descent and distribution.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ESPP provides that if any dividend or other distribution (whether in the form of cash, our common stock, other securities, or other property), recapitalization, stock split, reverse stock split, reorganization, merger, 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of which this prospectus forms a part, unless we terminate it earlier.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earnings on those pre-tax contributions are not taxable to the employees until distributed from the 401(k) plan, and earnings on Roth contributions are not taxable when distributed from the 401(k) plan.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Rule 10b5-1 Plan Sales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1440" w:right="479" w:bottom="1440" w:gutter="0" w:footer="0" w:header="0"/>
        </w:sectPr>
      </w:pPr>
    </w:p>
    <w:bookmarkStart w:id="154" w:name="page155"/>
    <w:bookmarkEnd w:id="15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122"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PrognomIQ Transaction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non-exclusively licensed our patents and patent applications to PrognomIQ for use in the field of human diagnostics. Pursuant to our agreement with PrognomIQ, we also assigned a patent application related to lung cancer biomarkers to PrognomIQ. As part of the agreement, we also intend to grant PrognomIQ a sublicense to use the BWH patents and patent applications. We will also be providing general transition services and support, including laboratory and office space to PrognomIQ pursuant to a transition services agreement during the transition period.</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12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shares distributed and equity awards granted in connection with the PrognomIQ transaction to our directors, executive officers and 5% stockholders.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78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Class A Common Shares</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Class B Common Shares</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Preferred Shares</w:t>
            </w:r>
          </w:p>
        </w:tc>
      </w:tr>
      <w:tr>
        <w:trPr>
          <w:trHeight w:val="23"/>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Hallal</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5,326,807</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10,772,174</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Fidelity</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6,666,666</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11,396,607</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T. Rowe Price</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5,169,230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10,808,953</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 M.D. and affiliated entities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5,918,990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17,545,007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Ma, Ph.D. and affiliated entity</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2,152,360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Langer, Sc.D.</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440,480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Terrance McGuire and affiliated entity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110,120</w:t>
            </w:r>
          </w:p>
        </w:tc>
      </w:tr>
      <w:tr>
        <w:trPr>
          <w:trHeight w:val="27"/>
        </w:trPr>
        <w:tc>
          <w:tcPr>
            <w:tcW w:w="52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 Financings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D-1 Convertible Preferred Stock Transaction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2020, we issued and sold an aggregate of 14,666,662 shares of our Series D-1 convertible preferred stock at a purchase price of $3.75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540" w:type="dxa"/>
            <w:vAlign w:val="bottom"/>
            <w:gridSpan w:val="2"/>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Series D-1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40" w:type="dxa"/>
            <w:vAlign w:val="bottom"/>
            <w:gridSpan w:val="2"/>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6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1,399,999</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aMoon Fund</w:t>
            </w:r>
            <w:r>
              <w:rPr>
                <w:rFonts w:ascii="Times New Roman" w:cs="Times New Roman" w:eastAsia="Times New Roman" w:hAnsi="Times New Roman"/>
                <w:sz w:val="23"/>
                <w:szCs w:val="23"/>
                <w:color w:val="auto"/>
                <w:vertAlign w:val="superscript"/>
              </w:rPr>
              <w:t>(1)</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2,933,333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10,999,999</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3"/>
                <w:szCs w:val="23"/>
                <w:color w:val="auto"/>
                <w:vertAlign w:val="superscript"/>
              </w:rPr>
              <w:t>(2)</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6,666,666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24,999,998</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(3)</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T. Rowe Price</w:t>
            </w:r>
            <w:r>
              <w:rPr>
                <w:rFonts w:ascii="Times New Roman" w:cs="Times New Roman" w:eastAsia="Times New Roman" w:hAnsi="Times New Roman"/>
                <w:sz w:val="23"/>
                <w:szCs w:val="23"/>
                <w:color w:val="auto"/>
                <w:vertAlign w:val="superscript"/>
              </w:rPr>
              <w:t>(4)</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w:t>
            </w:r>
          </w:p>
        </w:tc>
      </w:tr>
      <w:tr>
        <w:trPr>
          <w:trHeight w:val="182"/>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ind w:left="340" w:hanging="332"/>
        <w:spacing w:after="0" w:line="241" w:lineRule="auto"/>
        <w:tabs>
          <w:tab w:leader="none" w:pos="33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Times New Roman" w:cs="Times New Roman" w:eastAsia="Times New Roman" w:hAnsi="Times New Roman"/>
          <w:sz w:val="14"/>
          <w:szCs w:val="14"/>
          <w:color w:val="auto"/>
        </w:rPr>
      </w:pPr>
    </w:p>
    <w:p>
      <w:pPr>
        <w:ind w:left="340" w:right="540" w:hanging="332"/>
        <w:spacing w:after="0" w:line="241" w:lineRule="auto"/>
        <w:tabs>
          <w:tab w:leader="none" w:pos="33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8" w:lineRule="auto"/>
        <w:tabs>
          <w:tab w:leader="none" w:pos="33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D Convertible Preferred Stock Transaction</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November 2019 and December 2019, we issued and sold an aggregate of 16,923,077 shares of our Series D convertible preferred stock shares at a purchase price of $3.25 per share for an aggregate purchase price of approximately $55.0 million. Purchasers of our Series D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Series D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3,684,652</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aMoon Fund</w:t>
            </w:r>
            <w:r>
              <w:rPr>
                <w:rFonts w:ascii="Times New Roman" w:cs="Times New Roman" w:eastAsia="Times New Roman" w:hAnsi="Times New Roman"/>
                <w:sz w:val="23"/>
                <w:szCs w:val="23"/>
                <w:color w:val="auto"/>
                <w:vertAlign w:val="superscript"/>
              </w:rPr>
              <w:t>(1)</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7,838,841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25,476,233</w:t>
            </w:r>
          </w:p>
        </w:tc>
      </w:tr>
      <w:tr>
        <w:trPr>
          <w:trHeight w:val="2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(2)</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3,515,486</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T. Rowe Price</w:t>
            </w:r>
            <w:r>
              <w:rPr>
                <w:rFonts w:ascii="Times New Roman" w:cs="Times New Roman" w:eastAsia="Times New Roman" w:hAnsi="Times New Roman"/>
                <w:sz w:val="23"/>
                <w:szCs w:val="23"/>
                <w:color w:val="auto"/>
                <w:vertAlign w:val="superscript"/>
              </w:rPr>
              <w:t>(3)</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2,769,230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8,999,998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3,299,998</w:t>
            </w:r>
          </w:p>
        </w:tc>
      </w:tr>
      <w:tr>
        <w:trPr>
          <w:trHeight w:val="155"/>
        </w:trPr>
        <w:tc>
          <w:tcPr>
            <w:tcW w:w="6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8" w:lineRule="auto"/>
        <w:tabs>
          <w:tab w:leader="none" w:pos="33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C Convertible Preferred Stock Transaction</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March and April 2019, we issued and sold an aggregate of 7,000,000 shares of our Series C convertible preferred stock at a purchase price of $2.50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440" w:right="339" w:bottom="1440" w:gutter="0" w:footer="0" w:header="0"/>
        </w:sect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C Convertible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p>
      <w:pPr>
        <w:spacing w:after="0" w:line="33" w:lineRule="exact"/>
        <w:rPr>
          <w:sz w:val="20"/>
          <w:szCs w:val="20"/>
          <w:color w:val="auto"/>
        </w:rPr>
      </w:pPr>
    </w:p>
    <w:p>
      <w:pPr>
        <w:sectPr>
          <w:pgSz w:w="11900" w:h="16838" w:orient="portrait"/>
          <w:cols w:equalWidth="0" w:num="3">
            <w:col w:w="7440" w:space="720"/>
            <w:col w:w="1280" w:space="380"/>
            <w:col w:w="14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r>
      <w:tr>
        <w:trPr>
          <w:trHeight w:val="229"/>
        </w:trPr>
        <w:tc>
          <w:tcPr>
            <w:tcW w:w="6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(1)</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155"/>
        </w:trPr>
        <w:tc>
          <w:tcPr>
            <w:tcW w:w="6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right="540" w:hanging="332"/>
        <w:spacing w:after="0" w:line="258" w:lineRule="auto"/>
        <w:tabs>
          <w:tab w:leader="none" w:pos="33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Transaction</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March 2018, we issued and sold an aggregate of 16,920,470 shares of Series B convertible preferred stock at a purchase price of $1.773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440" w:right="339" w:bottom="1440" w:gutter="0" w:footer="0" w:header="0"/>
          <w:type w:val="continuous"/>
        </w:sect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B Convertible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p>
      <w:pPr>
        <w:spacing w:after="0" w:line="33" w:lineRule="exact"/>
        <w:rPr>
          <w:sz w:val="20"/>
          <w:szCs w:val="20"/>
          <w:color w:val="auto"/>
        </w:rPr>
      </w:pPr>
    </w:p>
    <w:p>
      <w:pPr>
        <w:sectPr>
          <w:pgSz w:w="11900" w:h="16838" w:orient="portrait"/>
          <w:cols w:equalWidth="0" w:num="3">
            <w:col w:w="7440" w:space="720"/>
            <w:col w:w="1260" w:space="400"/>
            <w:col w:w="14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3,299,735</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5,850,430</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(1)</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4,230,118</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7,499,999</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14,999,998</w:t>
            </w:r>
          </w:p>
        </w:tc>
      </w:tr>
      <w:tr>
        <w:trPr>
          <w:trHeight w:val="155"/>
        </w:trPr>
        <w:tc>
          <w:tcPr>
            <w:tcW w:w="6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340" w:right="540" w:hanging="332"/>
        <w:spacing w:after="0" w:line="258" w:lineRule="auto"/>
        <w:tabs>
          <w:tab w:leader="none" w:pos="33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Transaction</w:t>
      </w:r>
    </w:p>
    <w:p>
      <w:pPr>
        <w:spacing w:after="0" w:line="1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December 2017, we issued and sold an aggregate of 6,607,201 shares of our Series A convertible preferred stock at a purchase price of $0.9081 per share for an aggregate purchase price of approximately $6.0 million. Purchasers of our Series A convertible preferred stock included certain of our officers and directors. The following table presents the number of shares and the total purchase price paid by these persons.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Dynamics Group LLC</w:t>
            </w:r>
            <w:r>
              <w:rPr>
                <w:rFonts w:ascii="Times New Roman" w:cs="Times New Roman" w:eastAsia="Times New Roman" w:hAnsi="Times New Roman"/>
                <w:sz w:val="23"/>
                <w:szCs w:val="23"/>
                <w:color w:val="auto"/>
                <w:vertAlign w:val="superscript"/>
              </w:rPr>
              <w:t>(1)</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(2)</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4,404,801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Philip Ma, Ph.D.</w:t>
            </w:r>
            <w:r>
              <w:rPr>
                <w:rFonts w:ascii="Times New Roman" w:cs="Times New Roman" w:eastAsia="Times New Roman" w:hAnsi="Times New Roman"/>
                <w:sz w:val="23"/>
                <w:szCs w:val="23"/>
                <w:color w:val="auto"/>
                <w:vertAlign w:val="superscript"/>
              </w:rPr>
              <w:t>(3)</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3"/>
                <w:szCs w:val="23"/>
                <w:color w:val="auto"/>
                <w:vertAlign w:val="superscript"/>
              </w:rPr>
              <w:t>(4)</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Strong Bridge LLC</w:t>
            </w:r>
            <w:r>
              <w:rPr>
                <w:rFonts w:ascii="Times New Roman" w:cs="Times New Roman" w:eastAsia="Times New Roman" w:hAnsi="Times New Roman"/>
                <w:sz w:val="23"/>
                <w:szCs w:val="23"/>
                <w:color w:val="auto"/>
                <w:vertAlign w:val="superscript"/>
              </w:rPr>
              <w:t>(5)</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155"/>
        </w:trPr>
        <w:tc>
          <w:tcPr>
            <w:tcW w:w="6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20" w:hanging="312"/>
        <w:spacing w:after="0"/>
        <w:tabs>
          <w:tab w:leader="none" w:pos="3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Omid Farokhzad, M.D., is our Chief Executive Officer and the chair of our board of directors and is the sole member of Dynamics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35" w:lineRule="exact"/>
        <w:rPr>
          <w:sz w:val="20"/>
          <w:szCs w:val="20"/>
          <w:color w:val="auto"/>
        </w:rPr>
      </w:pPr>
    </w:p>
    <w:p>
      <w:pPr>
        <w:ind w:left="340" w:right="520" w:hanging="332"/>
        <w:spacing w:after="0" w:line="253" w:lineRule="auto"/>
        <w:tabs>
          <w:tab w:leader="none" w:pos="33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20" w:hanging="312"/>
        <w:spacing w:after="0"/>
        <w:tabs>
          <w:tab w:leader="none" w:pos="3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Philip Ma, Ph.D. is a founder, and, at the time of purchase, was the President and Chief Business Officer of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Langer, Sc.D. is a member of our board of directors.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Terrance McGuire is a member of our board of directors and is an operating manager of Strong Bridge LLC.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dated as of May 12, 2020 (IRA), which provides, among other things, that certain holders of our capital stock have the right to demand that we file a registration statement or request that their shares of our capital stock be covered by a registration statement that we are otherwise filing. David Singer, a member of our board of directors, is affiliated with Maverick Capital Ventures, LLC, which is a party to the IRA. See the section titled “Description of Capital Stock—Registration Rights” for additional information regarding these registration rights.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certain of our bylaws, equity compensation plans and certain agreements with our stockholders, including an amended and restated right of first refusal and co-sale agreement, dated as of May 12, 2020, we or our assignees have a right to purchase shares of our capital stock which stockholders propose to sell to other parties. This right will terminate upon completion of this offering. David Singer, a member of our board of directors, is affiliated with Maverick Capital Ventures, LLC, which is a party to the right of first refusal and co-sale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party to a voting agreement, dated as of May 12, 2020, under which certain holders of our capital stock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David Singer, a member of our board of directors, is affiliated with Maverick Capital Ventures, LLC, which is a party to the voting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75"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86"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Transactions,” since January 1, 2017,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26"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40" w:lineRule="exact"/>
        <w:rPr>
          <w:sz w:val="20"/>
          <w:szCs w:val="20"/>
          <w:color w:val="auto"/>
        </w:rPr>
      </w:pPr>
    </w:p>
    <w:p>
      <w:pPr>
        <w:ind w:left="660" w:right="2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7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3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will provide for indemnification by the underwriters of us and our officers and directors for certain liabilities arising under the Securities 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September 30, 2020, and as adjusted to reflect the sale of our Class A common stock in this offering assuming no exercise of the underwriters’ option to purchase additional shares of our Class A common stock, for:</w:t>
      </w:r>
    </w:p>
    <w:p>
      <w:pPr>
        <w:spacing w:after="0" w:line="122"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shares of each of our Class A common stock and Class B common stock.</w:t>
      </w:r>
    </w:p>
    <w:p>
      <w:pPr>
        <w:spacing w:after="0" w:line="10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prior to this offering on 7,054,694 shares of our Class A common stock and 20,000,000 shares of our Class B common stock outstanding as of September 30, 2020, and 62,117,410 shares of our Class A common stock resulting from the automatic conversion of all outstanding shares of our convertible preferred stock into our Class A common stock immediately prior to the completion of this offering, as if this conversion had occurred as of September 30, 2020. We have based our calculation of the percentage of beneficial ownership after this offering on shares of our Class A common stock issued by us in our initial public offering and 20,000,000 shares of Class B common stock outstanding immediately after the completion of this offering, assuming that the underwriters will not exercise their option to purchase up to an additional</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shares of our Class A common stock from us in full. We have deemed shares of our Class A common stock subject to stock options that are currently exercisable or exercisable within 60 days of September 30, 2020, or issuable pursuant to RSAs which are subject to vesting and settlement conditions expected to occur within 60 days of September 30,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3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Shares Beneficially Owned</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 of Total Voting</w:t>
            </w: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of Total Voting</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Class A Shares</w:t>
            </w:r>
          </w:p>
        </w:tc>
        <w:tc>
          <w:tcPr>
            <w:tcW w:w="70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Class B Shares</w:t>
            </w:r>
            <w:r>
              <w:rPr>
                <w:rFonts w:ascii="Times New Roman" w:cs="Times New Roman" w:eastAsia="Times New Roman" w:hAnsi="Times New Roman"/>
                <w:sz w:val="21"/>
                <w:szCs w:val="21"/>
                <w:b w:val="1"/>
                <w:bCs w:val="1"/>
                <w:color w:val="auto"/>
                <w:vertAlign w:val="superscript"/>
              </w:rPr>
              <w:t>†</w:t>
            </w:r>
          </w:p>
        </w:tc>
        <w:tc>
          <w:tcPr>
            <w:tcW w:w="72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2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Outstanding Before</w:t>
            </w:r>
          </w:p>
        </w:tc>
        <w:tc>
          <w:tcPr>
            <w:tcW w:w="12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Power Before</w:t>
            </w:r>
          </w:p>
        </w:tc>
        <w:tc>
          <w:tcPr>
            <w:tcW w:w="12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Outstanding After</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Power After</w:t>
            </w:r>
          </w:p>
        </w:tc>
        <w:tc>
          <w:tcPr>
            <w:tcW w:w="0" w:type="dxa"/>
            <w:vAlign w:val="bottom"/>
          </w:tcPr>
          <w:p>
            <w:pPr>
              <w:spacing w:after="0"/>
              <w:rPr>
                <w:sz w:val="1"/>
                <w:szCs w:val="1"/>
                <w:color w:val="auto"/>
              </w:rPr>
            </w:pPr>
          </w:p>
        </w:tc>
      </w:tr>
      <w:tr>
        <w:trPr>
          <w:trHeight w:val="176"/>
        </w:trPr>
        <w:tc>
          <w:tcPr>
            <w:tcW w:w="25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Offering#</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0" w:type="dxa"/>
            <w:vAlign w:val="bottom"/>
          </w:tcPr>
          <w:p>
            <w:pPr>
              <w:spacing w:after="0"/>
              <w:rPr>
                <w:sz w:val="1"/>
                <w:szCs w:val="1"/>
                <w:color w:val="auto"/>
              </w:rPr>
            </w:pPr>
          </w:p>
        </w:tc>
      </w:tr>
      <w:tr>
        <w:trPr>
          <w:trHeight w:val="128"/>
        </w:trPr>
        <w:tc>
          <w:tcPr>
            <w:tcW w:w="24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and Directors:</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Omid Farokhzad, M.D.</w:t>
            </w:r>
            <w:r>
              <w:rPr>
                <w:rFonts w:ascii="Times New Roman" w:cs="Times New Roman" w:eastAsia="Times New Roman" w:hAnsi="Times New Roman"/>
                <w:sz w:val="18"/>
                <w:szCs w:val="18"/>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6,139,748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17,545,007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Hallal</w:t>
            </w:r>
            <w:r>
              <w:rPr>
                <w:rFonts w:ascii="Times New Roman" w:cs="Times New Roman" w:eastAsia="Times New Roman" w:hAnsi="Times New Roman"/>
                <w:sz w:val="18"/>
                <w:szCs w:val="18"/>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Catherine J. Friedman</w:t>
            </w:r>
            <w:r>
              <w:rPr>
                <w:rFonts w:ascii="Times New Roman" w:cs="Times New Roman" w:eastAsia="Times New Roman" w:hAnsi="Times New Roman"/>
                <w:sz w:val="18"/>
                <w:szCs w:val="18"/>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Langer, Sc.D.</w:t>
            </w:r>
            <w:r>
              <w:rPr>
                <w:rFonts w:ascii="Times New Roman" w:cs="Times New Roman" w:eastAsia="Times New Roman" w:hAnsi="Times New Roman"/>
                <w:sz w:val="18"/>
                <w:szCs w:val="18"/>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1,482,715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Terrance McGuire</w:t>
            </w:r>
            <w:r>
              <w:rPr>
                <w:rFonts w:ascii="Times New Roman" w:cs="Times New Roman" w:eastAsia="Times New Roman" w:hAnsi="Times New Roman"/>
                <w:sz w:val="18"/>
                <w:szCs w:val="18"/>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1,017,219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Singer</w:t>
            </w:r>
            <w:r>
              <w:rPr>
                <w:rFonts w:ascii="Times New Roman" w:cs="Times New Roman" w:eastAsia="Times New Roman" w:hAnsi="Times New Roman"/>
                <w:sz w:val="18"/>
                <w:szCs w:val="18"/>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11,396,607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All executive officers and directors as a</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26,611,452</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18,912,504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4"/>
                <w:szCs w:val="14"/>
                <w:color w:val="auto"/>
              </w:rPr>
              <w:t>group (8 persons)</w:t>
            </w:r>
            <w:r>
              <w:rPr>
                <w:rFonts w:ascii="Times New Roman" w:cs="Times New Roman" w:eastAsia="Times New Roman" w:hAnsi="Times New Roman"/>
                <w:sz w:val="18"/>
                <w:szCs w:val="18"/>
                <w:color w:val="auto"/>
                <w:vertAlign w:val="superscript"/>
              </w:rPr>
              <w:t>(7)</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 Stockholders:</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Entities affiliated with Maverick Capital</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11,396,607</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349,999</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4"/>
                <w:szCs w:val="14"/>
                <w:color w:val="auto"/>
              </w:rPr>
              <w:t>Ventures, LLC</w:t>
            </w:r>
            <w:r>
              <w:rPr>
                <w:rFonts w:ascii="Times New Roman" w:cs="Times New Roman" w:eastAsia="Times New Roman" w:hAnsi="Times New Roman"/>
                <w:sz w:val="18"/>
                <w:szCs w:val="18"/>
                <w:color w:val="auto"/>
                <w:vertAlign w:val="superscript"/>
              </w:rPr>
              <w:t>(8)</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Invus Public Equities, L.P.</w:t>
            </w:r>
            <w:r>
              <w:rPr>
                <w:rFonts w:ascii="Times New Roman" w:cs="Times New Roman" w:eastAsia="Times New Roman" w:hAnsi="Times New Roman"/>
                <w:sz w:val="18"/>
                <w:szCs w:val="18"/>
                <w:color w:val="auto"/>
                <w:vertAlign w:val="superscript"/>
              </w:rPr>
              <w:t>(9)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10,808,953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Entities affiliated with aMoon Fund</w:t>
            </w:r>
            <w:r>
              <w:rPr>
                <w:rFonts w:ascii="Times New Roman" w:cs="Times New Roman" w:eastAsia="Times New Roman" w:hAnsi="Times New Roman"/>
                <w:sz w:val="18"/>
                <w:szCs w:val="18"/>
                <w:color w:val="auto"/>
                <w:vertAlign w:val="superscript"/>
              </w:rPr>
              <w:t>(10)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10,772,174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Entities affiliated with Fidelity</w:t>
            </w:r>
            <w:r>
              <w:rPr>
                <w:rFonts w:ascii="Times New Roman" w:cs="Times New Roman" w:eastAsia="Times New Roman" w:hAnsi="Times New Roman"/>
                <w:sz w:val="18"/>
                <w:szCs w:val="18"/>
                <w:color w:val="auto"/>
                <w:vertAlign w:val="superscript"/>
              </w:rPr>
              <w:t>(11)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6,666,666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Emerson Collective Investments LLC</w:t>
            </w:r>
            <w:r>
              <w:rPr>
                <w:rFonts w:ascii="Times New Roman" w:cs="Times New Roman" w:eastAsia="Times New Roman" w:hAnsi="Times New Roman"/>
                <w:sz w:val="18"/>
                <w:szCs w:val="18"/>
                <w:color w:val="auto"/>
                <w:vertAlign w:val="superscript"/>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5,326,807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Entities affiliated with T. Rowe Price</w:t>
            </w:r>
            <w:r>
              <w:rPr>
                <w:rFonts w:ascii="Times New Roman" w:cs="Times New Roman" w:eastAsia="Times New Roman" w:hAnsi="Times New Roman"/>
                <w:sz w:val="18"/>
                <w:szCs w:val="18"/>
                <w:color w:val="auto"/>
                <w:vertAlign w:val="superscript"/>
              </w:rPr>
              <w:t>(13)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5,169,230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560" w:hanging="332"/>
        <w:spacing w:after="0" w:line="241" w:lineRule="auto"/>
        <w:tabs>
          <w:tab w:leader="none" w:pos="33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right="100" w:hanging="332"/>
        <w:spacing w:after="0" w:line="241" w:lineRule="auto"/>
        <w:tabs>
          <w:tab w:leader="none" w:pos="3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 w:lineRule="exact"/>
        <w:rPr>
          <w:sz w:val="20"/>
          <w:szCs w:val="20"/>
          <w:color w:val="auto"/>
        </w:rPr>
      </w:pPr>
    </w:p>
    <w:p>
      <w:pPr>
        <w:ind w:left="320" w:hanging="312"/>
        <w:spacing w:after="0"/>
        <w:tabs>
          <w:tab w:leader="none" w:pos="3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(1%) of the outstanding shares of our common stock.</w:t>
      </w:r>
    </w:p>
    <w:p>
      <w:pPr>
        <w:spacing w:after="0" w:line="93" w:lineRule="exact"/>
        <w:rPr>
          <w:sz w:val="20"/>
          <w:szCs w:val="20"/>
          <w:color w:val="auto"/>
        </w:rPr>
      </w:pPr>
    </w:p>
    <w:p>
      <w:pPr>
        <w:ind w:left="340" w:right="20" w:hanging="332"/>
        <w:spacing w:after="0" w:line="245"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597,538 shares of Class A common stock held of record by Dr. Farokhzad, of which 552,457 may be repurchased by us at the original exercise price; (ii) 220,240 shares of Class A common stock and 5,545,007 shares of Class B common stock held of record by Dynamics Group LLC for which Dr. Farokhzad serves as the sole member, of which 731,771 may be repurchased by us at the original exercise price; (iii) 6,000,000 shares of Class B shares held of record by SAF-BND Trust for which Dr. Farokhzad’s spouse serves as trustee; (iv) 1,109,397 shares of Class A common stock and 6,000,000 shares of Class B common stock held of record by OCF 2014 Trust for which Dr. Farokhzad’s spouse serves as the trust advisor; and (v) 4,212,573 shares of Class A common stock subject to options exercisable within 60 days of September 30, 2020, of which 742,221 are fully vested. Dr. Farokhzad disclaims beneficial ownership of the shares held by the SAF-BND Trust and OCF 2014 Trust.</w:t>
      </w:r>
    </w:p>
    <w:p>
      <w:pPr>
        <w:spacing w:after="0" w:line="1" w:lineRule="exact"/>
        <w:rPr>
          <w:rFonts w:ascii="Times New Roman" w:cs="Times New Roman" w:eastAsia="Times New Roman" w:hAnsi="Times New Roman"/>
          <w:sz w:val="14"/>
          <w:szCs w:val="14"/>
          <w:color w:val="auto"/>
        </w:rPr>
      </w:pPr>
    </w:p>
    <w:p>
      <w:pPr>
        <w:ind w:left="340" w:right="60" w:hanging="332"/>
        <w:spacing w:after="0" w:line="241"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564,026 shares of Class A common stock held of record by Mr. Hallal, of which 211,511 may be repurchased by us at the original exercise price and (ii) 411,013 shares of Class A common stock subject to options exercisable within 60 days of September 30, 2020, of which 58,078 are fully vested.</w:t>
      </w:r>
    </w:p>
    <w:p>
      <w:pPr>
        <w:ind w:left="320" w:hanging="312"/>
        <w:spacing w:after="0"/>
        <w:tabs>
          <w:tab w:leader="none" w:pos="3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of record by Ms. Friedman, all of which may be repurchased by us at the original exercise price.</w:t>
      </w:r>
    </w:p>
    <w:p>
      <w:pPr>
        <w:spacing w:after="0" w:line="1" w:lineRule="exact"/>
        <w:rPr>
          <w:rFonts w:ascii="Times New Roman" w:cs="Times New Roman" w:eastAsia="Times New Roman" w:hAnsi="Times New Roman"/>
          <w:sz w:val="14"/>
          <w:szCs w:val="14"/>
          <w:color w:val="auto"/>
        </w:rPr>
      </w:pPr>
    </w:p>
    <w:p>
      <w:pPr>
        <w:ind w:left="340" w:right="60" w:hanging="332"/>
        <w:spacing w:after="0" w:line="241"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781,867 shares of Class A common stock, of which 103,380 may be repurchased by us at the original exercise price and 700,000 shares of Class B common stock held of record by Dr. Langer, of which 41,667 may be repurchased by us at the original exercise price; (ii) 700,848 shares of Class A common stock subject to options exercisable within 60 days of September 30, 2020, of which 215,545 are fully vested; and (iii) 300,000 shares of Class B common stock held of record by The Langer Family 2012 Trust Under Trust Agreement dated December 7, 2012.</w:t>
      </w:r>
    </w:p>
    <w:p>
      <w:pPr>
        <w:spacing w:after="0" w:line="1" w:lineRule="exact"/>
        <w:rPr>
          <w:rFonts w:ascii="Times New Roman" w:cs="Times New Roman" w:eastAsia="Times New Roman" w:hAnsi="Times New Roman"/>
          <w:sz w:val="14"/>
          <w:szCs w:val="14"/>
          <w:color w:val="auto"/>
        </w:rPr>
      </w:pPr>
    </w:p>
    <w:p>
      <w:pPr>
        <w:jc w:val="both"/>
        <w:ind w:left="340" w:right="20" w:hanging="332"/>
        <w:spacing w:after="0" w:line="241"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451,507 shares of Class A common stock, of which 113,797 may be repurchased by us at the original exercise price and 8,749 shares of Class B common stock held of record by Strong Bridge, LLC for which Mr. McGuire serves as an operating manager and (ii) 565,712 shares of Class A common stock subject to options exercisable within 60 days of September 30, 2020, of which 204,284 are fully vested.</w:t>
      </w:r>
    </w:p>
    <w:p>
      <w:pPr>
        <w:spacing w:after="0" w:line="1" w:lineRule="exact"/>
        <w:rPr>
          <w:rFonts w:ascii="Times New Roman" w:cs="Times New Roman" w:eastAsia="Times New Roman" w:hAnsi="Times New Roman"/>
          <w:sz w:val="14"/>
          <w:szCs w:val="14"/>
          <w:color w:val="auto"/>
        </w:rPr>
      </w:pPr>
    </w:p>
    <w:p>
      <w:pPr>
        <w:ind w:left="340" w:right="560" w:hanging="332"/>
        <w:spacing w:after="0" w:line="241"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11,396,607 shares of Class A common stock and 349,999 shares of Class B common stock disclosed in footnote (8) below that are held of record by entities affiliated with Maverick Capital Ventures, LLC.</w:t>
      </w:r>
    </w:p>
    <w:p>
      <w:pPr>
        <w:ind w:left="340" w:right="140" w:hanging="332"/>
        <w:spacing w:after="0" w:line="258" w:lineRule="auto"/>
        <w:tabs>
          <w:tab w:leader="none" w:pos="33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15,788,823 shares of Class A common stock and 18,912,504 shares of Class B common stock beneficially owned by our executive officers and directors and (ii) 10,822,629 shares of Class A common stock subject to options exercisable within 60 days of September 30, 2020 and held by our executive officers and directors, of which 1,350,483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5" w:lineRule="exact"/>
        <w:rPr>
          <w:sz w:val="20"/>
          <w:szCs w:val="20"/>
          <w:color w:val="auto"/>
        </w:rPr>
      </w:pPr>
    </w:p>
    <w:p>
      <w:pPr>
        <w:ind w:left="340" w:right="40" w:hanging="332"/>
        <w:spacing w:after="0" w:line="246" w:lineRule="auto"/>
        <w:tabs>
          <w:tab w:leader="none" w:pos="33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7,255,800 shares of Class A common stock and 217,769 shares of Class B common stock held of record by Maverick Ventures Investment Fund, L.P. (Maverick Ventures Fund) and (ii) 4,140,807 shares of Class A common stock and 132,230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ind w:left="340" w:hanging="332"/>
        <w:spacing w:after="0" w:line="241" w:lineRule="auto"/>
        <w:tabs>
          <w:tab w:leader="none" w:pos="33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10,808,953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spacing w:after="0" w:line="3" w:lineRule="exact"/>
        <w:rPr>
          <w:rFonts w:ascii="Times New Roman" w:cs="Times New Roman" w:eastAsia="Times New Roman" w:hAnsi="Times New Roman"/>
          <w:sz w:val="14"/>
          <w:szCs w:val="14"/>
          <w:color w:val="auto"/>
        </w:rPr>
      </w:pPr>
    </w:p>
    <w:p>
      <w:pPr>
        <w:ind w:left="340" w:hanging="332"/>
        <w:spacing w:after="0" w:line="241" w:lineRule="auto"/>
        <w:tabs>
          <w:tab w:leader="none" w:pos="33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8,819,080 shares of Class A common stock held of record by aMoon 2 Fund, Limited Partnership (aMoon 2 Fund) and (ii) 1,953,094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164"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31"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6,666,666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spacing w:after="0" w:line="3" w:lineRule="exact"/>
        <w:rPr>
          <w:rFonts w:ascii="Times New Roman" w:cs="Times New Roman" w:eastAsia="Times New Roman" w:hAnsi="Times New Roman"/>
          <w:sz w:val="14"/>
          <w:szCs w:val="14"/>
          <w:color w:val="auto"/>
        </w:rPr>
      </w:pPr>
    </w:p>
    <w:p>
      <w:pPr>
        <w:ind w:left="340" w:right="140" w:hanging="332"/>
        <w:spacing w:after="0" w:line="241" w:lineRule="auto"/>
        <w:tabs>
          <w:tab w:leader="none" w:pos="33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5,326,807 shares of Class A common stock held of record by Emerson Collective Investments, LLC (ECI). The Laurene Powell Jobs Trust, for which Laurene Powell Jobs serves as trustee, is the managing member of ECI and has voting and dispositive power with respect to the shares held of record by ECI. The address for this entity is P.O. Box 61239, Palo Alto, California 94306.</w:t>
      </w:r>
    </w:p>
    <w:p>
      <w:pPr>
        <w:spacing w:after="0" w:line="1" w:lineRule="exact"/>
        <w:rPr>
          <w:rFonts w:ascii="Times New Roman" w:cs="Times New Roman" w:eastAsia="Times New Roman" w:hAnsi="Times New Roman"/>
          <w:sz w:val="14"/>
          <w:szCs w:val="14"/>
          <w:color w:val="auto"/>
        </w:rPr>
      </w:pPr>
    </w:p>
    <w:p>
      <w:pPr>
        <w:ind w:left="340" w:right="40" w:hanging="332"/>
        <w:spacing w:after="0" w:line="243" w:lineRule="auto"/>
        <w:tabs>
          <w:tab w:leader="none" w:pos="33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4,429,354 shares of Class A common stock held of record by T. Rowe Price Health Sciences Fund, Inc.; (ii) 200,815 shares of Class A common stock held of record by T. Rowe Price Health Sciences Portfolio; (iii) 274,505 shares of Class A common stock held of record by TD Mutual Funds - TD Health Sciences Fund and (iv) 264,556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7"/>
          <w:szCs w:val="17"/>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 of capital stock, $0.00001 par value per share, of which:</w:t>
      </w:r>
    </w:p>
    <w:p>
      <w:pPr>
        <w:spacing w:after="0" w:line="153" w:lineRule="exact"/>
        <w:rPr>
          <w:sz w:val="20"/>
          <w:szCs w:val="20"/>
          <w:color w:val="auto"/>
        </w:rPr>
      </w:pPr>
    </w:p>
    <w:p>
      <w:pPr>
        <w:ind w:left="1200" w:hanging="868"/>
        <w:spacing w:after="0"/>
        <w:tabs>
          <w:tab w:leader="none" w:pos="1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A common stock;</w:t>
      </w:r>
    </w:p>
    <w:p>
      <w:pPr>
        <w:spacing w:after="0" w:line="171" w:lineRule="exact"/>
        <w:rPr>
          <w:rFonts w:ascii="Times New Roman" w:cs="Times New Roman" w:eastAsia="Times New Roman" w:hAnsi="Times New Roman"/>
          <w:sz w:val="18"/>
          <w:szCs w:val="18"/>
          <w:color w:val="auto"/>
        </w:rPr>
      </w:pPr>
    </w:p>
    <w:p>
      <w:pPr>
        <w:ind w:left="1200" w:hanging="868"/>
        <w:spacing w:after="0"/>
        <w:tabs>
          <w:tab w:leader="none" w:pos="1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B common stock; and</w:t>
      </w:r>
    </w:p>
    <w:p>
      <w:pPr>
        <w:spacing w:after="0" w:line="171" w:lineRule="exact"/>
        <w:rPr>
          <w:rFonts w:ascii="Times New Roman" w:cs="Times New Roman" w:eastAsia="Times New Roman" w:hAnsi="Times New Roman"/>
          <w:sz w:val="18"/>
          <w:szCs w:val="18"/>
          <w:color w:val="auto"/>
        </w:rPr>
      </w:pPr>
    </w:p>
    <w:p>
      <w:pPr>
        <w:ind w:left="1200" w:hanging="868"/>
        <w:spacing w:after="0"/>
        <w:tabs>
          <w:tab w:leader="none" w:pos="1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preferred stock.</w:t>
      </w:r>
    </w:p>
    <w:p>
      <w:pPr>
        <w:spacing w:after="0" w:line="17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there were 7,054,694 shares of our Class A common stock outstanding, held by 43 stockholders of record, 20,000,000 shares of our Class B common stock outstanding, held by 15 stockholders of record and no shares of our preferred stock outstanding. Pursuant to our amended and restated certificate of incorporation, our board of directors will have the authority, without stockholder approval except as required by the listing standards of Nasdaq, to issue additional shares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held on all matters submitted to a vote of stockholders and holders of our Class B common stock will be entitled to ten votes for each share held, except as otherwise required by law. The holders of our Class A common stock and Class B common stock vote together as a single class, unless otherwise required by law.</w:t>
      </w:r>
    </w:p>
    <w:p>
      <w:pPr>
        <w:spacing w:after="0" w:line="12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Delaware law could require either holders of our Class A common stock and our Class B common stock to vote separately as a single class in the following circumstances:</w:t>
      </w:r>
    </w:p>
    <w:p>
      <w:pPr>
        <w:spacing w:after="0" w:line="108" w:lineRule="exact"/>
        <w:rPr>
          <w:sz w:val="20"/>
          <w:szCs w:val="20"/>
          <w:color w:val="auto"/>
        </w:rPr>
      </w:pPr>
    </w:p>
    <w:p>
      <w:pPr>
        <w:ind w:left="6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Stockholders do not have the ability to cumulate votes for the election of directors. Our amended and restated certificate of incorporation and amended and restated bylaws that will be in effect at the closing of this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upon the earlier of the first day following the fifth anniversary of the closing of this offering and December 31, 2025.</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in this offering will be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we had outstanding options to purchase an aggregate of 4,656,931 shares of our Class A common stock, with a weighted-average exercise price of approximately $0.39 per share, under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2019, we had no outstanding shares of our Class A common stock subject to RSUs under our equity compensation plans. Subsequently, as of September 30, 2020, we had 717,319 shares of our Class A common stock outstanding, subject to RSUs issued under our equity compensation plans, which will vest upon the satisfaction of a performance-based condition. The performance-based condition for the RSUs will be satisfied on the earlier of (i) the first and second year anniversaries of the effective date of this registration statement; and (ii) the date of a Change in Control (as defined in the relevant equity compensation plan), subject to continued service to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certain holders of our Class A common stock will be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this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receive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63,224,477 shares of our Class A common stock will be entitled to certain demand registration rights. At any time after the earlier of five years after the date of the IRA or 180 days after the effective date of this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75"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After the completion of this offering, if we propose to register the offer and sale of our Class A common stock under the Securities Act, in connection with the public offering of such Class A common stock the holders of up to 63,224,477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 the holders of these shares are entitled to notice of the registration and have the right, subject to certain limitations, to include their shares in the registration.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63,224,477 shares of our Class A common stock will be entitled to certain Form S-3 registration rights. The holders of at least 30% of registrable shares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80"/>
          </w:cols>
          <w:pgMar w:left="320" w:top="1440" w:right="399" w:bottom="1440" w:gutter="0" w:footer="0" w:header="0"/>
        </w:sectPr>
      </w:pPr>
    </w:p>
    <w:bookmarkStart w:id="166" w:name="page167"/>
    <w:bookmarkEnd w:id="166"/>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22"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was approved by the board of directors prior to the time that the stockholder became an interested stockholder;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20"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will authorize only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fill vacant directorships, including newly created seats. In addition, the number of directors constituting our board of directors will be permitted to be set only by a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amended and restated bylaws will provide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will provide that our stockholders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will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9"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amended and restated certificate of incorporation does not provide for cumulative voting.</w:t>
      </w:r>
    </w:p>
    <w:p>
      <w:pPr>
        <w:spacing w:after="0" w:line="11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amended and restated certificate of incorporation will provide that stockholders may remove directors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provisions in our amended and restated certificate of incorporation would require</w:t>
      </w:r>
    </w:p>
    <w:p>
      <w:pPr>
        <w:spacing w:after="0" w:line="29" w:lineRule="exact"/>
        <w:rPr>
          <w:sz w:val="20"/>
          <w:szCs w:val="20"/>
          <w:color w:val="auto"/>
        </w:rPr>
      </w:pPr>
    </w:p>
    <w:p>
      <w:pPr>
        <w:spacing w:after="0"/>
        <w:tabs>
          <w:tab w:leader="none" w:pos="2660" w:val="left"/>
        </w:tabs>
        <w:rPr>
          <w:sz w:val="20"/>
          <w:szCs w:val="20"/>
          <w:color w:val="auto"/>
        </w:rPr>
      </w:pPr>
      <w:r>
        <w:rPr>
          <w:rFonts w:ascii="Times New Roman" w:cs="Times New Roman" w:eastAsia="Times New Roman" w:hAnsi="Times New Roman"/>
          <w:sz w:val="18"/>
          <w:szCs w:val="18"/>
          <w:color w:val="auto"/>
        </w:rPr>
        <w:t>approval by holders of at least</w:t>
      </w:r>
      <w:r>
        <w:rPr>
          <w:sz w:val="20"/>
          <w:szCs w:val="20"/>
          <w:color w:val="auto"/>
        </w:rPr>
        <w:tab/>
      </w:r>
      <w:r>
        <w:rPr>
          <w:rFonts w:ascii="Times New Roman" w:cs="Times New Roman" w:eastAsia="Times New Roman" w:hAnsi="Times New Roman"/>
          <w:sz w:val="17"/>
          <w:szCs w:val="17"/>
          <w:color w:val="auto"/>
        </w:rPr>
        <w:t>% of our then outstanding capital stock.</w:t>
      </w:r>
    </w:p>
    <w:p>
      <w:pPr>
        <w:spacing w:after="0" w:line="151" w:lineRule="exact"/>
        <w:rPr>
          <w:sz w:val="20"/>
          <w:szCs w:val="20"/>
          <w:color w:val="auto"/>
        </w:rPr>
      </w:pPr>
    </w:p>
    <w:p>
      <w:pPr>
        <w:ind w:left="680" w:right="20" w:hanging="35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Issuance of Undesignated Preferred Stock. </w:t>
      </w:r>
      <w:r>
        <w:rPr>
          <w:rFonts w:ascii="Times New Roman" w:cs="Times New Roman" w:eastAsia="Times New Roman" w:hAnsi="Times New Roman"/>
          <w:sz w:val="17"/>
          <w:szCs w:val="17"/>
          <w:color w:val="auto"/>
        </w:rPr>
        <w:t>Our board of directors will have the authority, without further action by our stockholders, to issue up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undesignated preferred stock with rights and preferences, including voting rights, designated from time to time by our board of directors.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Our amended and restated bylaws will provide that, unless we consent to the selection of an alternative forum, the Court of Chancery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This exclusive forum provision will not apply to any causes of action arising under the Exchange Act or any other claim for which the federal courts have exclusive jurisdiction. Section 22 of the Securities Act,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also provide that the federal district courts of the United States will be the exclusive forum for resolving any complaint asserting a cause of action arising under the Securities Act.</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Class A common stock will be Computershare Trust Company, N.A. The transfer agent and registrar’s address is 250 Royal Street, Canton, Massachusetts 02021.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Transactions—Limitation of Liability and Indemnification of Officers and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apply for the listing of our Class A common stock on the Nasdaq Stock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80"/>
          </w:cols>
          <w:pgMar w:left="320" w:top="1440" w:right="399" w:bottom="1440" w:gutter="0" w:footer="0" w:header="0"/>
        </w:sectPr>
      </w:pPr>
    </w:p>
    <w:bookmarkStart w:id="169" w:name="page170"/>
    <w:bookmarkEnd w:id="16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Following the completion of this offering, based on the number of shares of our capital stock outstanding as of September 30, 2020 we will have a total</w:t>
      </w:r>
    </w:p>
    <w:p>
      <w:pPr>
        <w:spacing w:after="0" w:line="39"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of shares of our Class A common stock outstanding and shares of our Class B common stock outstanding.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3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ectPr>
          <w:pgSz w:w="11900" w:h="16838" w:orient="portrait"/>
          <w:cols w:equalWidth="0" w:num="1">
            <w:col w:w="11240"/>
          </w:cols>
          <w:pgMar w:left="320" w:top="1440"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beginning on the date of this prospectus, all in the public market; and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A common stock sold in this offering will be immediately available for sale</w:t>
      </w:r>
    </w:p>
    <w:p>
      <w:pPr>
        <w:spacing w:after="0" w:line="387" w:lineRule="exact"/>
        <w:rPr>
          <w:sz w:val="20"/>
          <w:szCs w:val="20"/>
          <w:color w:val="auto"/>
        </w:rPr>
      </w:pPr>
    </w:p>
    <w:p>
      <w:pPr>
        <w:sectPr>
          <w:pgSz w:w="11900" w:h="16838" w:orient="portrait"/>
          <w:cols w:equalWidth="0" w:num="3">
            <w:col w:w="400" w:space="260"/>
            <w:col w:w="3120" w:space="500"/>
            <w:col w:w="6960"/>
          </w:cols>
          <w:pgMar w:left="320" w:top="1440" w:right="339" w:bottom="1440" w:gutter="0" w:footer="0" w:header="0"/>
          <w:type w:val="continuous"/>
        </w:sectPr>
      </w:pPr>
    </w:p>
    <w:p>
      <w:pPr>
        <w:ind w:left="660" w:hanging="328"/>
        <w:spacing w:after="0"/>
        <w:tabs>
          <w:tab w:leader="none" w:pos="6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181 days after the date of this prospectus (subject to the terms of the lock-up and market standoff agreements described below)</w:t>
      </w:r>
    </w:p>
    <w:p>
      <w:pPr>
        <w:sectPr>
          <w:pgSz w:w="11900" w:h="16838" w:orient="portrait"/>
          <w:cols w:equalWidth="0" w:num="1">
            <w:col w:w="11240"/>
          </w:cols>
          <w:pgMar w:left="320" w:top="1440" w:right="339" w:bottom="1440" w:gutter="0" w:footer="0" w:header="0"/>
          <w:type w:val="continuous"/>
        </w:sectPr>
      </w:pPr>
    </w:p>
    <w:p>
      <w:pPr>
        <w:spacing w:after="0" w:line="39" w:lineRule="exact"/>
        <w:rPr>
          <w:sz w:val="20"/>
          <w:szCs w:val="20"/>
          <w:color w:val="auto"/>
        </w:rPr>
      </w:pPr>
    </w:p>
    <w:p>
      <w:pPr>
        <w:ind w:left="660" w:right="120"/>
        <w:spacing w:after="0" w:line="260" w:lineRule="auto"/>
        <w:rPr>
          <w:sz w:val="20"/>
          <w:szCs w:val="20"/>
          <w:color w:val="auto"/>
        </w:rPr>
      </w:pPr>
      <w:r>
        <w:rPr>
          <w:rFonts w:ascii="Times New Roman" w:cs="Times New Roman" w:eastAsia="Times New Roman" w:hAnsi="Times New Roman"/>
          <w:sz w:val="18"/>
          <w:szCs w:val="18"/>
          <w:color w:val="auto"/>
        </w:rPr>
        <w:t>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240"/>
          </w:cols>
          <w:pgMar w:left="320" w:top="14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and Market Standoff Agreements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directors, our executive officers and holders of substantially all of our capital stock and securities convertible into our capital stock have entered or will enter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Morgan Stanley &amp; Co. LLC and BofA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For more information, see the section titled “Underwriting.”</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capital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240"/>
          </w:cols>
          <w:pgMar w:left="320" w:top="1440" w:right="339" w:bottom="1440" w:gutter="0" w:footer="0" w:header="0"/>
        </w:sectPr>
      </w:pP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capital stock then outstanding, which will equal offering; or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shares immediately after the completion of this</w:t>
      </w:r>
    </w:p>
    <w:p>
      <w:pPr>
        <w:spacing w:after="0" w:line="387" w:lineRule="exact"/>
        <w:rPr>
          <w:sz w:val="20"/>
          <w:szCs w:val="20"/>
          <w:color w:val="auto"/>
        </w:rPr>
      </w:pPr>
    </w:p>
    <w:p>
      <w:pPr>
        <w:sectPr>
          <w:pgSz w:w="11900" w:h="16838" w:orient="portrait"/>
          <w:cols w:equalWidth="0" w:num="3">
            <w:col w:w="400" w:space="260"/>
            <w:col w:w="5940" w:space="620"/>
            <w:col w:w="4020"/>
          </w:cols>
          <w:pgMar w:left="320" w:top="1440" w:right="339" w:bottom="1440" w:gutter="0" w:footer="0" w:header="0"/>
          <w:type w:val="continuous"/>
        </w:sectPr>
      </w:pPr>
    </w:p>
    <w:p>
      <w:pPr>
        <w:ind w:left="660" w:right="36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with respect to that sale.</w:t>
      </w:r>
    </w:p>
    <w:p>
      <w:pPr>
        <w:spacing w:after="0" w:line="108"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IRA, after the completion of this offering, the holders of up to 63,224,477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promptly after the completion of this offering to register shares of our Class A common stock subject to RSUs and options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00"/>
          </w:cols>
          <w:pgMar w:left="320" w:top="1440" w:right="379" w:bottom="1440" w:gutter="0" w:footer="0" w:header="0"/>
        </w:sectPr>
      </w:pPr>
    </w:p>
    <w:bookmarkStart w:id="172" w:name="page173"/>
    <w:bookmarkEnd w:id="17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22"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more than five percent of our capital stock (except to the extent specifically set forth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Class A common stock as a position in a hedging transaction, “straddle,” “conversion transaction,” or other risk reduction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option or otherwise as compensation;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Class A common stock as a capital asset within the meaning of Section 1221 of the Code (generally, property held for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Class A common stock should consult his, her or its own tax advisor regarding the tax considerations of the purchase, ownership and disposition of our common stock through a partnership.</w:t>
      </w:r>
    </w:p>
    <w:p>
      <w:pPr>
        <w:spacing w:after="0" w:line="104"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7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that, for U.S. federal income tax purposes, is neither a partnership nor:</w:t>
      </w:r>
    </w:p>
    <w:p>
      <w:pPr>
        <w:spacing w:after="0" w:line="108"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4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08" w:lineRule="exact"/>
        <w:rPr>
          <w:sz w:val="20"/>
          <w:szCs w:val="20"/>
          <w:color w:val="auto"/>
        </w:rPr>
      </w:pPr>
    </w:p>
    <w:p>
      <w:pPr>
        <w:ind w:left="660" w:right="40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2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30"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ind w:right="120" w:firstLine="324"/>
        <w:spacing w:after="0" w:line="219" w:lineRule="exact"/>
        <w:rPr>
          <w:sz w:val="20"/>
          <w:szCs w:val="20"/>
          <w:color w:val="auto"/>
        </w:rPr>
      </w:pPr>
      <w:r>
        <w:rPr>
          <w:rFonts w:ascii="Times New Roman" w:cs="Times New Roman" w:eastAsia="Times New Roman" w:hAnsi="Times New Roman"/>
          <w:sz w:val="18"/>
          <w:szCs w:val="18"/>
          <w:color w:val="auto"/>
        </w:rPr>
        <w:t>We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running managers of the offering and J.P. Morgan Securities LLC, Morgan Stanley &amp; Co.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6" w:lineRule="exact"/>
        <w:rPr>
          <w:sz w:val="20"/>
          <w:szCs w:val="20"/>
          <w:color w:val="auto"/>
        </w:rPr>
      </w:pPr>
    </w:p>
    <w:p>
      <w:pPr>
        <w:ind w:left="462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98"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underwriters are committed to purchase all the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underwriters propose to offer the common stock directly to the public at the initial public offering price set forth on the cover page of this</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prospectus and to certain dealers at 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3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underwriters do not expect to sell more than 5% of the shares of Class A common stock in the aggregate to accounts over which they exercise discretionary authority.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Class A common stock less the amount paid by the underwriters to us per share</w:t>
      </w:r>
    </w:p>
    <w:p>
      <w:pPr>
        <w:spacing w:after="0" w:line="27"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Without option to</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 full option to</w:t>
            </w:r>
          </w:p>
        </w:tc>
      </w:t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 additional</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additional</w:t>
            </w:r>
          </w:p>
        </w:tc>
      </w:tr>
      <w:tr>
        <w:trPr>
          <w:trHeight w:val="190"/>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exercise</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560" w:type="dxa"/>
            <w:vAlign w:val="bottom"/>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w:t>
      </w:r>
    </w:p>
    <w:p>
      <w:pPr>
        <w:spacing w:after="0" w:line="27"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excluding the underwriting discounts and commissions, will be approximately $ . We have also agreed to reimburse the underwriters for reasonable fees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related to the review by the Financial Industry Regulatory Authority of the terms of sale of the shares of Class A common stock offered hereby in</w:t>
      </w:r>
    </w:p>
    <w:p>
      <w:pPr>
        <w:spacing w:after="0" w:line="27"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color w:val="auto"/>
        </w:rPr>
        <w:t>an amount not to exceed $</w:t>
      </w:r>
      <w:r>
        <w:rPr>
          <w:sz w:val="20"/>
          <w:szCs w:val="20"/>
          <w:color w:val="auto"/>
        </w:rPr>
        <w:tab/>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w:t>
      </w:r>
    </w:p>
    <w:p>
      <w:pPr>
        <w:spacing w:after="0" w:line="106"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Our directors and executive officers, and substantially all of our stockholders (such persons, the “lock-up parties”) have entered into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51"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 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w:t>
      </w:r>
    </w:p>
    <w:p>
      <w:pPr>
        <w:spacing w:after="0" w:line="3" w:lineRule="exact"/>
        <w:rPr>
          <w:sz w:val="20"/>
          <w:szCs w:val="20"/>
          <w:color w:val="auto"/>
        </w:rPr>
      </w:pPr>
    </w:p>
    <w:p>
      <w:pPr>
        <w:jc w:val="both"/>
        <w:ind w:right="120" w:firstLine="8"/>
        <w:spacing w:after="0" w:line="255" w:lineRule="auto"/>
        <w:tabs>
          <w:tab w:leader="none" w:pos="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w:t>
      </w:r>
    </w:p>
    <w:p>
      <w:pPr>
        <w:spacing w:after="0" w:line="14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apply to have our Class A common stock approved for listing on the Nasdaq Stock Market under the symbol “SEER.”</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3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0" w:lineRule="exact"/>
        <w:rPr>
          <w:sz w:val="20"/>
          <w:szCs w:val="20"/>
          <w:color w:val="auto"/>
        </w:rPr>
      </w:pPr>
    </w:p>
    <w:p>
      <w:pPr>
        <w:ind w:firstLine="324"/>
        <w:spacing w:after="0" w:line="226" w:lineRule="exact"/>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market or otherwise.</w:t>
      </w:r>
    </w:p>
    <w:p>
      <w:pPr>
        <w:spacing w:after="0" w:line="12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22"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Class A common stock of generally comparable companies;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7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Class A common stock, or that the Class A common stock will trade in the public market at or above the initial public offering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60"/>
          </w:cols>
          <w:pgMar w:left="320" w:top="1440" w:right="419" w:bottom="1440" w:gutter="0" w:footer="0" w:header="0"/>
        </w:sectPr>
      </w:pPr>
    </w:p>
    <w:bookmarkStart w:id="180" w:name="page181"/>
    <w:bookmarkEnd w:id="180"/>
    <w:p>
      <w:pPr>
        <w:spacing w:after="0" w:line="14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 and United Kingdom</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29" w:lineRule="exact"/>
        <w:rPr>
          <w:sz w:val="20"/>
          <w:szCs w:val="20"/>
          <w:color w:val="auto"/>
        </w:rPr>
      </w:pPr>
    </w:p>
    <w:p>
      <w:pPr>
        <w:ind w:left="640" w:hanging="308"/>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6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3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(Corporations Act);</w:t>
      </w:r>
    </w:p>
    <w:p>
      <w:pPr>
        <w:spacing w:after="0" w:line="171" w:lineRule="exact"/>
        <w:rPr>
          <w:rFonts w:ascii="Times New Roman" w:cs="Times New Roman" w:eastAsia="Times New Roman" w:hAnsi="Times New Roman"/>
          <w:sz w:val="18"/>
          <w:szCs w:val="18"/>
          <w:color w:val="auto"/>
        </w:rPr>
      </w:pPr>
    </w:p>
    <w:p>
      <w:pPr>
        <w:jc w:val="both"/>
        <w:ind w:left="660" w:right="560" w:hanging="328"/>
        <w:spacing w:after="0" w:line="266"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29" w:lineRule="exact"/>
        <w:rPr>
          <w:sz w:val="20"/>
          <w:szCs w:val="20"/>
          <w:color w:val="auto"/>
        </w:rPr>
      </w:pPr>
    </w:p>
    <w:p>
      <w:pPr>
        <w:ind w:left="660" w:right="180" w:hanging="328"/>
        <w:spacing w:after="0" w:line="282" w:lineRule="auto"/>
        <w:tabs>
          <w:tab w:leader="none" w:pos="65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0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80" w:hanging="328"/>
        <w:spacing w:after="0" w:line="282" w:lineRule="auto"/>
        <w:tabs>
          <w:tab w:leader="none" w:pos="6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40" w:lineRule="exact"/>
        <w:rPr>
          <w:sz w:val="20"/>
          <w:szCs w:val="20"/>
          <w:color w:val="auto"/>
        </w:rPr>
      </w:pPr>
    </w:p>
    <w:p>
      <w:pPr>
        <w:ind w:left="660" w:right="80" w:hanging="328"/>
        <w:spacing w:after="0" w:line="261"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276(4)(i)(B) of the SFA;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75"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75"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(DIFC)</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3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75"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person with an address in South Africa, unless one or other of the following exemptions stipulated in section 96 (1) applies:</w:t>
      </w:r>
    </w:p>
    <w:p>
      <w:pPr>
        <w:spacing w:after="0" w:line="225" w:lineRule="exact"/>
        <w:rPr>
          <w:sz w:val="20"/>
          <w:szCs w:val="20"/>
          <w:color w:val="auto"/>
        </w:rPr>
      </w:pPr>
    </w:p>
    <w:p>
      <w:pPr>
        <w:ind w:left="3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96 (1)(a)</w:t>
      </w:r>
      <w:r>
        <w:rPr>
          <w:sz w:val="20"/>
          <w:szCs w:val="20"/>
          <w:color w:val="auto"/>
        </w:rPr>
        <w:tab/>
      </w:r>
      <w:r>
        <w:rPr>
          <w:rFonts w:ascii="Times New Roman" w:cs="Times New Roman" w:eastAsia="Times New Roman" w:hAnsi="Times New Roman"/>
          <w:sz w:val="17"/>
          <w:szCs w:val="17"/>
          <w:color w:val="auto"/>
        </w:rPr>
        <w:t>the offer, transfer, sale, renunciation or delivery is to:</w:t>
      </w:r>
    </w:p>
    <w:p>
      <w:pPr>
        <w:spacing w:after="0" w:line="27" w:lineRule="exact"/>
        <w:rPr>
          <w:sz w:val="20"/>
          <w:szCs w:val="20"/>
          <w:color w:val="auto"/>
        </w:rPr>
      </w:pPr>
    </w:p>
    <w:p>
      <w:pPr>
        <w:ind w:left="2380" w:hanging="221"/>
        <w:spacing w:after="0"/>
        <w:tabs>
          <w:tab w:leader="none" w:pos="2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9" w:lineRule="exact"/>
        <w:rPr>
          <w:rFonts w:ascii="Times New Roman" w:cs="Times New Roman" w:eastAsia="Times New Roman" w:hAnsi="Times New Roman"/>
          <w:sz w:val="18"/>
          <w:szCs w:val="18"/>
          <w:color w:val="auto"/>
        </w:rPr>
      </w:pPr>
    </w:p>
    <w:p>
      <w:pPr>
        <w:ind w:left="2420" w:hanging="261"/>
        <w:spacing w:after="0"/>
        <w:tabs>
          <w:tab w:leader="none" w:pos="2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9" w:lineRule="exact"/>
        <w:rPr>
          <w:rFonts w:ascii="Times New Roman" w:cs="Times New Roman" w:eastAsia="Times New Roman" w:hAnsi="Times New Roman"/>
          <w:sz w:val="18"/>
          <w:szCs w:val="18"/>
          <w:color w:val="auto"/>
        </w:rPr>
      </w:pPr>
    </w:p>
    <w:p>
      <w:pPr>
        <w:ind w:left="2480" w:hanging="321"/>
        <w:spacing w:after="0"/>
        <w:tabs>
          <w:tab w:leader="none" w:pos="24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9" w:lineRule="exact"/>
        <w:rPr>
          <w:rFonts w:ascii="Times New Roman" w:cs="Times New Roman" w:eastAsia="Times New Roman" w:hAnsi="Times New Roman"/>
          <w:sz w:val="18"/>
          <w:szCs w:val="18"/>
          <w:color w:val="auto"/>
        </w:rPr>
      </w:pPr>
    </w:p>
    <w:p>
      <w:pPr>
        <w:ind w:left="2460" w:hanging="301"/>
        <w:spacing w:after="0"/>
        <w:tabs>
          <w:tab w:leader="none" w:pos="2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9" w:lineRule="exact"/>
        <w:rPr>
          <w:rFonts w:ascii="Times New Roman" w:cs="Times New Roman" w:eastAsia="Times New Roman" w:hAnsi="Times New Roman"/>
          <w:sz w:val="18"/>
          <w:szCs w:val="18"/>
          <w:color w:val="auto"/>
        </w:rPr>
      </w:pPr>
    </w:p>
    <w:p>
      <w:pPr>
        <w:ind w:left="2420" w:hanging="261"/>
        <w:spacing w:after="0"/>
        <w:tabs>
          <w:tab w:leader="none" w:pos="2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9" w:lineRule="exact"/>
        <w:rPr>
          <w:rFonts w:ascii="Times New Roman" w:cs="Times New Roman" w:eastAsia="Times New Roman" w:hAnsi="Times New Roman"/>
          <w:sz w:val="18"/>
          <w:szCs w:val="18"/>
          <w:color w:val="auto"/>
        </w:rPr>
      </w:pPr>
    </w:p>
    <w:p>
      <w:pPr>
        <w:ind w:left="2160" w:right="420" w:hanging="1"/>
        <w:spacing w:after="0" w:line="250" w:lineRule="auto"/>
        <w:tabs>
          <w:tab w:leader="none" w:pos="24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Times New Roman" w:cs="Times New Roman" w:eastAsia="Times New Roman" w:hAnsi="Times New Roman"/>
          <w:sz w:val="18"/>
          <w:szCs w:val="18"/>
          <w:color w:val="auto"/>
        </w:rPr>
      </w:pPr>
    </w:p>
    <w:p>
      <w:pPr>
        <w:ind w:left="2520" w:hanging="361"/>
        <w:spacing w:after="0"/>
        <w:tabs>
          <w:tab w:leader="none" w:pos="25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ectPr>
          <w:pgSz w:w="11900" w:h="16838" w:orient="portrait"/>
          <w:cols w:equalWidth="0" w:num="1">
            <w:col w:w="11240"/>
          </w:cols>
          <w:pgMar w:left="320" w:top="1440" w:right="339" w:bottom="1440" w:gutter="0" w:footer="0" w:header="0"/>
        </w:sectPr>
      </w:pP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Section 96 (1)(b)</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47" w:lineRule="exact"/>
        <w:rPr>
          <w:sz w:val="20"/>
          <w:szCs w:val="20"/>
          <w:color w:val="auto"/>
        </w:rPr>
      </w:pPr>
    </w:p>
    <w:p>
      <w:pPr>
        <w:sectPr>
          <w:pgSz w:w="11900" w:h="16838" w:orient="portrait"/>
          <w:cols w:equalWidth="0" w:num="2">
            <w:col w:w="1580" w:space="580"/>
            <w:col w:w="9080"/>
          </w:cols>
          <w:pgMar w:left="320" w:top="1440" w:right="339" w:bottom="1440" w:gutter="0" w:footer="0" w:header="0"/>
          <w:type w:val="continuous"/>
        </w:sectPr>
      </w:pPr>
    </w:p>
    <w:p>
      <w:pPr>
        <w:ind w:right="880" w:firstLine="324"/>
        <w:spacing w:after="0" w:line="284"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w:t>
      </w:r>
      <w:r>
        <w:rPr>
          <w:rFonts w:ascii="Times New Roman" w:cs="Times New Roman" w:eastAsia="Times New Roman" w:hAnsi="Times New Roman"/>
          <w:sz w:val="18"/>
          <w:szCs w:val="18"/>
          <w:i w:val="1"/>
          <w:iCs w:val="1"/>
          <w:color w:val="auto"/>
        </w:rPr>
        <w:t>advice</w:t>
      </w:r>
      <w:r>
        <w:rPr>
          <w:rFonts w:ascii="Times New Roman" w:cs="Times New Roman" w:eastAsia="Times New Roman" w:hAnsi="Times New Roman"/>
          <w:sz w:val="18"/>
          <w:szCs w:val="18"/>
          <w:color w:val="auto"/>
        </w:rPr>
        <w:t>” as defined in the South African Financial Advisory and Intermediary Services Act, 2002.</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440" w:right="339" w:bottom="1440" w:gutter="0" w:footer="0" w:header="0"/>
          <w:type w:val="continuous"/>
        </w:sectPr>
      </w:pPr>
    </w:p>
    <w:bookmarkStart w:id="186" w:name="page187"/>
    <w:bookmarkEnd w:id="18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Upon the completion of the offering, WS Investment Company (2017A) and WS Investment Company (2018A) will directly or indirectly own less than 0.1% of the outstanding shares of our common stock.</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and its exhibits, over the Internet at the SEC’s website at www.sec.gov.</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80"/>
          </w:cols>
          <w:pgMar w:left="320" w:top="1440" w:right="399" w:bottom="1440" w:gutter="0" w:footer="0" w:header="0"/>
        </w:sectPr>
      </w:pPr>
    </w:p>
    <w:bookmarkStart w:id="187" w:name="page188"/>
    <w:bookmarkEnd w:id="1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0620" w:type="dxa"/>
            <w:vAlign w:val="bottom"/>
          </w:tcPr>
          <w:p>
            <w:pPr>
              <w:spacing w:after="0"/>
              <w:rPr>
                <w:rFonts w:ascii="Times New Roman" w:cs="Times New Roman" w:eastAsia="Times New Roman" w:hAnsi="Times New Roman"/>
                <w:sz w:val="18"/>
                <w:szCs w:val="18"/>
                <w:u w:val="single" w:color="auto"/>
                <w:color w:val="3051F2"/>
              </w:rPr>
            </w:pPr>
            <w:hyperlink w:anchor="page188">
              <w:r>
                <w:rPr>
                  <w:rFonts w:ascii="Times New Roman" w:cs="Times New Roman" w:eastAsia="Times New Roman" w:hAnsi="Times New Roman"/>
                  <w:sz w:val="18"/>
                  <w:szCs w:val="18"/>
                  <w:u w:val="single" w:color="auto"/>
                  <w:color w:val="3051F2"/>
                </w:rPr>
                <w:t>Report of Independent Registered Public Accounting Firm</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3"/>
          </w:tcPr>
          <w:p>
            <w:pPr>
              <w:jc w:val="center"/>
              <w:ind w:right="180"/>
              <w:spacing w:after="0"/>
              <w:rPr>
                <w:rFonts w:ascii="Times New Roman" w:cs="Times New Roman" w:eastAsia="Times New Roman" w:hAnsi="Times New Roman"/>
                <w:sz w:val="18"/>
                <w:szCs w:val="18"/>
                <w:u w:val="single" w:color="auto"/>
                <w:color w:val="0000FF"/>
                <w:w w:val="95"/>
              </w:rPr>
            </w:pPr>
            <w:hyperlink w:anchor="page188">
              <w:r>
                <w:rPr>
                  <w:rFonts w:ascii="Times New Roman" w:cs="Times New Roman" w:eastAsia="Times New Roman" w:hAnsi="Times New Roman"/>
                  <w:sz w:val="18"/>
                  <w:szCs w:val="18"/>
                  <w:u w:val="single" w:color="auto"/>
                  <w:color w:val="0000FF"/>
                  <w:w w:val="95"/>
                </w:rPr>
                <w:t>F-</w:t>
              </w:r>
              <w:r>
                <w:rPr>
                  <w:rFonts w:ascii="Times New Roman" w:cs="Times New Roman" w:eastAsia="Times New Roman" w:hAnsi="Times New Roman"/>
                  <w:sz w:val="18"/>
                  <w:szCs w:val="18"/>
                  <w:u w:val="single" w:color="auto"/>
                  <w:color w:val="3051F2"/>
                  <w:w w:val="95"/>
                </w:rPr>
                <w:t>2</w:t>
              </w:r>
            </w:hyperlink>
          </w:p>
        </w:tc>
      </w:tr>
      <w:tr>
        <w:trPr>
          <w:trHeight w:val="194"/>
        </w:trPr>
        <w:tc>
          <w:tcPr>
            <w:tcW w:w="10620" w:type="dxa"/>
            <w:vAlign w:val="bottom"/>
          </w:tcPr>
          <w:p>
            <w:pPr>
              <w:spacing w:after="0" w:line="194" w:lineRule="exact"/>
              <w:rPr>
                <w:rFonts w:ascii="Times New Roman" w:cs="Times New Roman" w:eastAsia="Times New Roman" w:hAnsi="Times New Roman"/>
                <w:sz w:val="18"/>
                <w:szCs w:val="18"/>
                <w:u w:val="single" w:color="auto"/>
                <w:color w:val="3051F2"/>
              </w:rPr>
            </w:pPr>
            <w:hyperlink w:anchor="page189">
              <w:r>
                <w:rPr>
                  <w:rFonts w:ascii="Times New Roman" w:cs="Times New Roman" w:eastAsia="Times New Roman" w:hAnsi="Times New Roman"/>
                  <w:sz w:val="18"/>
                  <w:szCs w:val="18"/>
                  <w:u w:val="single" w:color="auto"/>
                  <w:color w:val="3051F2"/>
                </w:rPr>
                <w:t>Balance Sheets</w:t>
              </w:r>
            </w:hyperlink>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3"/>
          </w:tcPr>
          <w:p>
            <w:pPr>
              <w:jc w:val="center"/>
              <w:ind w:right="180"/>
              <w:spacing w:after="0" w:line="194" w:lineRule="exact"/>
              <w:rPr>
                <w:rFonts w:ascii="Times New Roman" w:cs="Times New Roman" w:eastAsia="Times New Roman" w:hAnsi="Times New Roman"/>
                <w:sz w:val="18"/>
                <w:szCs w:val="18"/>
                <w:color w:val="3051F2"/>
                <w:w w:val="95"/>
              </w:rPr>
            </w:pPr>
            <w:hyperlink w:anchor="page189">
              <w:r>
                <w:rPr>
                  <w:rFonts w:ascii="Times New Roman" w:cs="Times New Roman" w:eastAsia="Times New Roman" w:hAnsi="Times New Roman"/>
                  <w:sz w:val="18"/>
                  <w:szCs w:val="18"/>
                  <w:color w:val="3051F2"/>
                  <w:w w:val="95"/>
                </w:rPr>
                <w:t>F-3</w:t>
              </w:r>
            </w:hyperlink>
          </w:p>
        </w:tc>
      </w:tr>
      <w:tr>
        <w:trPr>
          <w:trHeight w:val="20"/>
        </w:trPr>
        <w:tc>
          <w:tcPr>
            <w:tcW w:w="10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0620" w:type="dxa"/>
            <w:vAlign w:val="bottom"/>
          </w:tcPr>
          <w:p>
            <w:pPr>
              <w:spacing w:after="0"/>
              <w:rPr>
                <w:rFonts w:ascii="Times New Roman" w:cs="Times New Roman" w:eastAsia="Times New Roman" w:hAnsi="Times New Roman"/>
                <w:sz w:val="18"/>
                <w:szCs w:val="18"/>
                <w:u w:val="single" w:color="auto"/>
                <w:color w:val="3051F2"/>
              </w:rPr>
            </w:pPr>
            <w:hyperlink w:anchor="page191">
              <w:r>
                <w:rPr>
                  <w:rFonts w:ascii="Times New Roman" w:cs="Times New Roman" w:eastAsia="Times New Roman" w:hAnsi="Times New Roman"/>
                  <w:sz w:val="18"/>
                  <w:szCs w:val="18"/>
                  <w:u w:val="single" w:color="auto"/>
                  <w:color w:val="3051F2"/>
                </w:rPr>
                <w:t>Statements of Operations and Comprehensive Loss</w:t>
              </w:r>
            </w:hyperlink>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center"/>
              <w:ind w:right="180"/>
              <w:spacing w:after="0"/>
              <w:rPr>
                <w:rFonts w:ascii="Times New Roman" w:cs="Times New Roman" w:eastAsia="Times New Roman" w:hAnsi="Times New Roman"/>
                <w:sz w:val="18"/>
                <w:szCs w:val="18"/>
                <w:color w:val="3051F2"/>
                <w:w w:val="95"/>
              </w:rPr>
            </w:pPr>
            <w:hyperlink w:anchor="page191">
              <w:r>
                <w:rPr>
                  <w:rFonts w:ascii="Times New Roman" w:cs="Times New Roman" w:eastAsia="Times New Roman" w:hAnsi="Times New Roman"/>
                  <w:sz w:val="18"/>
                  <w:szCs w:val="18"/>
                  <w:color w:val="3051F2"/>
                  <w:w w:val="95"/>
                </w:rPr>
                <w:t>F-5</w:t>
              </w:r>
            </w:hyperlink>
          </w:p>
        </w:tc>
      </w:tr>
      <w:tr>
        <w:trPr>
          <w:trHeight w:val="20"/>
        </w:trPr>
        <w:tc>
          <w:tcPr>
            <w:tcW w:w="10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620" w:type="dxa"/>
            <w:vAlign w:val="bottom"/>
          </w:tcPr>
          <w:p>
            <w:pPr>
              <w:spacing w:after="0"/>
              <w:rPr>
                <w:rFonts w:ascii="Times New Roman" w:cs="Times New Roman" w:eastAsia="Times New Roman" w:hAnsi="Times New Roman"/>
                <w:sz w:val="18"/>
                <w:szCs w:val="18"/>
                <w:u w:val="single" w:color="auto"/>
                <w:color w:val="3051F2"/>
              </w:rPr>
            </w:pPr>
            <w:hyperlink w:anchor="page192">
              <w:r>
                <w:rPr>
                  <w:rFonts w:ascii="Times New Roman" w:cs="Times New Roman" w:eastAsia="Times New Roman" w:hAnsi="Times New Roman"/>
                  <w:sz w:val="18"/>
                  <w:szCs w:val="18"/>
                  <w:u w:val="single" w:color="auto"/>
                  <w:color w:val="3051F2"/>
                </w:rPr>
                <w:t>Statements of Changes in Stockholders’ Equity</w:t>
              </w:r>
            </w:hyperlink>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center"/>
              <w:ind w:right="180"/>
              <w:spacing w:after="0"/>
              <w:rPr>
                <w:rFonts w:ascii="Times New Roman" w:cs="Times New Roman" w:eastAsia="Times New Roman" w:hAnsi="Times New Roman"/>
                <w:sz w:val="18"/>
                <w:szCs w:val="18"/>
                <w:color w:val="3051F2"/>
                <w:w w:val="95"/>
              </w:rPr>
            </w:pPr>
            <w:hyperlink w:anchor="page192">
              <w:r>
                <w:rPr>
                  <w:rFonts w:ascii="Times New Roman" w:cs="Times New Roman" w:eastAsia="Times New Roman" w:hAnsi="Times New Roman"/>
                  <w:sz w:val="18"/>
                  <w:szCs w:val="18"/>
                  <w:color w:val="3051F2"/>
                  <w:w w:val="95"/>
                </w:rPr>
                <w:t>F-6</w:t>
              </w:r>
            </w:hyperlink>
          </w:p>
        </w:tc>
      </w:tr>
      <w:tr>
        <w:trPr>
          <w:trHeight w:val="20"/>
        </w:trPr>
        <w:tc>
          <w:tcPr>
            <w:tcW w:w="10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0620" w:type="dxa"/>
            <w:vAlign w:val="bottom"/>
          </w:tcPr>
          <w:p>
            <w:pPr>
              <w:spacing w:after="0"/>
              <w:rPr>
                <w:rFonts w:ascii="Times New Roman" w:cs="Times New Roman" w:eastAsia="Times New Roman" w:hAnsi="Times New Roman"/>
                <w:sz w:val="18"/>
                <w:szCs w:val="18"/>
                <w:u w:val="single" w:color="auto"/>
                <w:color w:val="3051F2"/>
              </w:rPr>
            </w:pPr>
            <w:hyperlink w:anchor="page194">
              <w:r>
                <w:rPr>
                  <w:rFonts w:ascii="Times New Roman" w:cs="Times New Roman" w:eastAsia="Times New Roman" w:hAnsi="Times New Roman"/>
                  <w:sz w:val="18"/>
                  <w:szCs w:val="18"/>
                  <w:u w:val="single" w:color="auto"/>
                  <w:color w:val="3051F2"/>
                </w:rPr>
                <w:t>Statements of Cash Flows</w:t>
              </w:r>
            </w:hyperlink>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center"/>
              <w:ind w:right="180"/>
              <w:spacing w:after="0"/>
              <w:rPr>
                <w:rFonts w:ascii="Times New Roman" w:cs="Times New Roman" w:eastAsia="Times New Roman" w:hAnsi="Times New Roman"/>
                <w:sz w:val="18"/>
                <w:szCs w:val="18"/>
                <w:color w:val="3051F2"/>
                <w:w w:val="95"/>
              </w:rPr>
            </w:pPr>
            <w:hyperlink w:anchor="page194">
              <w:r>
                <w:rPr>
                  <w:rFonts w:ascii="Times New Roman" w:cs="Times New Roman" w:eastAsia="Times New Roman" w:hAnsi="Times New Roman"/>
                  <w:sz w:val="18"/>
                  <w:szCs w:val="18"/>
                  <w:color w:val="3051F2"/>
                  <w:w w:val="95"/>
                </w:rPr>
                <w:t>F-8</w:t>
              </w:r>
            </w:hyperlink>
          </w:p>
        </w:tc>
      </w:tr>
      <w:tr>
        <w:trPr>
          <w:trHeight w:val="20"/>
        </w:trPr>
        <w:tc>
          <w:tcPr>
            <w:tcW w:w="10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620" w:type="dxa"/>
            <w:vAlign w:val="bottom"/>
          </w:tcPr>
          <w:p>
            <w:pPr>
              <w:spacing w:after="0"/>
              <w:rPr>
                <w:rFonts w:ascii="Times New Roman" w:cs="Times New Roman" w:eastAsia="Times New Roman" w:hAnsi="Times New Roman"/>
                <w:sz w:val="18"/>
                <w:szCs w:val="18"/>
                <w:u w:val="single" w:color="auto"/>
                <w:color w:val="3051F2"/>
              </w:rPr>
            </w:pPr>
            <w:hyperlink w:anchor="page196">
              <w:r>
                <w:rPr>
                  <w:rFonts w:ascii="Times New Roman" w:cs="Times New Roman" w:eastAsia="Times New Roman" w:hAnsi="Times New Roman"/>
                  <w:sz w:val="18"/>
                  <w:szCs w:val="18"/>
                  <w:u w:val="single" w:color="auto"/>
                  <w:color w:val="3051F2"/>
                </w:rPr>
                <w:t>Notes to Financial Statements</w:t>
              </w:r>
            </w:hyperlink>
          </w:p>
        </w:tc>
        <w:tc>
          <w:tcPr>
            <w:tcW w:w="140" w:type="dxa"/>
            <w:vAlign w:val="bottom"/>
          </w:tcPr>
          <w:p>
            <w:pPr>
              <w:spacing w:after="0"/>
              <w:rPr>
                <w:sz w:val="18"/>
                <w:szCs w:val="18"/>
                <w:color w:val="auto"/>
              </w:rPr>
            </w:pPr>
          </w:p>
        </w:tc>
        <w:tc>
          <w:tcPr>
            <w:tcW w:w="340" w:type="dxa"/>
            <w:vAlign w:val="bottom"/>
            <w:tcBorders>
              <w:bottom w:val="single" w:sz="8" w:color="3051F2"/>
            </w:tcBorders>
            <w:gridSpan w:val="3"/>
          </w:tcPr>
          <w:p>
            <w:pPr>
              <w:jc w:val="center"/>
              <w:spacing w:after="0"/>
              <w:rPr>
                <w:rFonts w:ascii="Times New Roman" w:cs="Times New Roman" w:eastAsia="Times New Roman" w:hAnsi="Times New Roman"/>
                <w:sz w:val="18"/>
                <w:szCs w:val="18"/>
                <w:color w:val="3051F2"/>
                <w:w w:val="99"/>
              </w:rPr>
            </w:pPr>
            <w:hyperlink w:anchor="page196">
              <w:r>
                <w:rPr>
                  <w:rFonts w:ascii="Times New Roman" w:cs="Times New Roman" w:eastAsia="Times New Roman" w:hAnsi="Times New Roman"/>
                  <w:sz w:val="18"/>
                  <w:szCs w:val="18"/>
                  <w:color w:val="3051F2"/>
                  <w:w w:val="99"/>
                </w:rPr>
                <w:t>F-10</w:t>
              </w:r>
            </w:hyperlink>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17" w:right="339" w:bottom="1440" w:gutter="0" w:footer="0" w:header="0"/>
        </w:sectPr>
      </w:pPr>
    </w:p>
    <w:bookmarkStart w:id="188" w:name="page189"/>
    <w:bookmarkEnd w:id="18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320" w:top="1440" w:right="35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receivables, related parties</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123,325</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rent, current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Convertible preferred stock, $0.00001 par value; 23,527,671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and 47,450,748 shares authorized, issued and outstanding</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as of December 31, 2018 and 2019, respectively,</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62,117,414 shares authorized and 62,117,410 shares issued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and outstanding as of September 30, 2020 (unaudited);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aggregate liquidation preference of $36,000, $108,500,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$163,500 as of December 31, 2018 and 2019,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September 30, 2020 (unaudited), respectively; no shares</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162,849</w:t>
            </w:r>
          </w:p>
        </w:tc>
        <w:tc>
          <w:tcPr>
            <w:tcW w:w="420" w:type="dxa"/>
            <w:vAlign w:val="bottom"/>
          </w:tcPr>
          <w:p>
            <w:pPr>
              <w:spacing w:after="0"/>
              <w:rPr>
                <w:sz w:val="15"/>
                <w:szCs w:val="15"/>
                <w:color w:val="auto"/>
              </w:rPr>
            </w:pPr>
          </w:p>
        </w:tc>
        <w:tc>
          <w:tcPr>
            <w:tcW w:w="124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and outstanding, pro forma (unaudited)</w:t>
            </w:r>
          </w:p>
        </w:tc>
        <w:tc>
          <w:tcPr>
            <w:tcW w:w="3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1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$0.00001 par value; 60,000,000,</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91,500,000, and 120,000,000 shares authorized as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December 31, 2018 and 2019, and September 30, 2020</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(unaudited), respectively; 6,118,051, 6,094,516, and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7,054,694 shares issued and outstanding as of December</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31, 2018 and 2019, and September 30, 2020 (unaudited),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respectively; 69,172,104 shares issued and outstanding as</w:t>
            </w: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September 30, 2020, pro forma (unaudited)</w:t>
            </w:r>
          </w:p>
        </w:tc>
        <w:tc>
          <w:tcPr>
            <w:tcW w:w="5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stock, $0.00001 par value; 20,000,000</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shares authorized as of December 31, 2018 and 2019,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September 30, 2020 (unaudited), respectively; 20,000,000</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shares issued and outstanding as of December 31, 2018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2019, and September 30, 2020 (unaudited), respectively;</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20,000,000 shares issued and outstanding as of September</w:t>
            </w:r>
          </w:p>
        </w:tc>
        <w:tc>
          <w:tcPr>
            <w:tcW w:w="56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 2020, pro forma (unaudited)</w:t>
            </w:r>
          </w:p>
        </w:tc>
        <w:tc>
          <w:tcPr>
            <w:tcW w:w="5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167,992</w:t>
            </w: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64"/>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87,679</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0" w:type="dxa"/>
            <w:vAlign w:val="bottom"/>
          </w:tcPr>
          <w:p>
            <w:pPr>
              <w:spacing w:after="0"/>
              <w:rPr>
                <w:sz w:val="1"/>
                <w:szCs w:val="1"/>
                <w:color w:val="auto"/>
              </w:rPr>
            </w:pPr>
          </w:p>
        </w:tc>
      </w:tr>
      <w:tr>
        <w:trPr>
          <w:trHeight w:val="45"/>
        </w:trPr>
        <w:tc>
          <w:tcPr>
            <w:tcW w:w="47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60" w:type="dxa"/>
            <w:vAlign w:val="bottom"/>
            <w:tcBorders>
              <w:top w:val="single" w:sz="8" w:color="CCEEFF"/>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1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spacing w:after="0" w:line="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1"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revenue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vMerge w:val="continue"/>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480" w:type="dxa"/>
            <w:vAlign w:val="bottom"/>
            <w:gridSpan w:val="2"/>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vMerge w:val="continue"/>
            <w:shd w:val="clear" w:color="auto" w:fill="CCEEFF"/>
          </w:tcPr>
          <w:p>
            <w:pPr>
              <w:spacing w:after="0"/>
              <w:rPr>
                <w:sz w:val="22"/>
                <w:szCs w:val="22"/>
                <w:color w:val="auto"/>
              </w:rPr>
            </w:pPr>
          </w:p>
        </w:tc>
        <w:tc>
          <w:tcPr>
            <w:tcW w:w="11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8,502,926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14,878,157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13,987,682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20,778,317</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common share, basic and diluted</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weighted-average common shares used to compute</w:t>
            </w: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common share (unaudited)</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45,913,238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75,804,154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A and Class B Common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20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2060" w:type="dxa"/>
            <w:vAlign w:val="bottom"/>
            <w:gridSpan w:val="5"/>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30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tcPr>
          <w:p>
            <w:pPr>
              <w:jc w:val="right"/>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6,607,201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22,387,500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1,809,821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restricted Class A common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16,920,470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23,527,671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26,118,051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29,975</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Series C convertible preferred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16,798,459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stock upon extinguishment of convertible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124,618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40"/>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w:t>
            </w:r>
          </w:p>
        </w:tc>
        <w:tc>
          <w:tcPr>
            <w:tcW w:w="0" w:type="dxa"/>
            <w:vAlign w:val="bottom"/>
          </w:tcPr>
          <w:p>
            <w:pPr>
              <w:spacing w:after="0"/>
              <w:rPr>
                <w:sz w:val="1"/>
                <w:szCs w:val="1"/>
                <w:color w:val="auto"/>
              </w:rPr>
            </w:pPr>
          </w:p>
        </w:tc>
      </w:tr>
      <w:tr>
        <w:trPr>
          <w:trHeight w:val="24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47,450,748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26,094,516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7"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A and Class B Common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20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2060" w:type="dxa"/>
            <w:vAlign w:val="bottom"/>
            <w:gridSpan w:val="5"/>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30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tcPr>
          <w:p>
            <w:pPr>
              <w:jc w:val="right"/>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23,527,671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26,118,051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29,975</w:t>
            </w:r>
          </w:p>
        </w:tc>
        <w:tc>
          <w:tcPr>
            <w:tcW w:w="0" w:type="dxa"/>
            <w:vAlign w:val="bottom"/>
          </w:tcPr>
          <w:p>
            <w:pPr>
              <w:spacing w:after="0"/>
              <w:rPr>
                <w:sz w:val="1"/>
                <w:szCs w:val="1"/>
                <w:color w:val="auto"/>
              </w:rPr>
            </w:pPr>
          </w:p>
        </w:tc>
      </w:tr>
      <w:tr>
        <w:trPr>
          <w:trHeight w:val="162"/>
        </w:trPr>
        <w:tc>
          <w:tcPr>
            <w:tcW w:w="30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270,840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3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Series C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6"/>
                <w:szCs w:val="16"/>
                <w:color w:val="auto"/>
              </w:rPr>
              <w:t>stock, net of issuance costs of $153</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(unaudited)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(unaudited)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loss (unaudited)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0" w:type="dxa"/>
            <w:vAlign w:val="bottom"/>
          </w:tcPr>
          <w:p>
            <w:pPr>
              <w:spacing w:after="0"/>
              <w:rPr>
                <w:sz w:val="1"/>
                <w:szCs w:val="1"/>
                <w:color w:val="auto"/>
              </w:rPr>
            </w:pPr>
          </w:p>
        </w:tc>
      </w:tr>
      <w:tr>
        <w:trPr>
          <w:trHeight w:val="26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2019 (unaudited)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30,527,671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26,078,891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47,450,748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107,953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26,094,516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87,679</w:t>
            </w: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1,420,792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D-1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stock, net of issuance costs of $104</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14,666,662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54,896</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 of PrognomIQ shares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(unaudited)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0" w:type="dxa"/>
            <w:vAlign w:val="bottom"/>
          </w:tcPr>
          <w:p>
            <w:pPr>
              <w:spacing w:after="0"/>
              <w:rPr>
                <w:sz w:val="1"/>
                <w:szCs w:val="1"/>
                <w:color w:val="auto"/>
              </w:rPr>
            </w:pPr>
          </w:p>
        </w:tc>
      </w:tr>
      <w:tr>
        <w:trPr>
          <w:trHeight w:val="240"/>
        </w:trPr>
        <w:tc>
          <w:tcPr>
            <w:tcW w:w="3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(unaudited)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4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2020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62,117,410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27,054,694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(42,425)</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125,536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33655</wp:posOffset>
            </wp:positionV>
            <wp:extent cx="2040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33655</wp:posOffset>
            </wp:positionV>
            <wp:extent cx="20485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5"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(19,839)</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193"/>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amortization of premium (accretion of discount) on available-for-sale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securities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3"/>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interest expense and other adjustments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receivables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3"/>
        </w:trPr>
        <w:tc>
          <w:tcPr>
            <w:tcW w:w="4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4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rent</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93"/>
        </w:trPr>
        <w:tc>
          <w:tcPr>
            <w:tcW w:w="4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expenses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4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(75,624)</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equity method investee</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6"/>
        </w:trPr>
        <w:tc>
          <w:tcPr>
            <w:tcW w:w="47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restricted stock</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exercise of Class A common stock options including early</w:t>
            </w:r>
          </w:p>
        </w:tc>
        <w:tc>
          <w:tcPr>
            <w:tcW w:w="6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89"/>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 options</w:t>
            </w:r>
          </w:p>
        </w:tc>
        <w:tc>
          <w:tcPr>
            <w:tcW w:w="6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Series B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C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Series D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D-1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54,896</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deferred offering 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55,395</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25,126</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17,828</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type w:val="continuous"/>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434340</wp:posOffset>
            </wp:positionV>
            <wp:extent cx="4149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00" w:type="dxa"/>
            <w:vAlign w:val="bottom"/>
          </w:tcPr>
          <w:p>
            <w:pPr>
              <w:spacing w:after="0"/>
              <w:rPr>
                <w:sz w:val="18"/>
                <w:szCs w:val="18"/>
                <w:color w:val="auto"/>
              </w:rPr>
            </w:pP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purchases included in accrued expenses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3"/>
        </w:trPr>
        <w:tc>
          <w:tcPr>
            <w:tcW w:w="470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Issuance of Series D convertible preferred stock upon extinguishment of</w:t>
            </w:r>
          </w:p>
        </w:tc>
        <w:tc>
          <w:tcPr>
            <w:tcW w:w="6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9"/>
                <w:szCs w:val="9"/>
                <w:color w:val="auto"/>
              </w:rPr>
            </w:pPr>
          </w:p>
        </w:tc>
        <w:tc>
          <w:tcPr>
            <w:tcW w:w="7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notes</w:t>
            </w:r>
          </w:p>
        </w:tc>
        <w:tc>
          <w:tcPr>
            <w:tcW w:w="6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preferred stock issuance costs included in accrued expenses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improvements paid by landlord</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offering costs in accounts payable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 in accrued expenses</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2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22"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29"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Management bases its estimates on historical experience and on various other assumptions that are believed to be reasonable under the circumstances, the results of which form the basis for making judgments about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117" w:right="35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values of assets and liabilities that are not readily apparent from other sources. Actual results may differ materially from those estimates.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Unaudited Pro Forma Balance Sheet</w:t>
      </w:r>
    </w:p>
    <w:p>
      <w:pPr>
        <w:spacing w:after="0" w:line="17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balance sheet information as of September 30, 2020, assumes all shares of convertible preferred stock had automatically converted into an aggregate of 62,117,410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26"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Unaudited Pro Forma Net Loss Per Share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5" w:lineRule="exact"/>
        <w:rPr>
          <w:sz w:val="20"/>
          <w:szCs w:val="20"/>
          <w:color w:val="auto"/>
        </w:rPr>
      </w:pPr>
    </w:p>
    <w:p>
      <w:pPr>
        <w:ind w:right="280" w:firstLine="324"/>
        <w:spacing w:after="0" w:line="281" w:lineRule="auto"/>
        <w:rPr>
          <w:sz w:val="20"/>
          <w:szCs w:val="20"/>
          <w:color w:val="auto"/>
        </w:rPr>
      </w:pPr>
      <w:r>
        <w:rPr>
          <w:rFonts w:ascii="Times New Roman" w:cs="Times New Roman" w:eastAsia="Times New Roman" w:hAnsi="Times New Roman"/>
          <w:sz w:val="17"/>
          <w:szCs w:val="17"/>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7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34"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20"/>
          </w:cols>
          <w:pgMar w:left="320" w:top="117" w:right="35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3" w:lineRule="exact"/>
        <w:rPr>
          <w:sz w:val="20"/>
          <w:szCs w:val="20"/>
          <w:color w:val="auto"/>
        </w:rPr>
      </w:pPr>
    </w:p>
    <w:p>
      <w:pPr>
        <w:ind w:left="340" w:right="360"/>
        <w:spacing w:after="0" w:line="438" w:lineRule="auto"/>
        <w:rPr>
          <w:sz w:val="20"/>
          <w:szCs w:val="20"/>
          <w:color w:val="auto"/>
        </w:rPr>
      </w:pPr>
      <w:r>
        <w:rPr>
          <w:rFonts w:ascii="Times New Roman" w:cs="Times New Roman" w:eastAsia="Times New Roman" w:hAnsi="Times New Roman"/>
          <w:sz w:val="18"/>
          <w:szCs w:val="18"/>
          <w:color w:val="auto"/>
        </w:rPr>
        <w:t xml:space="preserve">As of September 30, 2020 (unaudited), the Company has an equity method investment in PrognomIQ. Refer to Note 11 for additional information. </w:t>
      </w:r>
      <w:r>
        <w:rPr>
          <w:rFonts w:ascii="Times New Roman" w:cs="Times New Roman" w:eastAsia="Times New Roman" w:hAnsi="Times New Roman"/>
          <w:sz w:val="18"/>
          <w:szCs w:val="18"/>
          <w:b w:val="1"/>
          <w:bCs w:val="1"/>
          <w:i w:val="1"/>
          <w:iCs w:val="1"/>
          <w:color w:val="auto"/>
        </w:rPr>
        <w:t>Cash, Cash Equivalents and Restricted Cash</w:t>
      </w:r>
    </w:p>
    <w:p>
      <w:pPr>
        <w:spacing w:after="0" w:line="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Company has designated all investments, which includes U.S. Treasury securities, as available-for-sale, and therefore, such investments are reported at fair value, with unrealized gains and losses excluded from earnings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3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 stated at cost and are not depreciated. Once the assets are placed into service, assets are reclassified to the appropriate asset class on their nature and depreciated in accordance with the useful lives above.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Lease agreements may also include tenant improvement allowances from landlords. The Company recognizes these allowances as a leasehold incentive obligation included in deferred rent on the balance sheets and amortizes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17" w:right="339" w:bottom="1440" w:gutter="0" w:footer="0" w:header="0"/>
        </w:sectPr>
      </w:pPr>
    </w:p>
    <w:bookmarkStart w:id="201" w:name="page202"/>
    <w:bookmarkEnd w:id="20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a straight-line basis over the life of the lease. Building improvements made with lease incentives or tenant allowances are capitalized as leasehold improvements and included in property and equipment on the balance sheets.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Revenue</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75"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60"/>
          </w:cols>
          <w:pgMar w:left="320" w:top="117" w:right="41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7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17" w:right="339" w:bottom="1440" w:gutter="0" w:footer="0" w:header="0"/>
        </w:sectPr>
      </w:pPr>
    </w:p>
    <w:bookmarkStart w:id="203" w:name="page204"/>
    <w:bookmarkEnd w:id="20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7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stock options granted to employees and directors, the expected term is calculated using the simplified method for “plain vanilla” stock option awards.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7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yield available on U.S. Treasury zero-coupon issues similar in duration to the expected term of the equity-settled award.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Dividends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expected dividend yield is assumed to be zero as the Company has never paid dividends and has no current plans to pay dividends on its common stock.</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2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117" w:right="439" w:bottom="1440" w:gutter="0" w:footer="0" w:header="0"/>
        </w:sectPr>
      </w:pPr>
    </w:p>
    <w:bookmarkStart w:id="204" w:name="page205"/>
    <w:bookmarkEnd w:id="2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29" w:lineRule="exact"/>
        <w:rPr>
          <w:sz w:val="20"/>
          <w:szCs w:val="20"/>
          <w:color w:val="auto"/>
        </w:rPr>
      </w:pPr>
    </w:p>
    <w:p>
      <w:pPr>
        <w:jc w:val="both"/>
        <w:ind w:right="660" w:firstLine="324"/>
        <w:spacing w:after="0" w:line="312"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8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changes in accumulated other comprehensive income on the Company’s available-for-sale investments related to unrealized gains and losses.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71" w:lineRule="exact"/>
        <w:rPr>
          <w:sz w:val="20"/>
          <w:szCs w:val="20"/>
          <w:color w:val="auto"/>
        </w:rPr>
      </w:pPr>
    </w:p>
    <w:p>
      <w:pPr>
        <w:ind w:left="1380" w:right="220" w:hanging="728"/>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00"/>
          </w:cols>
          <w:pgMar w:left="320" w:top="117" w:right="379" w:bottom="1440" w:gutter="0" w:footer="0" w:header="0"/>
        </w:sectPr>
      </w:pPr>
    </w:p>
    <w:bookmarkStart w:id="205" w:name="page206"/>
    <w:bookmarkEnd w:id="2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other receivables, prepaid expenses, other current assets, accounts payable, and accrued expenses approximate fair value due to their short maturities.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No.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further updated through ASU No. 2016-</w:t>
      </w:r>
    </w:p>
    <w:p>
      <w:pPr>
        <w:spacing w:after="0" w:line="29" w:lineRule="exact"/>
        <w:rPr>
          <w:sz w:val="20"/>
          <w:szCs w:val="20"/>
          <w:color w:val="auto"/>
        </w:rPr>
      </w:pPr>
    </w:p>
    <w:p>
      <w:pPr>
        <w:ind w:right="120" w:firstLine="8"/>
        <w:spacing w:after="0" w:line="253" w:lineRule="auto"/>
        <w:tabs>
          <w:tab w:leader="none" w:pos="27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3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adopted the following accounting standards during the nine months ended September 30, 2020 (unaudited).</w:t>
      </w:r>
    </w:p>
    <w:p>
      <w:pPr>
        <w:spacing w:after="0" w:line="16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that financial assets measured at amortized cost be presented at the net amount expected to be collected. Unrealized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20"/>
          </w:cols>
          <w:pgMar w:left="320" w:top="117" w:right="35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2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that financial assets measured at amortized cost be presented at the net amount expected to be collected. The measurement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20, 2018, the FASB issued ASU No. 2018-07, </w:t>
      </w:r>
      <w:r>
        <w:rPr>
          <w:rFonts w:ascii="Times New Roman" w:cs="Times New Roman" w:eastAsia="Times New Roman" w:hAnsi="Times New Roman"/>
          <w:sz w:val="18"/>
          <w:szCs w:val="18"/>
          <w:i w:val="1"/>
          <w:iCs w:val="1"/>
          <w:color w:val="auto"/>
        </w:rPr>
        <w:t>Compensation—Stock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Accounting, </w:t>
      </w:r>
      <w:r>
        <w:rPr>
          <w:rFonts w:ascii="Times New Roman" w:cs="Times New Roman" w:eastAsia="Times New Roman" w:hAnsi="Times New Roman"/>
          <w:sz w:val="18"/>
          <w:szCs w:val="18"/>
          <w:color w:val="auto"/>
        </w:rPr>
        <w:t>to reduce cost and complexity and to improve financial reporting for share-based payments issued to non-employees. The standard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2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2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 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320" w:top="117" w:right="35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Assets:</w:t>
      </w:r>
      <w:r>
        <w:rPr>
          <w:sz w:val="20"/>
          <w:szCs w:val="20"/>
          <w:color w:val="auto"/>
        </w:rPr>
        <w:tab/>
      </w:r>
      <w:r>
        <w:rPr>
          <w:rFonts w:ascii="Times New Roman" w:cs="Times New Roman" w:eastAsia="Times New Roman" w:hAnsi="Times New Roman"/>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Assets:</w:t>
      </w:r>
      <w:r>
        <w:rPr>
          <w:sz w:val="20"/>
          <w:szCs w:val="20"/>
          <w:color w:val="auto"/>
        </w:rPr>
        <w:tab/>
      </w:r>
      <w:r>
        <w:rPr>
          <w:rFonts w:ascii="Times New Roman" w:cs="Times New Roman" w:eastAsia="Times New Roman" w:hAnsi="Times New Roman"/>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U.S. Treasury securities</w:t>
      </w:r>
      <w:r>
        <w:rPr>
          <w:sz w:val="20"/>
          <w:szCs w:val="20"/>
          <w:color w:val="auto"/>
        </w:rPr>
        <w:tab/>
      </w:r>
      <w:r>
        <w:rPr>
          <w:rFonts w:ascii="Times New Roman" w:cs="Times New Roman" w:eastAsia="Times New Roman" w:hAnsi="Times New Roman"/>
          <w:sz w:val="17"/>
          <w:szCs w:val="17"/>
          <w:color w:val="auto"/>
        </w:rPr>
        <w:t>Investments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Assets:</w:t>
      </w:r>
      <w:r>
        <w:rPr>
          <w:sz w:val="20"/>
          <w:szCs w:val="20"/>
          <w:color w:val="auto"/>
        </w:rPr>
        <w:tab/>
      </w:r>
      <w:r>
        <w:rPr>
          <w:rFonts w:ascii="Times New Roman" w:cs="Times New Roman" w:eastAsia="Times New Roman" w:hAnsi="Times New Roman"/>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U.S. Treasury securities</w:t>
      </w:r>
      <w:r>
        <w:rPr>
          <w:sz w:val="20"/>
          <w:szCs w:val="20"/>
          <w:color w:val="auto"/>
        </w:rPr>
        <w:tab/>
      </w:r>
      <w:r>
        <w:rPr>
          <w:rFonts w:ascii="Times New Roman" w:cs="Times New Roman" w:eastAsia="Times New Roman" w:hAnsi="Times New Roman"/>
          <w:sz w:val="17"/>
          <w:szCs w:val="17"/>
          <w:color w:val="auto"/>
        </w:rPr>
        <w:t>Investments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136525</wp:posOffset>
            </wp:positionV>
            <wp:extent cx="32486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121,506</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5380" w:space="720"/>
            <w:col w:w="5140"/>
          </w:cols>
          <w:pgMar w:left="320" w:top="117" w:right="339" w:bottom="1440" w:gutter="0" w:footer="0" w:header="0"/>
          <w:type w:val="continuous"/>
        </w:sect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Levels 1, 2, or 3 for the periods presented.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68,535</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86,020</w:t>
            </w:r>
          </w:p>
        </w:tc>
      </w:tr>
      <w:tr>
        <w:trPr>
          <w:trHeight w:val="20"/>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type w:val="continuous"/>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103,800</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121,506</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26"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OTHER FINANCIAL STATEMENT INFORMATION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receivables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receivables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liability, current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recorded $0.2 million and $0.4 million of deferred revenue related to the following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Agreements</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2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NIH Grant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2019, the Company received a notice of award from the National Institutes of Health, which will provide funding of approximately</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128"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124,618 shares of Series D convertible preferred stock at a conversion price of $3.25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STOCKHOLDERS’ EQUITY</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is authorized to issue 158,950,748 shares of capital stock consisting of 91,500,000 shares of Class A common stock, 20,000,000 shares of Class B common stock, and 47,450,748 shares of convertible preferred stock.</w:t>
      </w:r>
    </w:p>
    <w:p>
      <w:pPr>
        <w:spacing w:after="0" w:line="10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(unaudited), the Company is authorized to issue 202,117,414 shares of capital stock consisting of 120,000,000 shares of Class A common stock, 20,000,000 shares of Class B common stock, and 62,117,414 shares of convertible preferred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Convertible preferred stock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15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0.9081</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6,607,201</w:t>
            </w:r>
          </w:p>
        </w:tc>
        <w:tc>
          <w:tcPr>
            <w:tcW w:w="2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28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1.7730</w:t>
            </w: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16,920,470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16,920,470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23,527,671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23,527,671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15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0.9081</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6,607,201</w:t>
            </w:r>
          </w:p>
        </w:tc>
        <w:tc>
          <w:tcPr>
            <w:tcW w:w="2040" w:type="dxa"/>
            <w:vAlign w:val="bottom"/>
            <w:gridSpan w:val="5"/>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6,607,201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28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1.7730</w:t>
            </w: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16,920,470</w:t>
            </w:r>
          </w:p>
        </w:tc>
        <w:tc>
          <w:tcPr>
            <w:tcW w:w="2040" w:type="dxa"/>
            <w:vAlign w:val="bottom"/>
            <w:gridSpan w:val="5"/>
          </w:tcPr>
          <w:p>
            <w:pPr>
              <w:jc w:val="right"/>
              <w:ind w:right="6"/>
              <w:spacing w:after="0"/>
              <w:rPr>
                <w:sz w:val="20"/>
                <w:szCs w:val="20"/>
                <w:color w:val="auto"/>
              </w:rPr>
            </w:pPr>
            <w:r>
              <w:rPr>
                <w:rFonts w:ascii="Times New Roman" w:cs="Times New Roman" w:eastAsia="Times New Roman" w:hAnsi="Times New Roman"/>
                <w:sz w:val="18"/>
                <w:szCs w:val="18"/>
                <w:color w:val="auto"/>
              </w:rPr>
              <w:t>16,920,470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040" w:type="dxa"/>
            <w:vAlign w:val="bottom"/>
            <w:gridSpan w:val="5"/>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7,000,000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28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3.2500</w:t>
            </w: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16,923,077</w:t>
            </w:r>
          </w:p>
        </w:tc>
        <w:tc>
          <w:tcPr>
            <w:tcW w:w="2040" w:type="dxa"/>
            <w:vAlign w:val="bottom"/>
            <w:gridSpan w:val="5"/>
          </w:tcPr>
          <w:p>
            <w:pPr>
              <w:jc w:val="right"/>
              <w:ind w:right="6"/>
              <w:spacing w:after="0"/>
              <w:rPr>
                <w:sz w:val="20"/>
                <w:szCs w:val="20"/>
                <w:color w:val="auto"/>
              </w:rPr>
            </w:pPr>
            <w:r>
              <w:rPr>
                <w:rFonts w:ascii="Times New Roman" w:cs="Times New Roman" w:eastAsia="Times New Roman" w:hAnsi="Times New Roman"/>
                <w:sz w:val="18"/>
                <w:szCs w:val="18"/>
                <w:color w:val="auto"/>
              </w:rPr>
              <w:t>16,923,077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47,450,748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9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47,450,748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15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0.9081</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6,607,201</w:t>
            </w:r>
          </w:p>
        </w:tc>
        <w:tc>
          <w:tcPr>
            <w:tcW w:w="2040" w:type="dxa"/>
            <w:vAlign w:val="bottom"/>
            <w:gridSpan w:val="5"/>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6,607,201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28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1.7730</w:t>
            </w: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16,920,470</w:t>
            </w:r>
          </w:p>
        </w:tc>
        <w:tc>
          <w:tcPr>
            <w:tcW w:w="2040" w:type="dxa"/>
            <w:vAlign w:val="bottom"/>
            <w:gridSpan w:val="5"/>
          </w:tcPr>
          <w:p>
            <w:pPr>
              <w:jc w:val="right"/>
              <w:ind w:right="6"/>
              <w:spacing w:after="0"/>
              <w:rPr>
                <w:sz w:val="20"/>
                <w:szCs w:val="20"/>
                <w:color w:val="auto"/>
              </w:rPr>
            </w:pPr>
            <w:r>
              <w:rPr>
                <w:rFonts w:ascii="Times New Roman" w:cs="Times New Roman" w:eastAsia="Times New Roman" w:hAnsi="Times New Roman"/>
                <w:sz w:val="18"/>
                <w:szCs w:val="18"/>
                <w:color w:val="auto"/>
              </w:rPr>
              <w:t>16,920,470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040" w:type="dxa"/>
            <w:vAlign w:val="bottom"/>
            <w:gridSpan w:val="5"/>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7,000,000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28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3.2500</w:t>
            </w:r>
          </w:p>
        </w:tc>
        <w:tc>
          <w:tcPr>
            <w:tcW w:w="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16,923,077</w:t>
            </w:r>
          </w:p>
        </w:tc>
        <w:tc>
          <w:tcPr>
            <w:tcW w:w="2040" w:type="dxa"/>
            <w:vAlign w:val="bottom"/>
            <w:gridSpan w:val="5"/>
          </w:tcPr>
          <w:p>
            <w:pPr>
              <w:jc w:val="right"/>
              <w:ind w:right="6"/>
              <w:spacing w:after="0"/>
              <w:rPr>
                <w:sz w:val="20"/>
                <w:szCs w:val="20"/>
                <w:color w:val="auto"/>
              </w:rPr>
            </w:pPr>
            <w:r>
              <w:rPr>
                <w:rFonts w:ascii="Times New Roman" w:cs="Times New Roman" w:eastAsia="Times New Roman" w:hAnsi="Times New Roman"/>
                <w:sz w:val="18"/>
                <w:szCs w:val="18"/>
                <w:color w:val="auto"/>
              </w:rPr>
              <w:t>16,923,077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3.7500</w:t>
            </w: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14,666,666</w:t>
            </w:r>
          </w:p>
        </w:tc>
        <w:tc>
          <w:tcPr>
            <w:tcW w:w="2040" w:type="dxa"/>
            <w:vAlign w:val="bottom"/>
            <w:gridSpan w:val="5"/>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14,666,662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62,117,414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62,117,410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March and April 2019, the Company issued 7,000,000 shares of its Series C convertible preferred stock at a price per share of $2.50 for net proceeds of $17.3 million.</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November and December 2019, the Company issued 16,798,459 shares of its Series D convertible preferred stock at a price per share of $3.25 for net proceeds of $54.4 million, with such amounts not including the redemption of the Notes (see Note 6).</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issued 14,666,662 shares of its Series D-1 convertible preferred stock in May 2020 at a price per share of $3.75 for net proceeds of $54.9 million.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convertible preferred stock have various rights and preferences,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$0.9081 per share for Series A convertible preferred stock, $1.7730 per share for Series B convertible preferred stock, $2.50 per share of Series C convertible preferred stock, $3.25 per share of Series D convertible preferred stock, and $3.75 per share of Series D-1 convertible preferred stock, each adjusted for any stock splits, combinations, and reorganizations, plus all declared and unpaid dividends on each such share.</w:t>
      </w:r>
    </w:p>
    <w:p>
      <w:pPr>
        <w:spacing w:after="0" w:line="13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2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08" w:lineRule="exact"/>
        <w:rPr>
          <w:sz w:val="20"/>
          <w:szCs w:val="20"/>
          <w:color w:val="auto"/>
        </w:rPr>
      </w:pPr>
    </w:p>
    <w:p>
      <w:pPr>
        <w:ind w:left="340" w:right="1560"/>
        <w:spacing w:after="0" w:line="438" w:lineRule="auto"/>
        <w:rPr>
          <w:sz w:val="20"/>
          <w:szCs w:val="20"/>
          <w:color w:val="auto"/>
        </w:rPr>
      </w:pPr>
      <w:r>
        <w:rPr>
          <w:rFonts w:ascii="Times New Roman" w:cs="Times New Roman" w:eastAsia="Times New Roman" w:hAnsi="Times New Roman"/>
          <w:sz w:val="18"/>
          <w:szCs w:val="18"/>
          <w:color w:val="auto"/>
        </w:rPr>
        <w:t xml:space="preserve">A liquidation event requires approval by the holders of at least a majority of the outstanding shares of convertible preferred stock. </w:t>
      </w:r>
      <w:r>
        <w:rPr>
          <w:rFonts w:ascii="Times New Roman" w:cs="Times New Roman" w:eastAsia="Times New Roman" w:hAnsi="Times New Roman"/>
          <w:sz w:val="18"/>
          <w:szCs w:val="18"/>
          <w:b w:val="1"/>
          <w:bCs w:val="1"/>
          <w:i w:val="1"/>
          <w:iCs w:val="1"/>
          <w:color w:val="auto"/>
        </w:rPr>
        <w:t>Optional Conversion Rights</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Automatic Conversion Rights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shares of Series A convertible preferred stock, Series B convertible preferred stock, Series C convertible preferred stock, Series D convertible preferred stock, and Series D-1 convertible preferred stock shall be entitled to receive dividends of $0.0545, $0.1064, $0.15, $0.195, and $0.225 respectively, per annum on each outstanding share of Series A convertible preferred stock, Series B convertible preferred stock, Series C convertible preferred stock, Series D convertible preferred stock, and Series D-1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7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ectPr>
          <w:pgSz w:w="11900" w:h="16838" w:orient="portrait"/>
          <w:cols w:equalWidth="0" w:num="1">
            <w:col w:w="11240"/>
          </w:cols>
          <w:pgMar w:left="320" w:top="117" w:right="339" w:bottom="1440" w:gutter="0" w:footer="0" w:header="0"/>
        </w:sectPr>
      </w:pP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Common stock issued and outstanding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common stock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1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6,118,051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6,094,516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7,054,694</w:t>
            </w:r>
          </w:p>
        </w:tc>
        <w:tc>
          <w:tcPr>
            <w:tcW w:w="0" w:type="dxa"/>
            <w:vAlign w:val="bottom"/>
          </w:tcPr>
          <w:p>
            <w:pPr>
              <w:spacing w:after="0"/>
              <w:rPr>
                <w:sz w:val="1"/>
                <w:szCs w:val="1"/>
                <w:color w:val="auto"/>
              </w:rPr>
            </w:pPr>
          </w:p>
        </w:tc>
      </w:tr>
      <w:tr>
        <w:trPr>
          <w:trHeight w:val="234"/>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20,000,000</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26,118,051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26,094,516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27,054,694</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5640" w:space="720"/>
            <w:col w:w="4880"/>
          </w:cols>
          <w:pgMar w:left="320" w:top="117" w:right="339" w:bottom="1440" w:gutter="0" w:footer="0" w:header="0"/>
          <w:type w:val="continuous"/>
        </w:sect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2"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 10 years from the date of grant. As of December 31, 2019, and September 30, 2020 (unaudited), the Company has reserved 19,442,199 and 25,283,351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17" w:right="339" w:bottom="1440"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activity under the 2017 Plan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4"/>
                <w:szCs w:val="14"/>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62"/>
        </w:trPr>
        <w:tc>
          <w:tcPr>
            <w:tcW w:w="4700" w:type="dxa"/>
            <w:vAlign w:val="bottom"/>
          </w:tcPr>
          <w:p>
            <w:pPr>
              <w:spacing w:after="0"/>
              <w:rPr>
                <w:sz w:val="14"/>
                <w:szCs w:val="14"/>
                <w:color w:val="auto"/>
              </w:rPr>
            </w:pPr>
          </w:p>
        </w:tc>
        <w:tc>
          <w:tcPr>
            <w:tcW w:w="15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Term (Years)</w:t>
            </w:r>
          </w:p>
        </w:tc>
        <w:tc>
          <w:tcPr>
            <w:tcW w:w="120" w:type="dxa"/>
            <w:vAlign w:val="bottom"/>
          </w:tcPr>
          <w:p>
            <w:pPr>
              <w:spacing w:after="0"/>
              <w:rPr>
                <w:sz w:val="14"/>
                <w:szCs w:val="14"/>
                <w:color w:val="auto"/>
              </w:rPr>
            </w:pP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263,915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0.00001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4,850,473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(1,809,821)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(146,540)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0.00001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3,158,027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3,005</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1,786,827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0.99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4,656,931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4,051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 (unaudited)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13,757,666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 (unaudited)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(1,420,792)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(829,099)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0.95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16,164,706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41,230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December 31, 2019</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231F20"/>
              </w:rPr>
              <w:t>1,448,931</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0.15</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8.55</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1,600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2,126,058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6,863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to employees during the years ended December 31, 2018 and 2019, was $0.77 and $0.75 per share, respectively, and was $0.75 and $0.88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to employees and directors is calculated using the Black-Scholes option pricing model using the following assumptions:</w:t>
      </w:r>
    </w:p>
    <w:p>
      <w:pPr>
        <w:sectPr>
          <w:pgSz w:w="11900" w:h="16838" w:orient="portrait"/>
          <w:cols w:equalWidth="0" w:num="1">
            <w:col w:w="11240"/>
          </w:cols>
          <w:pgMar w:left="320" w:top="117" w:right="339" w:bottom="1440" w:gutter="0" w:footer="0" w:header="0"/>
        </w:sectPr>
      </w:pPr>
    </w:p>
    <w:p>
      <w:pPr>
        <w:spacing w:after="0" w:line="14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720" w:space="720"/>
            <w:col w:w="28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0.3%-1.5%</w:t>
            </w: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62.2%-69.2%</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8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5.21-6.22</w:t>
            </w: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3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granted to non-employees is calculated at each reporting date using the Black-Scholes option pricing model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17" w:right="339" w:bottom="1440" w:gutter="0" w:footer="0" w:header="0"/>
          <w:type w:val="continuous"/>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(information as of September 30, 2020 and for the nine months ended September 30, 2019 and 2020 is 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720" w:space="720"/>
            <w:col w:w="28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2.7%</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- 1.9%</w:t>
            </w:r>
          </w:p>
        </w:tc>
        <w:tc>
          <w:tcPr>
            <w:tcW w:w="17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0.5%-0.7%</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77.5%</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77.7%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68.8%</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72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8.73 – 9.88</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7.73 – 9.49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8.39-9.82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7.38-9.87</w:t>
            </w: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7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activity of restricted shares of Class A common stock under the 2017 Plan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74"/>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5,126,040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3,209,388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(unaudited)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2,552,076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granted certain employees 717,319 RSUs under the 2020 RSU Plan that entitle the holder to receive shares of Class A common stock upon vesting. The Company has not recognized any stock-based compensation for these RSUs, which vest upon 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17" w:right="33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RSUs vest upon the one-year anniversary of the IPO and the remaining 50% vest upon the two-year anniversary of the IPO. The weighted-average grant date fair value of the RSUs was $1.58 per share.</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98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8"/>
        </w:trPr>
        <w:tc>
          <w:tcPr>
            <w:tcW w:w="4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6"/>
                <w:szCs w:val="16"/>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granted to employees and directors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granted to non-employees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 of Class A common stock</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40"/>
          </w:cols>
          <w:pgMar w:left="320" w:top="117" w:right="339" w:bottom="1440" w:gutter="0" w:footer="0" w:header="0"/>
        </w:sectPr>
      </w:pPr>
    </w:p>
    <w:p>
      <w:pPr>
        <w:spacing w:after="0" w:line="155"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33655</wp:posOffset>
            </wp:positionV>
            <wp:extent cx="23399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9" w:lineRule="exact"/>
        <w:rPr>
          <w:sz w:val="20"/>
          <w:szCs w:val="20"/>
          <w:color w:val="auto"/>
        </w:rPr>
      </w:pPr>
    </w:p>
    <w:p>
      <w:pPr>
        <w:ind w:left="4520"/>
        <w:spacing w:after="0"/>
        <w:tabs>
          <w:tab w:leader="none" w:pos="64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33655</wp:posOffset>
            </wp:positionV>
            <wp:extent cx="23399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24765</wp:posOffset>
            </wp:positionV>
            <wp:extent cx="23399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9"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24765</wp:posOffset>
            </wp:positionV>
            <wp:extent cx="23399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580" w:space="720"/>
            <w:col w:w="29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12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127,500 shares of performance-based stock options in February 2018 through June 2019, of which 7,500 shares have vested or been determined to be probable to vest as of December 31, 2019. There is $0.1 million in unrecognized stock-based compensation associated with options not determined to be probable of vesting as of December 31, 2019.</w:t>
      </w:r>
    </w:p>
    <w:p>
      <w:pPr>
        <w:spacing w:after="0" w:line="118"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118"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Facility Lease Agreement</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10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On January 4, 2019, the Company entered into a new lease agreement for office and laboratory space in Redwood City, California. The lease term commenced in November 2019 and ends on September 30, 2029.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26"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2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2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2019, future minimum commitments under the Company’s non-cancelable facility operating lease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48"/>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(unaudited), future minimum commitments under the Company’s non-cancelable facility operating lease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(three months remaining)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r>
      <w:tr>
        <w:trPr>
          <w:trHeight w:val="248"/>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17"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104" w:lineRule="exact"/>
        <w:rPr>
          <w:sz w:val="20"/>
          <w:szCs w:val="20"/>
          <w:color w:val="auto"/>
        </w:rPr>
      </w:pPr>
    </w:p>
    <w:p>
      <w:pPr>
        <w:ind w:left="640" w:hanging="632"/>
        <w:spacing w:after="0"/>
        <w:tabs>
          <w:tab w:leader="none" w:pos="6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PROGNOMIQ, INC. (UNAUDITED)</w:t>
      </w:r>
    </w:p>
    <w:p>
      <w:pPr>
        <w:spacing w:after="0" w:line="175"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2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17"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2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2800" w:type="dxa"/>
            <w:vAlign w:val="bottom"/>
            <w:gridSpan w:val="4"/>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used in computing net loss per</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8,502,926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14,878,157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13,987,682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20,778,317</w:t>
            </w:r>
          </w:p>
        </w:tc>
        <w:tc>
          <w:tcPr>
            <w:tcW w:w="0" w:type="dxa"/>
            <w:vAlign w:val="bottom"/>
          </w:tcPr>
          <w:p>
            <w:pPr>
              <w:spacing w:after="0"/>
              <w:rPr>
                <w:sz w:val="1"/>
                <w:szCs w:val="1"/>
                <w:color w:val="auto"/>
              </w:rPr>
            </w:pPr>
          </w:p>
        </w:tc>
      </w:tr>
      <w:tr>
        <w:trPr>
          <w:trHeight w:val="203"/>
        </w:trPr>
        <w:tc>
          <w:tcPr>
            <w:tcW w:w="50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8"/>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5"/>
                <w:szCs w:val="15"/>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47,450,748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30,527,671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62,117,410</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4,656,931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16,164,706</w:t>
            </w: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14,499,738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7,602,182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3,367,188</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717,319</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59,709,861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82,366,623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1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Net Loss per Share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Unaudited pro forma basic and diluted loss per share is computed as follows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6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7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4"/>
          </w:tcPr>
          <w:p>
            <w:pPr>
              <w:jc w:val="right"/>
              <w:ind w:right="13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Weighted-average common shares used in computing net loss per share attributable to common</w:t>
            </w: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14,878,157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20,778,317</w:t>
            </w:r>
          </w:p>
        </w:tc>
        <w:tc>
          <w:tcPr>
            <w:tcW w:w="0" w:type="dxa"/>
            <w:vAlign w:val="bottom"/>
          </w:tcPr>
          <w:p>
            <w:pPr>
              <w:spacing w:after="0"/>
              <w:rPr>
                <w:sz w:val="1"/>
                <w:szCs w:val="1"/>
                <w:color w:val="auto"/>
              </w:rPr>
            </w:pPr>
          </w:p>
        </w:tc>
      </w:tr>
      <w:tr>
        <w:trPr>
          <w:trHeight w:val="229"/>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to reflect the assumed conversion of convertible preferred stock</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31,035,081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55,025,837</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weighted-average common shares used to compute net loss per share, basic and diluted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45,913,238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75,804,154</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differs from the amount computed by applying the statutory federal income tax rate due to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3"/>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17"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4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22"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2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prior year provisions</w:t>
            </w: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10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2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34"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events subsequent from December 31, 2019 through September 25, 2020, the date at which the financial statements as of and for the years ended December 31, 2018 and 2019 were available to be issued.</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May 2020, the Company issued 14,666,662 shares of its Series D-1 convertible preferred stock at a price per share of $3.75 for gross proceeds of $55.0 million.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17" w:right="33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Amendment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26"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PrognomIQ Transaction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20"/>
          </w:cols>
          <w:pgMar w:left="320" w:top="117" w:right="359" w:bottom="1440" w:gutter="0" w:footer="0" w:header="0"/>
        </w:sectPr>
      </w:pPr>
    </w:p>
    <w:bookmarkStart w:id="223" w:name="page224"/>
    <w:bookmarkEnd w:id="2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118"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(UNAUDITED)</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from December 31, 2019 through October 30, 2020, the date at which the unaudited financial statements as of September 30, 2020 and for the nine months ended September 30, 2019 and 2020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00"/>
          </w:cols>
          <w:pgMar w:left="320" w:top="117" w:right="379" w:bottom="1440" w:gutter="0" w:footer="0" w:header="0"/>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285115</wp:posOffset>
            </wp:positionV>
            <wp:extent cx="1714500" cy="1714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285115</wp:posOffset>
            </wp:positionV>
            <wp:extent cx="35744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43815</wp:posOffset>
            </wp:positionV>
            <wp:extent cx="35744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25" w:name="page226"/>
    <w:bookmarkEnd w:id="225"/>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PAID OR TO</w:t>
            </w:r>
          </w:p>
        </w:tc>
        <w:tc>
          <w:tcPr>
            <w:tcW w:w="0" w:type="dxa"/>
            <w:vAlign w:val="bottom"/>
          </w:tcPr>
          <w:p>
            <w:pPr>
              <w:spacing w:after="0"/>
              <w:rPr>
                <w:sz w:val="1"/>
                <w:szCs w:val="1"/>
                <w:color w:val="auto"/>
              </w:rPr>
            </w:pPr>
          </w:p>
        </w:tc>
      </w:tr>
      <w:tr>
        <w:trPr>
          <w:trHeight w:val="190"/>
        </w:trPr>
        <w:tc>
          <w:tcPr>
            <w:tcW w:w="9680" w:type="dxa"/>
            <w:vAlign w:val="bottom"/>
          </w:tcPr>
          <w:p>
            <w:pPr>
              <w:spacing w:after="0"/>
              <w:rPr>
                <w:sz w:val="16"/>
                <w:szCs w:val="16"/>
                <w:color w:val="auto"/>
              </w:rPr>
            </w:pPr>
          </w:p>
        </w:tc>
        <w:tc>
          <w:tcPr>
            <w:tcW w:w="12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BE PAID</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1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listing fee</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expenses</w:t>
            </w:r>
          </w:p>
        </w:tc>
        <w:tc>
          <w:tcPr>
            <w:tcW w:w="1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8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completed by amendment.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3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liability of the registrant’s directors shall be eliminated or limited to the fullest extent permitted by the DGCL, as so amended.</w:t>
      </w:r>
    </w:p>
    <w:p>
      <w:pPr>
        <w:spacing w:after="0" w:line="17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2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January 1, 2017, we have issued the following unregistered securities: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Issuances of Convertible Preferred Stock</w:t>
      </w:r>
    </w:p>
    <w:p>
      <w:pPr>
        <w:spacing w:after="0" w:line="175" w:lineRule="exact"/>
        <w:rPr>
          <w:sz w:val="20"/>
          <w:szCs w:val="20"/>
          <w:color w:val="auto"/>
        </w:rPr>
      </w:pPr>
    </w:p>
    <w:p>
      <w:pPr>
        <w:ind w:left="660" w:right="18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2017, we sold 6,607,201 shares of Series A convertible preferred stock to eleven accredited investors at a price of $0.9081 per share, for aggregate proceeds of approximately $6,000,000.</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2018, we sold 16,920,470 shares of Series B convertible preferred stock to eleven accredited investors at a price of $1.773 per share, for aggregate proceeds of approximately $30,000,000.</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and April 12, 2019, we sold 4,000,000 and 3,000,000 shares of Series C convertible preferred stock, respectively, to eight accredited investors at a price of $2.50 per share, for total aggregate proceeds of approximately $17,500,000.</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2019, we issued convertible promissory notes in the aggregate principal amount of $400,000 to two accredited investors.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2019 and December 13, 2019, we sold 15,238,082 and 1,684,995 shares of Series D convertible preferred stock, respectively, to 18 accredited investors at a price of $3.25 per share, for total aggregate proceeds of approximately $55,000,000, which consideration included $400,000 in cancellation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0" w:lineRule="exact"/>
        <w:rPr>
          <w:sz w:val="20"/>
          <w:szCs w:val="20"/>
          <w:color w:val="auto"/>
        </w:rPr>
      </w:pPr>
    </w:p>
    <w:p>
      <w:pPr>
        <w:ind w:left="660" w:right="8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2020, we sold 14,666,662 shares of Series D-1 convertible preferred stock to 21 accredited investors at a price of $3.75 per share, for aggregate proceeds of approximately $55,000,000.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 RSU and Common Stock Issuances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January 1, 2017, we have issued the following unregistered securities:</w:t>
      </w:r>
    </w:p>
    <w:p>
      <w:pPr>
        <w:spacing w:after="0" w:line="171" w:lineRule="exact"/>
        <w:rPr>
          <w:sz w:val="20"/>
          <w:szCs w:val="20"/>
          <w:color w:val="auto"/>
        </w:rPr>
      </w:pPr>
    </w:p>
    <w:p>
      <w:pPr>
        <w:jc w:val="both"/>
        <w:ind w:left="660" w:right="20" w:hanging="328"/>
        <w:spacing w:after="0" w:line="266"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 2017 to September 11, 2020, we granted to our directors, officers, employees, consultants and other service providers options to purchase an aggregate of 20,658,881 shares of our Class A common stock under our equity compensation plans, at exercise prices ranging from approximately $0.01 to $1.62 per share.</w:t>
      </w:r>
    </w:p>
    <w:p>
      <w:pPr>
        <w:spacing w:after="0" w:line="12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 2017 to July 28, 2020, we issued and sold to our officers, directors, employees (including awards assumed through acquisitions), consultants and other service providers an aggregate of 2,844,160 shares of our Class A common stock upon the exercise of options under our equity compensation plans at exercise prices ranging from $0.01 to $1.62 per share, for a weighted-average exercise price of $0.22 per share.</w:t>
      </w:r>
    </w:p>
    <w:p>
      <w:pPr>
        <w:spacing w:after="0" w:line="1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1, 2020 to August 21, 2020, we granted to our directors, officers, employees, consultants and other service providers an aggregate of 717,319 RSUs to be settled in shares of our Class A common stock under our equity compensation plans.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 and Financial Statement Schedules</w:t>
      </w:r>
    </w:p>
    <w:p>
      <w:pPr>
        <w:spacing w:after="0" w:line="171"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04" w:lineRule="exact"/>
        <w:rPr>
          <w:sz w:val="20"/>
          <w:szCs w:val="20"/>
          <w:color w:val="auto"/>
        </w:rPr>
      </w:pPr>
    </w:p>
    <w:p>
      <w:pPr>
        <w:ind w:left="640" w:hanging="308"/>
        <w:spacing w:after="0"/>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hereby undertakes that:</w:t>
      </w:r>
    </w:p>
    <w:p>
      <w:pPr>
        <w:spacing w:after="0" w:line="171" w:lineRule="exact"/>
        <w:rPr>
          <w:sz w:val="20"/>
          <w:szCs w:val="20"/>
          <w:color w:val="auto"/>
        </w:rPr>
      </w:pPr>
    </w:p>
    <w:p>
      <w:pPr>
        <w:ind w:left="660" w:hanging="328"/>
        <w:spacing w:after="0" w:line="266" w:lineRule="auto"/>
        <w:tabs>
          <w:tab w:leader="none" w:pos="65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00"/>
          </w:cols>
          <w:pgMar w:left="320" w:top="1440" w:right="379" w:bottom="1440" w:gutter="0" w:footer="0" w:header="0"/>
        </w:sectPr>
      </w:pPr>
    </w:p>
    <w:bookmarkStart w:id="229" w:name="page230"/>
    <w:bookmarkEnd w:id="229"/>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8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as currently in effect.</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upon completion of this offering.</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the Registrant, as amended, as currently in effect.</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upon completion of this offering.</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common stock certificate of the Registrant.</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Amended and Restated Investors’ Rights Agreement, by and among the Registrant and certain holders of its capital stock, dated as of</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2020.</w:t>
            </w:r>
          </w:p>
        </w:tc>
        <w:tc>
          <w:tcPr>
            <w:tcW w:w="2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Wilson Sonsini Goodrich &amp; Rosati, P.C.</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Equity Incentive Plan and related form agreements.</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Equity Incentive Plan and related form agreements.</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RSU Equity Incentive Plan and related form agreements.</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Employee Stock Purchase Plan.</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 Executive Change in Control and Severance Plan, and form of Participation Agreement thereunder.</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Confirmatory Offer Letter between the Registrant and Dr. Omid Farokhzad, effective as of</w:t>
            </w:r>
          </w:p>
        </w:tc>
        <w:tc>
          <w:tcPr>
            <w:tcW w:w="24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 2020.</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Confirmatory Offer Letter between the Registrant and Omead Ostadan, effective as of</w:t>
            </w:r>
          </w:p>
        </w:tc>
        <w:tc>
          <w:tcPr>
            <w:tcW w:w="24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 2020.</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Confirmatory Offer Letter between the Registrant and David Horn, effective as of</w:t>
            </w:r>
          </w:p>
        </w:tc>
        <w:tc>
          <w:tcPr>
            <w:tcW w:w="24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 2020.</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 Change in Control and Severance Agreement between the Registrant and Dr. Omid Farokhzad, effective as of</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2020.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Confirmatory Offer Letter between the Registrant and Dr. Omid Farokhzad, effective as of</w:t>
            </w: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 2020.</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Change in Control and Severance Agreement.</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Director Compensation Policy.</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Umbrella Development &amp; Supply Agreement between the Registrant and Hamilton Company, dated March 9, 2020.</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Exclusive Patent License Agreement between the Registrant and The Brigham and Women’s Hospital, Inc., dated December 18, 2017.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Deloitte &amp; Touche LLP, independent registered public accounting firm.</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Wilson Sonsini Goodrich &amp; Rosati, Professional Corporation (included in Exhibit 5.1).</w:t>
            </w:r>
          </w:p>
        </w:tc>
        <w:tc>
          <w:tcPr>
            <w:tcW w:w="740" w:type="dxa"/>
            <w:vAlign w:val="bottom"/>
          </w:tcPr>
          <w:p>
            <w:pPr>
              <w:spacing w:after="0"/>
              <w:rPr>
                <w:sz w:val="24"/>
                <w:szCs w:val="24"/>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submitted.</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management contract or compensatory plan.</w:t>
      </w:r>
    </w:p>
    <w:p>
      <w:pPr>
        <w:spacing w:after="0" w:line="1" w:lineRule="exact"/>
        <w:rPr>
          <w:rFonts w:ascii="Times New Roman" w:cs="Times New Roman" w:eastAsia="Times New Roman" w:hAnsi="Times New Roman"/>
          <w:sz w:val="14"/>
          <w:szCs w:val="14"/>
          <w:color w:val="auto"/>
        </w:rPr>
      </w:pPr>
    </w:p>
    <w:p>
      <w:pPr>
        <w:ind w:left="340" w:hanging="324"/>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Portions of the exhibit, marked by brackets and asterisk [***], have been omitted because the omitted information (i) is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900"/>
          </w:cols>
          <w:pgMar w:left="320" w:top="1440" w:right="679" w:bottom="1440" w:gutter="0" w:footer="0" w:header="0"/>
        </w:sectPr>
      </w:pPr>
    </w:p>
    <w:bookmarkStart w:id="231" w:name="page232"/>
    <w:bookmarkEnd w:id="23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 in the City of Redwood City, State of California, 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1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Omid Farokhzad, M.D. and David Horn as his true and lawful attorneys-in-fact and agents, with full power of substitution and substitution, for him or her and in his or her name, place and stead, in any and all capacities (including his or her capacity as a director and/or officer of Seer,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34"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rPr>
              <w:t>Chief Executive Officer and</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7"/>
                <w:szCs w:val="17"/>
                <w:color w:val="auto"/>
              </w:rPr>
              <w:t>Chair of the Board of Directors</w:t>
            </w: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Omid Farokhzad, M.D.</w:t>
            </w:r>
          </w:p>
        </w:tc>
        <w:tc>
          <w:tcPr>
            <w:tcW w:w="100" w:type="dxa"/>
            <w:vAlign w:val="bottom"/>
          </w:tcPr>
          <w:p>
            <w:pPr>
              <w:spacing w:after="0"/>
              <w:rPr>
                <w:sz w:val="21"/>
                <w:szCs w:val="21"/>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 and Accounting</w:t>
            </w: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R. Horn</w:t>
            </w:r>
          </w:p>
        </w:tc>
        <w:tc>
          <w:tcPr>
            <w:tcW w:w="100" w:type="dxa"/>
            <w:vAlign w:val="bottom"/>
          </w:tcPr>
          <w:p>
            <w:pPr>
              <w:spacing w:after="0"/>
              <w:rPr>
                <w:sz w:val="21"/>
                <w:szCs w:val="21"/>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Officer</w:t>
            </w:r>
            <w:r>
              <w:rPr>
                <w:rFonts w:ascii="Times New Roman" w:cs="Times New Roman" w:eastAsia="Times New Roman" w:hAnsi="Times New Roman"/>
                <w:sz w:val="18"/>
                <w:szCs w:val="18"/>
                <w:color w:val="auto"/>
                <w:w w:val="98"/>
              </w:rPr>
              <w: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David Hallal</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Catherine Friedman</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Robert Langer, Sc.D.</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Omead Ostadan</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David Singer</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240"/>
          </w:cols>
          <w:pgMar w:left="320" w:top="1440"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AGREEMENT</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Indemnification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dated as of [_______, 2020] and is between Seer, Inc., a Delaware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insert name of indemnitee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Indemnitee’s service to the Company substantially benefits the Company.</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 to and activities on behalf of the Company.</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72" w:lineRule="exact"/>
        <w:rPr>
          <w:rFonts w:ascii="Times New Roman" w:cs="Times New Roman" w:eastAsia="Times New Roman" w:hAnsi="Times New Roman"/>
          <w:sz w:val="22"/>
          <w:szCs w:val="22"/>
          <w:color w:val="auto"/>
        </w:rPr>
      </w:pPr>
    </w:p>
    <w:p>
      <w:pPr>
        <w:ind w:right="20" w:firstLine="656"/>
        <w:spacing w:after="0" w:line="271" w:lineRule="auto"/>
        <w:tabs>
          <w:tab w:leader="none" w:pos="115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supersede any prior indemnification agreement between the Company and the Indemnitee, which is hereby terminated.</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2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92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17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Indemnitee’s agreement to serve as a director or officer of the Company after the date hereof, the parties hereto agree as follows:</w:t>
      </w:r>
    </w:p>
    <w:p>
      <w:pPr>
        <w:spacing w:after="0" w:line="154"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17" w:lineRule="exact"/>
        <w:rPr>
          <w:rFonts w:ascii="Times New Roman" w:cs="Times New Roman" w:eastAsia="Times New Roman" w:hAnsi="Times New Roman"/>
          <w:sz w:val="22"/>
          <w:szCs w:val="22"/>
          <w:color w:val="auto"/>
        </w:rPr>
      </w:pPr>
    </w:p>
    <w:p>
      <w:pPr>
        <w:ind w:firstLine="1304"/>
        <w:spacing w:after="0" w:line="276" w:lineRule="auto"/>
        <w:tabs>
          <w:tab w:leader="none" w:pos="194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be deemed to occur upon the earliest to occur after the date of this Agreement of any of the following events:</w:t>
      </w:r>
    </w:p>
    <w:p>
      <w:pPr>
        <w:sectPr>
          <w:pgSz w:w="11900" w:h="16838" w:orient="portrait"/>
          <w:cols w:equalWidth="0" w:num="1">
            <w:col w:w="11240"/>
          </w:cols>
          <w:pgMar w:left="320" w:top="117" w:right="339" w:bottom="1440" w:gutter="0" w:footer="0" w:header="0"/>
        </w:sectPr>
      </w:pPr>
    </w:p>
    <w:bookmarkStart w:id="233" w:name="page234"/>
    <w:bookmarkEnd w:id="233"/>
    <w:p>
      <w:pPr>
        <w:spacing w:after="0" w:line="194" w:lineRule="exact"/>
        <w:rPr>
          <w:sz w:val="20"/>
          <w:szCs w:val="20"/>
          <w:color w:val="auto"/>
        </w:rPr>
      </w:pPr>
    </w:p>
    <w:p>
      <w:pPr>
        <w:jc w:val="both"/>
        <w:ind w:firstLine="2072"/>
        <w:spacing w:after="0" w:line="259" w:lineRule="auto"/>
        <w:tabs>
          <w:tab w:leader="none" w:pos="25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Acquisition of Stock by Third Party</w:t>
      </w:r>
      <w:r>
        <w:rPr>
          <w:rFonts w:ascii="Times New Roman" w:cs="Times New Roman" w:eastAsia="Times New Roman" w:hAnsi="Times New Roman"/>
          <w:sz w:val="22"/>
          <w:szCs w:val="22"/>
          <w:color w:val="auto"/>
        </w:rPr>
        <w:t>. Any Person (as defined below) is or becomes the Beneficial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 (as defined below), directly or indirectly, of securities of the Company representing fifteen percent (15%) or more of the combined voting power of the Company’s then outstanding securities;</w:t>
      </w:r>
    </w:p>
    <w:p>
      <w:pPr>
        <w:spacing w:after="0" w:line="166" w:lineRule="exact"/>
        <w:rPr>
          <w:rFonts w:ascii="Times New Roman" w:cs="Times New Roman" w:eastAsia="Times New Roman" w:hAnsi="Times New Roman"/>
          <w:sz w:val="22"/>
          <w:szCs w:val="22"/>
          <w:color w:val="auto"/>
        </w:rPr>
      </w:pPr>
    </w:p>
    <w:p>
      <w:pPr>
        <w:jc w:val="both"/>
        <w:ind w:firstLine="2012"/>
        <w:spacing w:after="0" w:line="262" w:lineRule="auto"/>
        <w:tabs>
          <w:tab w:leader="none" w:pos="259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in Board Composition</w:t>
      </w:r>
      <w:r>
        <w:rPr>
          <w:rFonts w:ascii="Times New Roman" w:cs="Times New Roman" w:eastAsia="Times New Roman" w:hAnsi="Times New Roman"/>
          <w:sz w:val="21"/>
          <w:szCs w:val="21"/>
          <w:color w:val="auto"/>
        </w:rPr>
        <w:t>. During any period of two consecutive years (not including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period prior 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 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66"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Corporate Transactions</w:t>
      </w:r>
      <w:r>
        <w:rPr>
          <w:rFonts w:ascii="Times New Roman" w:cs="Times New Roman" w:eastAsia="Times New Roman" w:hAnsi="Times New Roman"/>
          <w:sz w:val="22"/>
          <w:szCs w:val="22"/>
          <w:color w:val="auto"/>
        </w:rPr>
        <w:t>. The effective date of a merger or consolidation of the Company with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or its ultimate parent, as applicable) more than 50% of the combined voting power of the voting securities of the surviving entity or its ultimate parent, as applicable, outstanding immediately after such merger or consolidation and with the power to elect at least a majority of the board of directors or other governing body of such surviving entity or its ultimate parent, as applicable;</w:t>
      </w:r>
    </w:p>
    <w:p>
      <w:pPr>
        <w:spacing w:after="0" w:line="181" w:lineRule="exact"/>
        <w:rPr>
          <w:rFonts w:ascii="Times New Roman" w:cs="Times New Roman" w:eastAsia="Times New Roman" w:hAnsi="Times New Roman"/>
          <w:sz w:val="22"/>
          <w:szCs w:val="22"/>
          <w:color w:val="auto"/>
        </w:rPr>
      </w:pPr>
    </w:p>
    <w:p>
      <w:pPr>
        <w:ind w:firstLine="1964"/>
        <w:spacing w:after="0" w:line="275" w:lineRule="auto"/>
        <w:tabs>
          <w:tab w:leader="none" w:pos="25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Liquidation</w:t>
      </w:r>
      <w:r>
        <w:rPr>
          <w:rFonts w:ascii="Times New Roman" w:cs="Times New Roman" w:eastAsia="Times New Roman" w:hAnsi="Times New Roman"/>
          <w:sz w:val="22"/>
          <w:szCs w:val="22"/>
          <w:color w:val="auto"/>
        </w:rPr>
        <w:t>. The approval by the stockholders of the Company of a complete liquidation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an agreement for the sale or disposition by the Company of all or substantially all of the Company’s assets; and</w:t>
      </w:r>
    </w:p>
    <w:p>
      <w:pPr>
        <w:spacing w:after="0" w:line="149" w:lineRule="exact"/>
        <w:rPr>
          <w:rFonts w:ascii="Times New Roman" w:cs="Times New Roman" w:eastAsia="Times New Roman" w:hAnsi="Times New Roman"/>
          <w:sz w:val="22"/>
          <w:szCs w:val="22"/>
          <w:color w:val="auto"/>
        </w:rPr>
      </w:pPr>
    </w:p>
    <w:p>
      <w:pPr>
        <w:jc w:val="both"/>
        <w:ind w:firstLine="2024"/>
        <w:spacing w:after="0" w:line="277" w:lineRule="auto"/>
        <w:tabs>
          <w:tab w:leader="none" w:pos="259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Events</w:t>
      </w:r>
      <w:r>
        <w:rPr>
          <w:rFonts w:ascii="Times New Roman" w:cs="Times New Roman" w:eastAsia="Times New Roman" w:hAnsi="Times New Roman"/>
          <w:sz w:val="21"/>
          <w:szCs w:val="21"/>
          <w:color w:val="auto"/>
        </w:rPr>
        <w:t>. Any other event of a nature that would be required to be reported in response to Item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6(e) of Schedule 14A of Regulation 14A (or in response to any similar item on any similar schedule or form) promulgated under the Securities Exchange Act of 1934, as amended, whether or not the Company is then subject to such reporting requirement.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Section 1(a), the following terms shall have the following meanings:</w:t>
      </w:r>
    </w:p>
    <w:p>
      <w:pPr>
        <w:spacing w:after="0" w:line="214" w:lineRule="exact"/>
        <w:rPr>
          <w:sz w:val="20"/>
          <w:szCs w:val="20"/>
          <w:color w:val="auto"/>
        </w:rPr>
      </w:pPr>
    </w:p>
    <w:p>
      <w:pPr>
        <w:jc w:val="both"/>
        <w:ind w:firstLine="2600"/>
        <w:spacing w:after="0" w:line="270" w:lineRule="auto"/>
        <w:tabs>
          <w:tab w:leader="none" w:pos="323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xml:space="preserve">” shall have the meaning as set forth in Sections 13(d) and 14(d) of the Securities Exchange Act of 1934, as amended;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55" w:lineRule="exact"/>
        <w:rPr>
          <w:rFonts w:ascii="Times New Roman" w:cs="Times New Roman" w:eastAsia="Times New Roman" w:hAnsi="Times New Roman"/>
          <w:sz w:val="21"/>
          <w:szCs w:val="21"/>
          <w:color w:val="auto"/>
        </w:rPr>
      </w:pPr>
    </w:p>
    <w:p>
      <w:pPr>
        <w:ind w:firstLine="2600"/>
        <w:spacing w:after="0" w:line="276" w:lineRule="auto"/>
        <w:tabs>
          <w:tab w:leader="none" w:pos="323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w:t>
      </w:r>
      <w:r>
        <w:rPr>
          <w:rFonts w:ascii="Times New Roman" w:cs="Times New Roman" w:eastAsia="Times New Roman" w:hAnsi="Times New Roman"/>
          <w:sz w:val="22"/>
          <w:szCs w:val="22"/>
          <w:color w:val="auto"/>
        </w:rPr>
        <w:t xml:space="preserve">” shall have the meaning given to such term in Rule 13d-3 under the Securities Exchange Act of 1934, as amended;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that “</w:t>
      </w:r>
      <w:r>
        <w:rPr>
          <w:rFonts w:ascii="Times New Roman" w:cs="Times New Roman" w:eastAsia="Times New Roman" w:hAnsi="Times New Roman"/>
          <w:sz w:val="22"/>
          <w:szCs w:val="22"/>
          <w:b w:val="1"/>
          <w:bCs w:val="1"/>
          <w:i w:val="1"/>
          <w:iCs w:val="1"/>
          <w:color w:val="auto"/>
        </w:rPr>
        <w:t>Beneficial Owner</w:t>
      </w:r>
      <w:r>
        <w:rPr>
          <w:rFonts w:ascii="Times New Roman" w:cs="Times New Roman" w:eastAsia="Times New Roman" w:hAnsi="Times New Roman"/>
          <w:sz w:val="22"/>
          <w:szCs w:val="22"/>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63" w:lineRule="exact"/>
        <w:rPr>
          <w:sz w:val="20"/>
          <w:szCs w:val="20"/>
          <w:color w:val="auto"/>
        </w:rPr>
      </w:pPr>
    </w:p>
    <w:p>
      <w:pPr>
        <w:ind w:right="20" w:firstLine="1304"/>
        <w:spacing w:after="0" w:line="276" w:lineRule="auto"/>
        <w:tabs>
          <w:tab w:leader="none" w:pos="20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Status</w:t>
      </w:r>
      <w:r>
        <w:rPr>
          <w:rFonts w:ascii="Times New Roman" w:cs="Times New Roman" w:eastAsia="Times New Roman" w:hAnsi="Times New Roman"/>
          <w:sz w:val="22"/>
          <w:szCs w:val="22"/>
          <w:color w:val="auto"/>
        </w:rPr>
        <w:t>” describes the status of a person who is or was a director, trustee, general partner, managing member, officer, employee, agent or fiduciary of the Company or any other Enterprise.</w:t>
      </w:r>
    </w:p>
    <w:p>
      <w:pPr>
        <w:spacing w:after="0" w:line="14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means the General Corporation Law of the State of Delaware.</w:t>
      </w:r>
    </w:p>
    <w:p>
      <w:pPr>
        <w:spacing w:after="0" w:line="219" w:lineRule="exact"/>
        <w:rPr>
          <w:rFonts w:ascii="Times New Roman" w:cs="Times New Roman" w:eastAsia="Times New Roman" w:hAnsi="Times New Roman"/>
          <w:sz w:val="22"/>
          <w:szCs w:val="22"/>
          <w:color w:val="auto"/>
        </w:rPr>
      </w:pPr>
    </w:p>
    <w:p>
      <w:pPr>
        <w:ind w:right="20" w:firstLine="1304"/>
        <w:spacing w:after="0" w:line="276" w:lineRule="auto"/>
        <w:tabs>
          <w:tab w:leader="none" w:pos="19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Disinterested Director</w:t>
      </w:r>
      <w:r>
        <w:rPr>
          <w:rFonts w:ascii="Times New Roman" w:cs="Times New Roman" w:eastAsia="Times New Roman" w:hAnsi="Times New Roman"/>
          <w:sz w:val="22"/>
          <w:szCs w:val="22"/>
          <w:color w:val="auto"/>
        </w:rPr>
        <w:t>” means a director of the Company who is not and was not a party to the Proceeding in respect of which indemnification is sought by Indemnitee.</w:t>
      </w:r>
    </w:p>
    <w:p>
      <w:pPr>
        <w:spacing w:after="0" w:line="147" w:lineRule="exact"/>
        <w:rPr>
          <w:rFonts w:ascii="Times New Roman" w:cs="Times New Roman" w:eastAsia="Times New Roman" w:hAnsi="Times New Roman"/>
          <w:sz w:val="22"/>
          <w:szCs w:val="22"/>
          <w:color w:val="auto"/>
        </w:rPr>
      </w:pPr>
    </w:p>
    <w:p>
      <w:pPr>
        <w:jc w:val="both"/>
        <w:ind w:firstLine="1304"/>
        <w:spacing w:after="0" w:line="254" w:lineRule="auto"/>
        <w:tabs>
          <w:tab w:leader="none" w:pos="194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Enterprise</w:t>
      </w:r>
      <w:r>
        <w:rPr>
          <w:rFonts w:ascii="Times New Roman" w:cs="Times New Roman" w:eastAsia="Times New Roman" w:hAnsi="Times New Roman"/>
          <w:sz w:val="22"/>
          <w:szCs w:val="22"/>
          <w:color w:val="auto"/>
        </w:rPr>
        <w:t>” means the Company, including without limitation any direct or indirect subsidiary of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7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Expenses</w:t>
      </w:r>
      <w:r>
        <w:rPr>
          <w:rFonts w:ascii="Times New Roman" w:cs="Times New Roman" w:eastAsia="Times New Roman" w:hAnsi="Times New Roman"/>
          <w:sz w:val="22"/>
          <w:szCs w:val="22"/>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13(d),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77"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3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Independent Counsel</w:t>
      </w:r>
      <w:r>
        <w:rPr>
          <w:rFonts w:ascii="Times New Roman" w:cs="Times New Roman" w:eastAsia="Times New Roman" w:hAnsi="Times New Roman"/>
          <w:sz w:val="21"/>
          <w:szCs w:val="21"/>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1"/>
          <w:szCs w:val="21"/>
          <w:b w:val="1"/>
          <w:bCs w:val="1"/>
          <w:i w:val="1"/>
          <w:iCs w:val="1"/>
          <w:color w:val="auto"/>
        </w:rPr>
        <w:t>Independent Counsel</w:t>
      </w:r>
      <w:r>
        <w:rPr>
          <w:rFonts w:ascii="Times New Roman" w:cs="Times New Roman" w:eastAsia="Times New Roman" w:hAnsi="Times New Roman"/>
          <w:sz w:val="21"/>
          <w:szCs w:val="21"/>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92" w:lineRule="exact"/>
        <w:rPr>
          <w:sz w:val="20"/>
          <w:szCs w:val="20"/>
          <w:color w:val="auto"/>
        </w:rPr>
      </w:pPr>
    </w:p>
    <w:p>
      <w:pPr>
        <w:jc w:val="both"/>
        <w:ind w:firstLine="1304"/>
        <w:spacing w:after="0" w:line="247" w:lineRule="auto"/>
        <w:tabs>
          <w:tab w:leader="none" w:pos="193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 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w:t>
      </w:r>
      <w:r>
        <w:rPr>
          <w:rFonts w:ascii="Times New Roman" w:cs="Times New Roman" w:eastAsia="Times New Roman" w:hAnsi="Times New Roman"/>
          <w:sz w:val="22"/>
          <w:szCs w:val="22"/>
          <w:b w:val="1"/>
          <w:bCs w:val="1"/>
          <w:i w:val="1"/>
          <w:iCs w:val="1"/>
          <w:color w:val="auto"/>
        </w:rPr>
        <w:t>other enterprises</w:t>
      </w:r>
      <w:r>
        <w:rPr>
          <w:rFonts w:ascii="Times New Roman" w:cs="Times New Roman" w:eastAsia="Times New Roman" w:hAnsi="Times New Roman"/>
          <w:sz w:val="22"/>
          <w:szCs w:val="22"/>
          <w:color w:val="auto"/>
        </w:rPr>
        <w:t>” shall include employee benefit plans; references to “</w:t>
      </w:r>
      <w:r>
        <w:rPr>
          <w:rFonts w:ascii="Times New Roman" w:cs="Times New Roman" w:eastAsia="Times New Roman" w:hAnsi="Times New Roman"/>
          <w:sz w:val="22"/>
          <w:szCs w:val="22"/>
          <w:b w:val="1"/>
          <w:bCs w:val="1"/>
          <w:i w:val="1"/>
          <w:iCs w:val="1"/>
          <w:color w:val="auto"/>
        </w:rPr>
        <w:t>fines</w:t>
      </w:r>
      <w:r>
        <w:rPr>
          <w:rFonts w:ascii="Times New Roman" w:cs="Times New Roman" w:eastAsia="Times New Roman" w:hAnsi="Times New Roman"/>
          <w:sz w:val="22"/>
          <w:szCs w:val="22"/>
          <w:color w:val="auto"/>
        </w:rPr>
        <w:t>” shall include any excise taxes assessed on a person with respect to any employee benefit plan; references to “</w:t>
      </w:r>
      <w:r>
        <w:rPr>
          <w:rFonts w:ascii="Times New Roman" w:cs="Times New Roman" w:eastAsia="Times New Roman" w:hAnsi="Times New Roman"/>
          <w:sz w:val="22"/>
          <w:szCs w:val="22"/>
          <w:b w:val="1"/>
          <w:bCs w:val="1"/>
          <w:i w:val="1"/>
          <w:iCs w:val="1"/>
          <w:color w:val="auto"/>
        </w:rPr>
        <w:t>serving at the request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include any service as a director, officer, employee or agent of the Company which imposes duties on,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22"/>
          <w:szCs w:val="22"/>
          <w:b w:val="1"/>
          <w:bCs w:val="1"/>
          <w:i w:val="1"/>
          <w:iCs w:val="1"/>
          <w:color w:val="auto"/>
        </w:rPr>
        <w:t>not opposed to the best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interests of the Company</w:t>
      </w:r>
      <w:r>
        <w:rPr>
          <w:rFonts w:ascii="Times New Roman" w:cs="Times New Roman" w:eastAsia="Times New Roman" w:hAnsi="Times New Roman"/>
          <w:sz w:val="22"/>
          <w:szCs w:val="22"/>
          <w:color w:val="auto"/>
        </w:rPr>
        <w:t>” as referred to in this Agreement.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Indemnity in Third-Party Proceedings</w:t>
      </w:r>
      <w:r>
        <w:rPr>
          <w:rFonts w:ascii="Times New Roman" w:cs="Times New Roman" w:eastAsia="Times New Roman" w:hAnsi="Times New Roman"/>
          <w:sz w:val="22"/>
          <w:szCs w:val="22"/>
          <w:color w:val="auto"/>
        </w:rPr>
        <w:t>. The Company shall indemnify Indemnitee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of this 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w:t>
      </w:r>
      <w:r>
        <w:rPr>
          <w:rFonts w:ascii="Times New Roman" w:cs="Times New Roman" w:eastAsia="Times New Roman" w:hAnsi="Times New Roman"/>
          <w:sz w:val="22"/>
          <w:szCs w:val="22"/>
          <w:i w:val="1"/>
          <w:iCs w:val="1"/>
          <w:color w:val="auto"/>
        </w:rPr>
        <w:t xml:space="preserve">opposed to the best </w:t>
      </w:r>
      <w:r>
        <w:rPr>
          <w:rFonts w:ascii="Times New Roman" w:cs="Times New Roman" w:eastAsia="Times New Roman" w:hAnsi="Times New Roman"/>
          <w:sz w:val="22"/>
          <w:szCs w:val="22"/>
          <w:color w:val="auto"/>
        </w:rPr>
        <w:t>interests of the Company and, with respect to any criminal action or proceeding, had no reasonable cause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believe that his or her conduct was unlawful.</w:t>
      </w:r>
    </w:p>
    <w:p>
      <w:pPr>
        <w:spacing w:after="0" w:line="18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Indemnity in Proceedings by or in the Right of the Company</w:t>
      </w:r>
      <w:r>
        <w:rPr>
          <w:rFonts w:ascii="Times New Roman" w:cs="Times New Roman" w:eastAsia="Times New Roman" w:hAnsi="Times New Roman"/>
          <w:sz w:val="22"/>
          <w:szCs w:val="22"/>
          <w:color w:val="auto"/>
        </w:rPr>
        <w:t>. The Company shall indemnify Indemnitee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77" w:lineRule="exact"/>
        <w:rPr>
          <w:sz w:val="20"/>
          <w:szCs w:val="20"/>
          <w:color w:val="auto"/>
        </w:rPr>
      </w:pPr>
    </w:p>
    <w:p>
      <w:pPr>
        <w:jc w:val="both"/>
        <w:ind w:firstLine="656"/>
        <w:spacing w:after="0" w:line="246" w:lineRule="auto"/>
        <w:tabs>
          <w:tab w:leader="none" w:pos="129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for Expenses of a Party Who is Wholly or Partly Successful</w:t>
      </w:r>
      <w:r>
        <w:rPr>
          <w:rFonts w:ascii="Times New Roman" w:cs="Times New Roman" w:eastAsia="Times New Roman" w:hAnsi="Times New Roman"/>
          <w:sz w:val="22"/>
          <w:szCs w:val="22"/>
          <w:color w:val="auto"/>
        </w:rPr>
        <w:t>. To the extent that Indemnitee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party to 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87"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Partial Indemnification</w:t>
      </w:r>
      <w:r>
        <w:rPr>
          <w:rFonts w:ascii="Times New Roman" w:cs="Times New Roman" w:eastAsia="Times New Roman" w:hAnsi="Times New Roman"/>
          <w:sz w:val="22"/>
          <w:szCs w:val="22"/>
          <w:color w:val="auto"/>
        </w:rPr>
        <w:t>. If Indemnitee is entitled under any provision of this Agreement to indemnification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for some or a portion of Expenses, but not, however, for the total amount thereof, the Company shall nevertheless indemnify Indemnitee for the portion thereof to which Indemnitee is entitled.</w:t>
      </w:r>
    </w:p>
    <w:p>
      <w:pPr>
        <w:spacing w:after="0" w:line="16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for Expenses of a Witness</w:t>
      </w:r>
      <w:r>
        <w:rPr>
          <w:rFonts w:ascii="Times New Roman" w:cs="Times New Roman" w:eastAsia="Times New Roman" w:hAnsi="Times New Roman"/>
          <w:sz w:val="22"/>
          <w:szCs w:val="22"/>
          <w:color w:val="auto"/>
        </w:rPr>
        <w:t>. To the extent that Indemnitee is, by reason of his or her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Status, a witness in 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Indemnification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74" w:lineRule="exact"/>
        <w:rPr>
          <w:rFonts w:ascii="Times New Roman" w:cs="Times New Roman" w:eastAsia="Times New Roman" w:hAnsi="Times New Roman"/>
          <w:sz w:val="22"/>
          <w:szCs w:val="22"/>
          <w:color w:val="auto"/>
        </w:rPr>
      </w:pPr>
    </w:p>
    <w:p>
      <w:pPr>
        <w:ind w:right="20" w:firstLine="1304"/>
        <w:spacing w:after="0" w:line="276" w:lineRule="auto"/>
        <w:tabs>
          <w:tab w:leader="none" w:pos="1939"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7(a), the meaning of the phrase “</w:t>
      </w:r>
      <w:r>
        <w:rPr>
          <w:rFonts w:ascii="Times New Roman" w:cs="Times New Roman" w:eastAsia="Times New Roman" w:hAnsi="Times New Roman"/>
          <w:sz w:val="22"/>
          <w:szCs w:val="22"/>
          <w:b w:val="1"/>
          <w:bCs w:val="1"/>
          <w:i w:val="1"/>
          <w:iCs w:val="1"/>
          <w:color w:val="auto"/>
        </w:rPr>
        <w:t>to the fullest extent permitted by applicable law</w:t>
      </w:r>
      <w:r>
        <w:rPr>
          <w:rFonts w:ascii="Times New Roman" w:cs="Times New Roman" w:eastAsia="Times New Roman" w:hAnsi="Times New Roman"/>
          <w:sz w:val="22"/>
          <w:szCs w:val="22"/>
          <w:color w:val="auto"/>
        </w:rPr>
        <w:t>” shall include, but not be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98" w:lineRule="exact"/>
        <w:rPr>
          <w:sz w:val="20"/>
          <w:szCs w:val="20"/>
          <w:color w:val="auto"/>
        </w:rPr>
      </w:pPr>
    </w:p>
    <w:p>
      <w:pPr>
        <w:ind w:firstLine="2072"/>
        <w:spacing w:after="0" w:line="295" w:lineRule="auto"/>
        <w:tabs>
          <w:tab w:leader="none" w:pos="2592" w:val="left"/>
        </w:tabs>
        <w:numPr>
          <w:ilvl w:val="3"/>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fullest extent permitted by the provision of the DGCL that authorizes or contemplates additional indemnification by agreement, or the corresponding provision of any amendment to or replacement of the DGCL; and</w:t>
      </w:r>
    </w:p>
    <w:p>
      <w:pPr>
        <w:spacing w:after="0" w:line="135" w:lineRule="exact"/>
        <w:rPr>
          <w:rFonts w:ascii="Times New Roman" w:cs="Times New Roman" w:eastAsia="Times New Roman" w:hAnsi="Times New Roman"/>
          <w:sz w:val="21"/>
          <w:szCs w:val="21"/>
          <w:color w:val="auto"/>
        </w:rPr>
      </w:pPr>
    </w:p>
    <w:p>
      <w:pPr>
        <w:ind w:firstLine="2012"/>
        <w:spacing w:after="0" w:line="295" w:lineRule="auto"/>
        <w:tabs>
          <w:tab w:leader="none" w:pos="2592" w:val="left"/>
        </w:tabs>
        <w:numPr>
          <w:ilvl w:val="3"/>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31" w:lineRule="exact"/>
        <w:rPr>
          <w:rFonts w:ascii="Times New Roman" w:cs="Times New Roman" w:eastAsia="Times New Roman" w:hAnsi="Times New Roman"/>
          <w:sz w:val="21"/>
          <w:szCs w:val="21"/>
          <w:color w:val="auto"/>
        </w:rPr>
      </w:pPr>
    </w:p>
    <w:p>
      <w:pPr>
        <w:ind w:firstLine="656"/>
        <w:spacing w:after="0" w:line="275" w:lineRule="auto"/>
        <w:tabs>
          <w:tab w:leader="none" w:pos="1296"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Exclusions</w:t>
      </w:r>
      <w:r>
        <w:rPr>
          <w:rFonts w:ascii="Times New Roman" w:cs="Times New Roman" w:eastAsia="Times New Roman" w:hAnsi="Times New Roman"/>
          <w:sz w:val="22"/>
          <w:szCs w:val="22"/>
          <w:color w:val="auto"/>
        </w:rPr>
        <w:t>. Notwithstanding any provision in this Agreement, the Company shall not be obligated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make any indemnity in connection with any Proceeding (or any part of any Proceeding):</w:t>
      </w:r>
    </w:p>
    <w:p>
      <w:pPr>
        <w:spacing w:after="0" w:line="153"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payment has actually been made to or on behalf of Indemnitee under any statute, insurance policy, indemnity provision, vote or otherwise, except with respect to any excess beyond the amount paid;</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accounting or disgorgement of profits pursuant to Section 16(b) of the Securities Exchange Act of 1934, as amended, or similar provisions of federal, state or local statutory law or common law, if Indemnitee is held liable therefor;</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 Oxley Act of 2002 (the “</w:t>
      </w:r>
      <w:r>
        <w:rPr>
          <w:rFonts w:ascii="Times New Roman" w:cs="Times New Roman" w:eastAsia="Times New Roman" w:hAnsi="Times New Roman"/>
          <w:sz w:val="22"/>
          <w:szCs w:val="22"/>
          <w:b w:val="1"/>
          <w:bCs w:val="1"/>
          <w:i w:val="1"/>
          <w:iCs w:val="1"/>
          <w:color w:val="auto"/>
        </w:rPr>
        <w:t>Sarbanes-Oxley Act</w:t>
      </w:r>
      <w:r>
        <w:rPr>
          <w:rFonts w:ascii="Times New Roman" w:cs="Times New Roman" w:eastAsia="Times New Roman" w:hAnsi="Times New Roman"/>
          <w:sz w:val="22"/>
          <w:szCs w:val="22"/>
          <w:color w:val="auto"/>
        </w:rPr>
        <w:t>”), or the payment to the Company of profits arising from the purchase and sale by Indemnitee of securities in violation of Section 306 of the Sarbanes Oxley Act), if Indemnitee is held liable therefor;</w:t>
      </w:r>
    </w:p>
    <w:p>
      <w:pPr>
        <w:spacing w:after="0" w:line="186" w:lineRule="exact"/>
        <w:rPr>
          <w:rFonts w:ascii="Times New Roman" w:cs="Times New Roman" w:eastAsia="Times New Roman" w:hAnsi="Times New Roman"/>
          <w:sz w:val="22"/>
          <w:szCs w:val="22"/>
          <w:color w:val="auto"/>
        </w:rPr>
      </w:pPr>
    </w:p>
    <w:p>
      <w:pPr>
        <w:jc w:val="both"/>
        <w:ind w:firstLine="1304"/>
        <w:spacing w:after="0" w:line="266" w:lineRule="auto"/>
        <w:tabs>
          <w:tab w:leader="none" w:pos="1939"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initiated by Indemnitee and not by way of defense, including any Proceeding (or any part of any Proceeding) initiated by Indemnitee against the Company or its directors, officers, employees, agents or other indemnitees, unless</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board of directors authorized the Proceeding (or the relevant part of the Proceeding) prior to its initiation,</w:t>
      </w:r>
    </w:p>
    <w:p>
      <w:pPr>
        <w:spacing w:after="0" w:line="3" w:lineRule="exact"/>
        <w:rPr>
          <w:rFonts w:ascii="Times New Roman" w:cs="Times New Roman" w:eastAsia="Times New Roman" w:hAnsi="Times New Roman"/>
          <w:sz w:val="22"/>
          <w:szCs w:val="22"/>
          <w:color w:val="auto"/>
        </w:rPr>
      </w:pPr>
    </w:p>
    <w:p>
      <w:pPr>
        <w:ind w:firstLine="8"/>
        <w:spacing w:after="0" w:line="248" w:lineRule="auto"/>
        <w:tabs>
          <w:tab w:leader="none" w:pos="35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provides the indemnification, in its sole discretion, pursuant to the powers vested in the Company under applicable law, (iii) otherwise authorized in Section 13(d) or (iv) otherwise required by applicable law; or</w:t>
      </w:r>
    </w:p>
    <w:p>
      <w:pPr>
        <w:spacing w:after="0" w:line="18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prohibited by applicable law.</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Advances of Expenses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advance the Expenses incurred by Indemnitee in connection with any Proceeding prior to its final resolution, and 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9 shall not apply to the extent advancement is prohibited by law and shall not apply to any Proceeding for which indemnity is not permitted under this Agreement, but shall apply to any Proceeding referenced in Section 8(b) or 8(c) prior to a determination that Indemnitee is not entitled to be indemnified by the Company.</w:t>
      </w:r>
    </w:p>
    <w:p>
      <w:pPr>
        <w:spacing w:after="0" w:line="178"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Procedures for Notification and Defense of Claim</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or delay by Indemnitee to notify the Company will not relieve the Company from any liability which it may have to Indemnitee hereunder or otherwise than under this Agreement, except to the extent that such failure or delay materially prejudices the Company.</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80"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may be obligated to make any indemnity in connection with a Proceeding, the Company shall be entitled to assume the defense of such Proceeding with counsel approved by Indemnitee, which approval shall not be unreasonably withheld. After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 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counsel in any Proceeding at Indemnitee’s personal expense. The Company shall not be entitled, without the consent of Indemnitee, to assume the defense of any claim brought by or in the right of the Company.</w:t>
      </w:r>
    </w:p>
    <w:p>
      <w:pPr>
        <w:spacing w:after="0" w:line="158" w:lineRule="exact"/>
        <w:rPr>
          <w:sz w:val="20"/>
          <w:szCs w:val="20"/>
          <w:color w:val="auto"/>
        </w:rPr>
      </w:pPr>
    </w:p>
    <w:p>
      <w:pPr>
        <w:ind w:firstLine="1304"/>
        <w:spacing w:after="0" w:line="271" w:lineRule="auto"/>
        <w:tabs>
          <w:tab w:leader="none" w:pos="1939"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shall give the Company such information and cooperation in connection with the Proceeding as may be reasonably appropriate.</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to indemnify Indemnitee for any settlement of any Proceeding (or any part thereof) without the Company’s prior written consent, which shall not be unreasonably withheld.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settle any Proceeding (or any part thereof) in a manner that imposes any penalty or liability on Indemnitee without Indemnitee’s prior written consent, which shall not be unreasonably withheld.</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Procedures upon Application for Indemnification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obtain indemnification, Indemnitee shall submit to the Company a written request, including therein or therewith such documentation and information as is reasonably available to Indemnitee </w:t>
      </w:r>
      <w:r>
        <w:rPr>
          <w:rFonts w:ascii="Times New Roman" w:cs="Times New Roman" w:eastAsia="Times New Roman" w:hAnsi="Times New Roman"/>
          <w:sz w:val="22"/>
          <w:szCs w:val="22"/>
          <w:i w:val="1"/>
          <w:iCs w:val="1"/>
          <w:color w:val="auto"/>
        </w:rPr>
        <w:t>and as is reasonably</w:t>
      </w:r>
      <w:r>
        <w:rPr>
          <w:rFonts w:ascii="Times New Roman" w:cs="Times New Roman" w:eastAsia="Times New Roman" w:hAnsi="Times New Roman"/>
          <w:sz w:val="22"/>
          <w:szCs w:val="22"/>
          <w:color w:val="auto"/>
        </w:rPr>
        <w:t xml:space="preserve"> necessary to determine whether and to what extent Indemnitee is entitled to indemnification following the final disposition of the Proceeding. Any delay in providing the request will not relieve the Company from its obligations under this Agreement, except to the extent such delay is prejudicial.</w:t>
      </w:r>
    </w:p>
    <w:p>
      <w:pPr>
        <w:spacing w:after="0" w:line="180"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3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Indemnitee for indemnification pursuant to Section 11(a),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if required by applicable law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98" w:lineRule="exact"/>
        <w:rPr>
          <w:sz w:val="20"/>
          <w:szCs w:val="20"/>
          <w:color w:val="auto"/>
        </w:rPr>
      </w:pPr>
    </w:p>
    <w:p>
      <w:pPr>
        <w:jc w:val="both"/>
        <w:ind w:firstLine="1304"/>
        <w:spacing w:after="0" w:line="256" w:lineRule="auto"/>
        <w:tabs>
          <w:tab w:leader="none" w:pos="1941" w:val="left"/>
        </w:tabs>
        <w:numPr>
          <w:ilvl w:val="2"/>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the determination of entitlement to indemnification is to be made by Independent Counsel pursuant to Section 11(b), the Independent Counsel shall be selected as provided in this Section 11(c).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w:t>
      </w:r>
    </w:p>
    <w:p>
      <w:pPr>
        <w:spacing w:after="0" w:line="8" w:lineRule="exact"/>
        <w:rPr>
          <w:rFonts w:ascii="Times New Roman" w:cs="Times New Roman" w:eastAsia="Times New Roman" w:hAnsi="Times New Roman"/>
          <w:sz w:val="21"/>
          <w:szCs w:val="21"/>
          <w:color w:val="auto"/>
        </w:rPr>
      </w:pPr>
    </w:p>
    <w:p>
      <w:pPr>
        <w:jc w:val="both"/>
        <w:ind w:firstLine="8"/>
        <w:spacing w:after="0" w:line="243" w:lineRule="auto"/>
        <w:tabs>
          <w:tab w:leader="none" w:pos="31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by Indemnitee of a written request for indemnification pursuant to Section 11(a)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11(b) hereof. Upon the due commencement of any judicial proceeding or arbitration pursuant to Section 13(a) of this Agreement, the Independent Counsel shall be discharged and relieved of any further responsibility in such capacity (subject to the applicable standards of professional conduct then prevailing). The Company shall pay the reasonable fees and expenses of any Independent Counsel.</w:t>
      </w:r>
    </w:p>
    <w:p>
      <w:pPr>
        <w:spacing w:after="0" w:line="19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Presumptions and Effect of Certain Proceedings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its equivalent, shall not (except as otherwise expressly provided in this Agreement) of itself create a presumption that Indemnitee did not act in good faith and in a manner which he or she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reasonably believed to be in or not opposed to the best interests of the Company or, with respect to any criminal Proceeding, that Indemnitee had reasonable cause to believe that his or her conduct was unlawful.</w:t>
      </w:r>
    </w:p>
    <w:p>
      <w:pPr>
        <w:spacing w:after="0" w:line="158" w:lineRule="exact"/>
        <w:rPr>
          <w:sz w:val="20"/>
          <w:szCs w:val="20"/>
          <w:color w:val="auto"/>
        </w:rPr>
      </w:pPr>
    </w:p>
    <w:p>
      <w:pPr>
        <w:ind w:right="20" w:firstLine="1304"/>
        <w:spacing w:after="0" w:line="271" w:lineRule="auto"/>
        <w:tabs>
          <w:tab w:leader="none" w:pos="194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 of Indemnitee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13(e), in the event that (i) a determination is made pursuant to Section 11 of this Agreement that Indemnitee is not entitled to indemnification under this Agreement, (ii) advancement of Expenses is not timely made pursuant to Section 9 or 13(d) of this Agreement, (iii) no determination of entitlement to indemnification shall have been made pursuant to Section 11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13(d)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13(a);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foregoing clause shall not apply in respect of a proceeding brought by Indemnitee to enforce his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 rights under Section 4 of this Agreement. The Company shall not oppose Indemnitee’s right to seek any such adjudication or award in arbitration in accordance with this Agreement.</w:t>
      </w:r>
    </w:p>
    <w:p>
      <w:pPr>
        <w:spacing w:after="0" w:line="20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11 of this Agreement that Indemnitee is not entitled to indemnification, any judicial proceeding or arbitration </w:t>
      </w:r>
      <w:r>
        <w:rPr>
          <w:rFonts w:ascii="Times New Roman" w:cs="Times New Roman" w:eastAsia="Times New Roman" w:hAnsi="Times New Roman"/>
          <w:sz w:val="22"/>
          <w:szCs w:val="22"/>
          <w:i w:val="1"/>
          <w:iCs w:val="1"/>
          <w:color w:val="auto"/>
        </w:rPr>
        <w:t>commenced pursuant</w:t>
      </w:r>
      <w:r>
        <w:rPr>
          <w:rFonts w:ascii="Times New Roman" w:cs="Times New Roman" w:eastAsia="Times New Roman" w:hAnsi="Times New Roman"/>
          <w:sz w:val="22"/>
          <w:szCs w:val="22"/>
          <w:color w:val="auto"/>
        </w:rPr>
        <w:t xml:space="preserve"> to this Section 13 shall be conducted in all respects as a </w:t>
      </w:r>
      <w:r>
        <w:rPr>
          <w:rFonts w:ascii="Times New Roman" w:cs="Times New Roman" w:eastAsia="Times New Roman" w:hAnsi="Times New Roman"/>
          <w:sz w:val="22"/>
          <w:szCs w:val="22"/>
          <w:i w:val="1"/>
          <w:iCs w:val="1"/>
          <w:color w:val="auto"/>
        </w:rPr>
        <w:t>de novo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trial, or arbitration, on the merits, and Indemnitee shall not be prejudiced by reason of that adverse determination. In any judicial proceeding or arbitration commenced pursuant to this Section 13, the Company shall, to the fullest extent not prohibited by law, have the burden of proving Indemnitee is not entitled to indemnification or advancement of Expenses, as the case may be.</w:t>
      </w:r>
    </w:p>
    <w:p>
      <w:pPr>
        <w:spacing w:after="0" w:line="155" w:lineRule="exact"/>
        <w:rPr>
          <w:sz w:val="20"/>
          <w:szCs w:val="20"/>
          <w:color w:val="auto"/>
        </w:rPr>
      </w:pPr>
    </w:p>
    <w:p>
      <w:pPr>
        <w:jc w:val="both"/>
        <w:ind w:firstLine="1304"/>
        <w:spacing w:after="0" w:line="247" w:lineRule="auto"/>
        <w:tabs>
          <w:tab w:leader="none" w:pos="194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not prohibited by law, the Company shall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11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85"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unless the court (or arbitrator) finds that each material argument or defense advanced by Indemnitee in such action or arbitration was either frivolous or not made in good faith. Further, if requested by Indemnitee, the Company shall (as soon as reasonably practicable, but in any event no later than 60 days, after receipt by the Company of a written request therefor) advance such Expenses to Indemnitee, subject to the provisions of Section 8, subject to Indemnitee’s agreement to repay the sums advanced if the court (or arbitrator) finds that each material argument or defense advanced by Indemnitee in such action or arbitration was either frivolous or not made in good faith.</w:t>
      </w:r>
    </w:p>
    <w:p>
      <w:pPr>
        <w:spacing w:after="0" w:line="190"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no determination as to entitlement to indemnification shall be required to be made prior to the final disposition of the Proceeding.</w:t>
      </w:r>
    </w:p>
    <w:p>
      <w:pPr>
        <w:spacing w:after="0" w:line="15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Contribution</w:t>
      </w:r>
      <w:r>
        <w:rPr>
          <w:rFonts w:ascii="Times New Roman" w:cs="Times New Roman" w:eastAsia="Times New Roman" w:hAnsi="Times New Roman"/>
          <w:sz w:val="22"/>
          <w:szCs w:val="22"/>
          <w:color w:val="auto"/>
        </w:rPr>
        <w:t>. To the fullest extent permissible under applicable law, if the indemnification provided for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94" w:lineRule="exact"/>
        <w:rPr>
          <w:sz w:val="20"/>
          <w:szCs w:val="20"/>
          <w:color w:val="auto"/>
        </w:rPr>
      </w:pPr>
    </w:p>
    <w:p>
      <w:pPr>
        <w:jc w:val="both"/>
        <w:ind w:firstLine="656"/>
        <w:spacing w:after="0" w:line="246"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Non-exclusivity</w:t>
      </w:r>
      <w:r>
        <w:rPr>
          <w:rFonts w:ascii="Times New Roman" w:cs="Times New Roman" w:eastAsia="Times New Roman" w:hAnsi="Times New Roman"/>
          <w:sz w:val="22"/>
          <w:szCs w:val="22"/>
          <w:color w:val="auto"/>
        </w:rPr>
        <w:t>. The rights of indemnification and to receive advancement of Expenses as provided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w:t>
      </w:r>
      <w:r>
        <w:rPr>
          <w:rFonts w:ascii="Times New Roman" w:cs="Times New Roman" w:eastAsia="Times New Roman" w:hAnsi="Times New Roman"/>
          <w:sz w:val="22"/>
          <w:szCs w:val="22"/>
          <w:i w:val="1"/>
          <w:iCs w:val="1"/>
          <w:color w:val="auto"/>
        </w:rPr>
        <w:t>assertion</w:t>
      </w:r>
      <w:r>
        <w:rPr>
          <w:rFonts w:ascii="Times New Roman" w:cs="Times New Roman" w:eastAsia="Times New Roman" w:hAnsi="Times New Roman"/>
          <w:sz w:val="22"/>
          <w:szCs w:val="22"/>
          <w:color w:val="auto"/>
        </w:rPr>
        <w:t xml:space="preserve"> or employment of any right or remedy hereunder, or otherwise, shall not prevent the concurrent assertion or employment of any other right or remedy.</w:t>
      </w:r>
    </w:p>
    <w:p>
      <w:pPr>
        <w:spacing w:after="0" w:line="185" w:lineRule="exact"/>
        <w:rPr>
          <w:rFonts w:ascii="Times New Roman" w:cs="Times New Roman" w:eastAsia="Times New Roman" w:hAnsi="Times New Roman"/>
          <w:sz w:val="22"/>
          <w:szCs w:val="22"/>
          <w:color w:val="auto"/>
        </w:rPr>
      </w:pPr>
    </w:p>
    <w:p>
      <w:pPr>
        <w:jc w:val="both"/>
        <w:ind w:firstLine="656"/>
        <w:spacing w:after="0" w:line="245"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Primary Responsibility</w:t>
      </w:r>
      <w:r>
        <w:rPr>
          <w:rFonts w:ascii="Times New Roman" w:cs="Times New Roman" w:eastAsia="Times New Roman" w:hAnsi="Times New Roman"/>
          <w:sz w:val="22"/>
          <w:szCs w:val="22"/>
          <w:color w:val="auto"/>
        </w:rPr>
        <w:t>. The Company acknowledges that to the extent Indemnitee is serving as a director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board of directors at the request or direction of a venture capital fund or other entity and/or certain of its affiliates (collectively, the “</w:t>
      </w:r>
      <w:r>
        <w:rPr>
          <w:rFonts w:ascii="Times New Roman" w:cs="Times New Roman" w:eastAsia="Times New Roman" w:hAnsi="Times New Roman"/>
          <w:sz w:val="22"/>
          <w:szCs w:val="22"/>
          <w:b w:val="1"/>
          <w:bCs w:val="1"/>
          <w:i w:val="1"/>
          <w:iCs w:val="1"/>
          <w:color w:val="auto"/>
        </w:rPr>
        <w:t>Secondary Indemnitors</w:t>
      </w:r>
      <w:r>
        <w:rPr>
          <w:rFonts w:ascii="Times New Roman" w:cs="Times New Roman" w:eastAsia="Times New Roman" w:hAnsi="Times New Roman"/>
          <w:sz w:val="22"/>
          <w:szCs w:val="22"/>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16.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 party beneficiaries of the terms of this Section 16.</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Duplication of Payments</w:t>
      </w:r>
      <w:r>
        <w:rPr>
          <w:rFonts w:ascii="Times New Roman" w:cs="Times New Roman" w:eastAsia="Times New Roman" w:hAnsi="Times New Roman"/>
          <w:sz w:val="22"/>
          <w:szCs w:val="22"/>
          <w:color w:val="auto"/>
        </w:rPr>
        <w:t>. The Company shall not be liable under this Agreement to make any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otherwise indemnifiable hereunder (or for which advancement is provided hereunder) if and to the extent that Indemnitee has otherwise actually received payment for such amounts under any insurance policy, contract,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94" w:lineRule="exact"/>
        <w:rPr>
          <w:sz w:val="20"/>
          <w:szCs w:val="20"/>
          <w:color w:val="auto"/>
        </w:rPr>
      </w:pPr>
    </w:p>
    <w:p>
      <w:pPr>
        <w:jc w:val="both"/>
        <w:ind w:firstLine="656"/>
        <w:spacing w:after="0" w:line="253"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To the extent that the Company maintains an insurance policy or policies providing liability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7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Subrogation</w:t>
      </w:r>
      <w:r>
        <w:rPr>
          <w:rFonts w:ascii="Times New Roman" w:cs="Times New Roman" w:eastAsia="Times New Roman" w:hAnsi="Times New Roman"/>
          <w:sz w:val="22"/>
          <w:szCs w:val="22"/>
          <w:color w:val="auto"/>
        </w:rPr>
        <w:t>. In the event of any payment under this Agreement, the Company shall be subrogated to the extent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22"/>
          <w:szCs w:val="22"/>
          <w:color w:val="auto"/>
        </w:rPr>
      </w:pPr>
    </w:p>
    <w:p>
      <w:pPr>
        <w:jc w:val="both"/>
        <w:ind w:firstLine="656"/>
        <w:spacing w:after="0" w:line="245"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Services to the Company</w:t>
      </w:r>
      <w:r>
        <w:rPr>
          <w:rFonts w:ascii="Times New Roman" w:cs="Times New Roman" w:eastAsia="Times New Roman" w:hAnsi="Times New Roman"/>
          <w:sz w:val="22"/>
          <w:szCs w:val="22"/>
          <w:color w:val="auto"/>
        </w:rPr>
        <w:t>. Indemnitee agrees to serve as a director or officer of the Company or, at the request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93"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Duration</w:t>
      </w:r>
      <w:r>
        <w:rPr>
          <w:rFonts w:ascii="Times New Roman" w:cs="Times New Roman" w:eastAsia="Times New Roman" w:hAnsi="Times New Roman"/>
          <w:sz w:val="22"/>
          <w:szCs w:val="22"/>
          <w:color w:val="auto"/>
        </w:rPr>
        <w:t>. This Agreement shall continue until and terminate upon the later of (a) ten years after the date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shall 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13 of this Agreement relating thereto.</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This Agreement shall be binding upon the Company and its 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direct or indirect successor by purchase, merger, consolidation or otherwise to all or substantially all of the business or assets of the Company, and shall inure to the benefit of Indemnitee and Indemnitee’s personal or legal representatives, heirs, executors, administrators, distributees, legatees and other successors. The Company shall require and cause any successor (whether direct or indirect by purchase, merger, consolidation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69" w:lineRule="exact"/>
        <w:rPr>
          <w:sz w:val="20"/>
          <w:szCs w:val="20"/>
          <w:color w:val="auto"/>
        </w:rPr>
      </w:pPr>
    </w:p>
    <w:p>
      <w:pPr>
        <w:jc w:val="both"/>
        <w:ind w:firstLine="656"/>
        <w:spacing w:after="0" w:line="246"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Nothing in this Agreement is intended to require or shall be construed as requiring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 or 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Enforcement</w:t>
      </w:r>
      <w:r>
        <w:rPr>
          <w:rFonts w:ascii="Times New Roman" w:cs="Times New Roman" w:eastAsia="Times New Roman" w:hAnsi="Times New Roman"/>
          <w:sz w:val="22"/>
          <w:szCs w:val="22"/>
          <w:color w:val="auto"/>
        </w:rPr>
        <w:t>. The Company expressly confirms and agrees that it has entered into this Agreement and assumed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6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constitutes the entire agreement between the parties hereto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this Agreement is a supplement to and in furtherance of the Company’s certificate of incorporation and bylaws and applicable law.</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and Waiver</w:t>
      </w:r>
      <w:r>
        <w:rPr>
          <w:rFonts w:ascii="Times New Roman" w:cs="Times New Roman" w:eastAsia="Times New Roman" w:hAnsi="Times New Roman"/>
          <w:sz w:val="22"/>
          <w:szCs w:val="22"/>
          <w:color w:val="auto"/>
        </w:rPr>
        <w:t>. No supplement, modification or amendment to this Agreement shall be binding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94" w:lineRule="exact"/>
        <w:rPr>
          <w:sz w:val="20"/>
          <w:szCs w:val="20"/>
          <w:color w:val="auto"/>
        </w:rPr>
      </w:pPr>
    </w:p>
    <w:p>
      <w:pPr>
        <w:ind w:firstLine="656"/>
        <w:spacing w:after="0" w:line="275" w:lineRule="auto"/>
        <w:tabs>
          <w:tab w:leader="none" w:pos="129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and other communications required or permitted hereunder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mailed by registered or certified mail, postage prepaid, or otherwise delivered by hand, messenger or courier service addressed:</w:t>
      </w:r>
    </w:p>
    <w:p>
      <w:pPr>
        <w:spacing w:after="0" w:line="15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to Indemnitee’s address, as shown on the signature page of this Agreement or in the Company’s records, as may be updated in accordance with the provisions hereof; or</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the attention of the Chief Executive Officer or Chief Financial Officer of the Company at 3800 Bridge Parkway, Suite 102, Redwood City, California 94065, or at such other current address as the Company shall have furnished to Indemnitee, with a copy (which shall not constitute notice) to Tony Jeffries and Christina Poulsen at Wilson Sonsini Goodrich &amp; Rosati, P.C., 650 Page Mill Road, Palo Alto, California 94304.</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22"/>
          <w:szCs w:val="22"/>
          <w:i w:val="1"/>
          <w:iCs w:val="1"/>
          <w:color w:val="auto"/>
        </w:rPr>
        <w:t>via</w:t>
      </w:r>
      <w:r>
        <w:rPr>
          <w:rFonts w:ascii="Times New Roman" w:cs="Times New Roman" w:eastAsia="Times New Roman" w:hAnsi="Times New Roman"/>
          <w:sz w:val="22"/>
          <w:szCs w:val="22"/>
          <w:color w:val="auto"/>
        </w:rPr>
        <w:t xml:space="preserve"> a nationally-recognized overnight courier service, freight prepaid, specifying next-business-day delivery, one business day after deposit with the courier), or (ii) if sent </w:t>
      </w:r>
      <w:r>
        <w:rPr>
          <w:rFonts w:ascii="Times New Roman" w:cs="Times New Roman" w:eastAsia="Times New Roman" w:hAnsi="Times New Roman"/>
          <w:sz w:val="22"/>
          <w:szCs w:val="22"/>
          <w:i w:val="1"/>
          <w:iCs w:val="1"/>
          <w:color w:val="auto"/>
        </w:rPr>
        <w:t>via</w:t>
      </w:r>
      <w:r>
        <w:rPr>
          <w:rFonts w:ascii="Times New Roman" w:cs="Times New Roman" w:eastAsia="Times New Roman" w:hAnsi="Times New Roman"/>
          <w:sz w:val="22"/>
          <w:szCs w:val="22"/>
          <w:color w:val="auto"/>
        </w:rPr>
        <w:t xml:space="preserve"> mail, at the earlier of its receipt or five days after the same has been deposited in a regularly-maintained receptacle for the deposit of the United States mail, addressed and mailed as aforesaid.</w:t>
      </w:r>
    </w:p>
    <w:p>
      <w:pPr>
        <w:spacing w:after="0" w:line="177" w:lineRule="exact"/>
        <w:rPr>
          <w:sz w:val="20"/>
          <w:szCs w:val="20"/>
          <w:color w:val="auto"/>
        </w:rPr>
      </w:pPr>
    </w:p>
    <w:p>
      <w:pPr>
        <w:jc w:val="both"/>
        <w:ind w:firstLine="656"/>
        <w:spacing w:after="0" w:line="261" w:lineRule="auto"/>
        <w:tabs>
          <w:tab w:leader="none" w:pos="1296"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Applicable Law and Consent to Jurisdiction</w:t>
      </w:r>
      <w:r>
        <w:rPr>
          <w:rFonts w:ascii="Times New Roman" w:cs="Times New Roman" w:eastAsia="Times New Roman" w:hAnsi="Times New Roman"/>
          <w:sz w:val="21"/>
          <w:szCs w:val="21"/>
          <w:color w:val="auto"/>
        </w:rPr>
        <w:t>. This Agreement and the legal relations among the parties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and construed and enforced in accordance with, the laws of the State of Delaware, without regard to its conflict of laws rules. Except with respect to any arbitration commenced by Indemnitee pursuant to Section 13(a) of this Agreement, or except as mutually agreed by the parties in writing, the Company and Indemnitee hereby irrevocably and unconditionally</w:t>
      </w:r>
    </w:p>
    <w:p>
      <w:pPr>
        <w:spacing w:after="0" w:line="3" w:lineRule="exact"/>
        <w:rPr>
          <w:rFonts w:ascii="Times New Roman" w:cs="Times New Roman" w:eastAsia="Times New Roman" w:hAnsi="Times New Roman"/>
          <w:sz w:val="21"/>
          <w:szCs w:val="21"/>
          <w:color w:val="auto"/>
        </w:rPr>
      </w:pPr>
    </w:p>
    <w:p>
      <w:pPr>
        <w:jc w:val="both"/>
        <w:ind w:firstLine="8"/>
        <w:spacing w:after="0" w:line="254" w:lineRule="auto"/>
        <w:tabs>
          <w:tab w:leader="none" w:pos="264"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 that any action or proceeding arising out of or in connection with this Agreement shall be brought only in the Delaware Court of Chancery, and not in any other state or federal court in the United States of America or any court in any other country,</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3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8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for all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counterpart signed by the party against whom enforceability is sought needs to be produced to evidence the existence of this Agreement.</w:t>
      </w:r>
    </w:p>
    <w:p>
      <w:pPr>
        <w:spacing w:after="0" w:line="154" w:lineRule="exact"/>
        <w:rPr>
          <w:sz w:val="20"/>
          <w:szCs w:val="20"/>
          <w:color w:val="auto"/>
        </w:rPr>
      </w:pPr>
    </w:p>
    <w:p>
      <w:pPr>
        <w:ind w:firstLine="656"/>
        <w:spacing w:after="0" w:line="275"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The headings of the paragraphs of this Agreement are inserted for convenience only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constitute part of this Agreement or to affect the construction thereof.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are signing this Indemnification Agreement as of the date stated in the introductory sentence.</w:t>
      </w:r>
    </w:p>
    <w:p>
      <w:pPr>
        <w:spacing w:after="0" w:line="28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2"/>
          <w:szCs w:val="22"/>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i w:val="1"/>
          <w:iCs w:val="1"/>
          <w:color w:val="auto"/>
        </w:rPr>
        <w:t>(Title)</w:t>
      </w:r>
    </w:p>
    <w:p>
      <w:pPr>
        <w:spacing w:after="0" w:line="200" w:lineRule="exact"/>
        <w:rPr>
          <w:sz w:val="20"/>
          <w:szCs w:val="20"/>
          <w:color w:val="auto"/>
        </w:rPr>
      </w:pPr>
    </w:p>
    <w:p>
      <w:pPr>
        <w:spacing w:after="0" w:line="39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2"/>
          <w:szCs w:val="22"/>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2"/>
          <w:szCs w:val="22"/>
          <w:i w:val="1"/>
          <w:iCs w:val="1"/>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373380</wp:posOffset>
            </wp:positionV>
            <wp:extent cx="38144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i w:val="1"/>
          <w:iCs w:val="1"/>
          <w:color w:val="auto"/>
        </w:rPr>
        <w:t>(City, State, and 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9479"/>
          </w:cols>
          <w:pgMar w:left="980" w:top="1440" w:right="1440"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86" w:lineRule="auto"/>
        <w:tabs>
          <w:tab w:leader="none" w:pos="456"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BRIGHAM AND WOMEN’S HOSPITAL,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EXCLUSIVE PATENT LICENSE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BWH Agreement No: [***]</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BWH Cases Nos: [***], [***], [***] and [***]</w:t>
      </w:r>
    </w:p>
    <w:p>
      <w:pPr>
        <w:spacing w:after="0" w:line="194" w:lineRule="exact"/>
        <w:rPr>
          <w:sz w:val="20"/>
          <w:szCs w:val="20"/>
          <w:color w:val="auto"/>
        </w:rPr>
      </w:pPr>
    </w:p>
    <w:p>
      <w:pPr>
        <w:ind w:right="360" w:firstLine="648"/>
        <w:spacing w:after="0" w:line="249" w:lineRule="auto"/>
        <w:rPr>
          <w:sz w:val="20"/>
          <w:szCs w:val="20"/>
          <w:color w:val="auto"/>
        </w:rPr>
      </w:pPr>
      <w:r>
        <w:rPr>
          <w:rFonts w:ascii="Times New Roman" w:cs="Times New Roman" w:eastAsia="Times New Roman" w:hAnsi="Times New Roman"/>
          <w:sz w:val="20"/>
          <w:szCs w:val="20"/>
          <w:color w:val="auto"/>
        </w:rPr>
        <w:t>This License Agreement (‘“Agreement”) is made as of the 18th day of December, 2017 (“Effective Date” ), by and between Seer Biosciences, Inc., a Delaware corporation, having a principal place of business at [***] (“Company”‘) and The Brigham and Women’s Hospital, Inc., a not-for-profit Massachusetts corporation, with a principal place of business at 75 Francis Street, Boston, Massachusetts 02115 (“Hospital”), each referred to herein individually as a “Party” and collectively as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ind w:right="400" w:firstLine="648"/>
        <w:spacing w:after="0" w:line="254" w:lineRule="auto"/>
        <w:rPr>
          <w:sz w:val="20"/>
          <w:szCs w:val="20"/>
          <w:color w:val="auto"/>
        </w:rPr>
      </w:pPr>
      <w:r>
        <w:rPr>
          <w:rFonts w:ascii="Times New Roman" w:cs="Times New Roman" w:eastAsia="Times New Roman" w:hAnsi="Times New Roman"/>
          <w:sz w:val="20"/>
          <w:szCs w:val="20"/>
          <w:color w:val="auto"/>
        </w:rPr>
        <w:t>Hospital, as a center for patient care, research and education, is the owner of certain Patent Rights (defined below) and desires to grant a license of those Patent Rights to Company in order to benefit the public by disseminating the results of its research via the commercial development, manufacture, distribution and use of Products and Processes (defined below).</w:t>
      </w:r>
    </w:p>
    <w:p>
      <w:pPr>
        <w:spacing w:after="0" w:line="174"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Company has the capability to commercially develop, manufacture, distribute and use Products and Processes for public use and benefit and desires to license such Patent Rights.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good and valuable consideration, the sufficiency of which is hereby acknowledged, the Parties hereby agree as follows:</w:t>
      </w:r>
    </w:p>
    <w:p>
      <w:pPr>
        <w:spacing w:after="0" w:line="212" w:lineRule="exact"/>
        <w:rPr>
          <w:sz w:val="20"/>
          <w:szCs w:val="20"/>
          <w:color w:val="auto"/>
        </w:rPr>
      </w:pPr>
    </w:p>
    <w:p>
      <w:pPr>
        <w:ind w:left="4820" w:hanging="644"/>
        <w:spacing w:after="0"/>
        <w:tabs>
          <w:tab w:leader="none" w:pos="482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DEFINITIONS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following meanings, unless the context requires otherwise.</w:t>
      </w:r>
    </w:p>
    <w:p>
      <w:pPr>
        <w:spacing w:after="0" w:line="216"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1.1 “Affiliate” with respect to either Party shall mean any corporation or other legal entity other than that Party in whatever country organized, controlling, controlled by or under common control with that Party. The term “control” shall mean (i) in the case of Company, direct or indirect ownership of fifty percent (50%) or more of the voting securities having the right to elect directors, and (ii) in the case of Hospital, the power, direct or indirect, to elect or appoint fifty percent (50%) or more of the directors or trustees, or to cause direction of management and policies, whether through the ownership of voting securities, by contract or otherwise.</w:t>
      </w:r>
    </w:p>
    <w:p>
      <w:pPr>
        <w:spacing w:after="0" w:line="18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1.2 “Claim” shall mean any pending or issued claim of any Patent Right that has not expired or been permanently revoked, nor held unenforceable or invalid by a decision of a court or other governmental agency of competent jurisdiction that is unappealable, or unappealed in the time allowed for appeal, but shall exclude any such claim (a) that has been pending without issuance for more than [***], or (b)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250" w:name="page251"/>
    <w:bookmarkEnd w:id="250"/>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application from which no claims have issued for [***]. For any claim that is covered by (a) or (b), licensed rights to such claim shall revert back to the Hospital.</w:t>
      </w:r>
    </w:p>
    <w:p>
      <w:pPr>
        <w:spacing w:after="0" w:line="159"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1.3 “Distributor” shall mean any third party entity to whom Company, a Company Affiliate or a Sublicensee has granted, express or implied, the right to distribute any Product or Process pursuant to Section 2.1(b)(ii).</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“Excluded Patent License Field 2” shall mean (i) [***] and (ii) the [***].</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“FDA” shall mean the United States Food and Drug Administration or any comparable governmental agency outside of the U.S.A.</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“First Commercial Sale” shall mean the initial Sale anywhere in the applicable License Territory of a Product or Process.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“Immune Switching of Lymphocyte Subclasses” shall mean switching lymphocyte subclasses from T-helper cells Th2 to Thl.</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“Immune Tolerance” shall mean down-regulation of immune responses against a specified endogenous or exogenous antigen.</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“IND” shall mean Investigational New Drug Application, as defined by the FDA or foreign equivalent.</w:t>
      </w:r>
    </w:p>
    <w:p>
      <w:pPr>
        <w:spacing w:after="0" w:line="21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1.10 “Invention” shall mean any new and useful discovery (i) disclosed to Hospital’s Office of Innovation by [***], and (ii) related to a [***].</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“License Field” shall mean Patent Family 1 License Field and Patent Family 2 License Field.</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color w:val="auto"/>
        </w:rPr>
        <w:t>“License Territory” shall mean worldwide.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“NDA” shall mean a New Drug Application, as defined by the FDA or foreign equivalent.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“Net Sales” shall be calculated as set forth in this Section 1.14.</w:t>
      </w:r>
    </w:p>
    <w:p>
      <w:pPr>
        <w:spacing w:after="0" w:line="216" w:lineRule="exact"/>
        <w:rPr>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conditions set forth below, “Net Sales” shall mean:</w:t>
      </w:r>
    </w:p>
    <w:p>
      <w:pPr>
        <w:spacing w:after="0" w:line="215" w:lineRule="exact"/>
        <w:rPr>
          <w:rFonts w:ascii="Times New Roman" w:cs="Times New Roman" w:eastAsia="Times New Roman" w:hAnsi="Times New Roman"/>
          <w:sz w:val="20"/>
          <w:szCs w:val="20"/>
          <w:color w:val="auto"/>
        </w:rPr>
      </w:pPr>
    </w:p>
    <w:p>
      <w:pPr>
        <w:ind w:left="1960" w:right="400" w:hanging="656"/>
        <w:spacing w:after="0" w:line="295" w:lineRule="auto"/>
        <w:tabs>
          <w:tab w:leader="none" w:pos="1958"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gross amount billed or invoiced, or, if no such bill or invoice is issued, the amount received, whichever is greatest, by Company and its Affiliates and Sublicensees for or on account of Sales of Products and Processes;</w:t>
      </w:r>
    </w:p>
    <w:p>
      <w:pPr>
        <w:spacing w:after="0" w:line="137"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amounts actually paid by Company and its Affiliates and Sublicensees in effecting such Sale:</w:t>
      </w:r>
    </w:p>
    <w:p>
      <w:pPr>
        <w:spacing w:after="0" w:line="227" w:lineRule="exact"/>
        <w:rPr>
          <w:rFonts w:ascii="Times New Roman" w:cs="Times New Roman" w:eastAsia="Times New Roman" w:hAnsi="Times New Roman"/>
          <w:sz w:val="19"/>
          <w:szCs w:val="19"/>
          <w:color w:val="auto"/>
        </w:rPr>
      </w:pPr>
    </w:p>
    <w:p>
      <w:pPr>
        <w:ind w:left="26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19"/>
          <w:szCs w:val="19"/>
          <w:color w:val="auto"/>
        </w:rPr>
        <w:t>amounts repaid or credited by reason of rejection or return of applicable Products or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00"/>
          </w:cols>
          <w:pgMar w:left="320" w:top="1440" w:right="479" w:bottom="1440" w:gutter="0" w:footer="0" w:header="0"/>
        </w:sectPr>
      </w:pPr>
    </w:p>
    <w:bookmarkStart w:id="251" w:name="page252"/>
    <w:bookmarkEnd w:id="251"/>
    <w:p>
      <w:pPr>
        <w:spacing w:after="0" w:line="189" w:lineRule="exact"/>
        <w:rPr>
          <w:sz w:val="20"/>
          <w:szCs w:val="20"/>
          <w:color w:val="auto"/>
        </w:rPr>
      </w:pPr>
    </w:p>
    <w:p>
      <w:pPr>
        <w:ind w:left="2584" w:right="420" w:hanging="640"/>
        <w:spacing w:after="0" w:line="269" w:lineRule="auto"/>
        <w:tabs>
          <w:tab w:leader="none" w:pos="25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trade, quantity or cash rebates or discounts to the extent allowed and taken;</w:t>
      </w:r>
    </w:p>
    <w:p>
      <w:pPr>
        <w:spacing w:after="0" w:line="159" w:lineRule="exact"/>
        <w:rPr>
          <w:rFonts w:ascii="Times New Roman" w:cs="Times New Roman" w:eastAsia="Times New Roman" w:hAnsi="Times New Roman"/>
          <w:sz w:val="20"/>
          <w:szCs w:val="20"/>
          <w:color w:val="auto"/>
        </w:rPr>
      </w:pPr>
    </w:p>
    <w:p>
      <w:pPr>
        <w:ind w:left="2584" w:right="320" w:hanging="640"/>
        <w:spacing w:after="0" w:line="269" w:lineRule="auto"/>
        <w:tabs>
          <w:tab w:leader="none" w:pos="25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or rebates or other payments required by law to be made under Medicaid, Medicare or other governmental • medical assistance programs, to the extent actually allowed and taken;</w:t>
      </w:r>
    </w:p>
    <w:p>
      <w:pPr>
        <w:spacing w:after="0" w:line="159" w:lineRule="exact"/>
        <w:rPr>
          <w:rFonts w:ascii="Times New Roman" w:cs="Times New Roman" w:eastAsia="Times New Roman" w:hAnsi="Times New Roman"/>
          <w:sz w:val="20"/>
          <w:szCs w:val="20"/>
          <w:color w:val="auto"/>
        </w:rPr>
      </w:pPr>
    </w:p>
    <w:p>
      <w:pPr>
        <w:ind w:left="2584" w:hanging="640"/>
        <w:spacing w:after="0" w:line="269" w:lineRule="auto"/>
        <w:tabs>
          <w:tab w:leader="none" w:pos="25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separately stated on the bill or invoice, amounts for outbound transportation, insurance, handling and shipping;</w:t>
      </w:r>
    </w:p>
    <w:p>
      <w:pPr>
        <w:spacing w:after="0" w:line="159" w:lineRule="exact"/>
        <w:rPr>
          <w:rFonts w:ascii="Times New Roman" w:cs="Times New Roman" w:eastAsia="Times New Roman" w:hAnsi="Times New Roman"/>
          <w:sz w:val="20"/>
          <w:szCs w:val="20"/>
          <w:color w:val="auto"/>
        </w:rPr>
      </w:pPr>
    </w:p>
    <w:p>
      <w:pPr>
        <w:ind w:left="2584" w:right="160" w:hanging="640"/>
        <w:spacing w:after="0" w:line="249" w:lineRule="auto"/>
        <w:tabs>
          <w:tab w:leader="none" w:pos="25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separately stated on the bill or invoice, taxes, customs duties and other governmental charges levied on or measured by Sales of Products or Processes, whether paid by or on behalf of Company so long as Company’s price is reduced thereby, but not franchise or income taxes of any kind whatsoever; and</w:t>
      </w:r>
    </w:p>
    <w:p>
      <w:pPr>
        <w:spacing w:after="0" w:line="179" w:lineRule="exact"/>
        <w:rPr>
          <w:rFonts w:ascii="Times New Roman" w:cs="Times New Roman" w:eastAsia="Times New Roman" w:hAnsi="Times New Roman"/>
          <w:sz w:val="20"/>
          <w:szCs w:val="20"/>
          <w:color w:val="auto"/>
        </w:rPr>
      </w:pPr>
    </w:p>
    <w:p>
      <w:pPr>
        <w:ind w:left="2584" w:right="220" w:hanging="640"/>
        <w:spacing w:after="0" w:line="295" w:lineRule="auto"/>
        <w:tabs>
          <w:tab w:leader="none" w:pos="258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invoiced amounts that are not collected by Company, its Affiliates or Sublicensees, including bad debts, up to a maximum of five percent (5%) of gross sales received in any given year.</w:t>
      </w:r>
    </w:p>
    <w:p>
      <w:pPr>
        <w:spacing w:after="0" w:line="138" w:lineRule="exact"/>
        <w:rPr>
          <w:sz w:val="20"/>
          <w:szCs w:val="20"/>
          <w:color w:val="auto"/>
        </w:rPr>
      </w:pPr>
    </w:p>
    <w:p>
      <w:pPr>
        <w:ind w:left="1304" w:right="100"/>
        <w:spacing w:after="0" w:line="269" w:lineRule="auto"/>
        <w:rPr>
          <w:sz w:val="20"/>
          <w:szCs w:val="20"/>
          <w:color w:val="auto"/>
        </w:rPr>
      </w:pPr>
      <w:r>
        <w:rPr>
          <w:rFonts w:ascii="Times New Roman" w:cs="Times New Roman" w:eastAsia="Times New Roman" w:hAnsi="Times New Roman"/>
          <w:sz w:val="20"/>
          <w:szCs w:val="20"/>
          <w:color w:val="auto"/>
        </w:rPr>
        <w:t>If there is an overlap between any of the deductions described in 1 through 4 above, each individual item shall only be deducted once in the overall Net Sales calculation.</w:t>
      </w:r>
    </w:p>
    <w:p>
      <w:pPr>
        <w:spacing w:after="0" w:line="159" w:lineRule="exact"/>
        <w:rPr>
          <w:sz w:val="20"/>
          <w:szCs w:val="20"/>
          <w:color w:val="auto"/>
        </w:rPr>
      </w:pPr>
    </w:p>
    <w:p>
      <w:pPr>
        <w:ind w:left="1944" w:right="60" w:hanging="648"/>
        <w:spacing w:after="0" w:line="254" w:lineRule="auto"/>
        <w:tabs>
          <w:tab w:leader="none" w:pos="193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amount billed or invoiced, or if no such bill or invoice is issued the amount received, whichever is greatest, by Company and its Affiliates and Sublicensees for or on account of Sales of Products and Processes to Hospital and Hospital’s Affiliates.</w:t>
      </w:r>
    </w:p>
    <w:p>
      <w:pPr>
        <w:spacing w:after="0" w:line="174" w:lineRule="exact"/>
        <w:rPr>
          <w:rFonts w:ascii="Times New Roman" w:cs="Times New Roman" w:eastAsia="Times New Roman" w:hAnsi="Times New Roman"/>
          <w:sz w:val="20"/>
          <w:szCs w:val="20"/>
          <w:color w:val="auto"/>
        </w:rPr>
      </w:pPr>
    </w:p>
    <w:p>
      <w:pPr>
        <w:ind w:left="644" w:right="80" w:hanging="644"/>
        <w:spacing w:after="0" w:line="254" w:lineRule="auto"/>
        <w:tabs>
          <w:tab w:leader="none" w:pos="63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Specifically excluded from the definition of “Net Sales” are amounts attributable to any Sale of any Product or Process between or among Company and any Company Affiliate and/or Sublicensee, unless the transferee is the end purchaser, user or consumer of such Product or Process.</w:t>
      </w:r>
    </w:p>
    <w:p>
      <w:pPr>
        <w:spacing w:after="0" w:line="17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deductions shall be made for any commissions paid to any individuals or for any costs or expenses of collections.</w:t>
      </w:r>
    </w:p>
    <w:p>
      <w:pPr>
        <w:spacing w:after="0" w:line="215" w:lineRule="exact"/>
        <w:rPr>
          <w:rFonts w:ascii="Times New Roman" w:cs="Times New Roman" w:eastAsia="Times New Roman" w:hAnsi="Times New Roman"/>
          <w:sz w:val="20"/>
          <w:szCs w:val="20"/>
          <w:color w:val="auto"/>
        </w:rPr>
      </w:pPr>
    </w:p>
    <w:p>
      <w:pPr>
        <w:ind w:left="644" w:right="40" w:hanging="644"/>
        <w:spacing w:after="0" w:line="269" w:lineRule="auto"/>
        <w:tabs>
          <w:tab w:leader="none" w:pos="63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shall be deemed to have occurred and the applicable Product or Process “Sold” on the earlier to occur of receipt of payment or 60 days after billing or invoicing.</w:t>
      </w:r>
    </w:p>
    <w:p>
      <w:pPr>
        <w:spacing w:after="0" w:line="159" w:lineRule="exact"/>
        <w:rPr>
          <w:rFonts w:ascii="Times New Roman" w:cs="Times New Roman" w:eastAsia="Times New Roman" w:hAnsi="Times New Roman"/>
          <w:sz w:val="20"/>
          <w:szCs w:val="20"/>
          <w:color w:val="auto"/>
        </w:rPr>
      </w:pPr>
    </w:p>
    <w:p>
      <w:pPr>
        <w:ind w:left="644" w:right="20" w:hanging="644"/>
        <w:spacing w:after="0" w:line="263" w:lineRule="auto"/>
        <w:tabs>
          <w:tab w:leader="none" w:pos="634"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1.14(a)(ii)(A)(2) above, if any Product or Process is Sold at a discounted price that is lower than the customary price charged, or for non-cash consideration (whether or not at a discount), Net Sales shall be calculated based on the non-discounted cash amount charged to an independent third party for the Product or Process during the same Reporting Period or, in the absence of such transaction, on the fair market value of the Product or Process. Non-cash consideration that could affect any payment due to Hospital hereunder shall not be accepted without the prior written consent of Hospital.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24"/>
          </w:cols>
          <w:pgMar w:left="976" w:top="1440" w:right="399" w:bottom="1440" w:gutter="0" w:footer="0" w:header="0"/>
        </w:sectPr>
      </w:pPr>
    </w:p>
    <w:bookmarkStart w:id="252" w:name="page253"/>
    <w:bookmarkEnd w:id="252"/>
    <w:p>
      <w:pPr>
        <w:spacing w:after="0" w:line="189"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 xml:space="preserve">1.15 “Patent Family 1” shall mean Patent Rights identified by Hospital’s Cases No. [***]; No. [***]; and No. [***], each as further described in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“Patent Family 1 License Field” shall mean all fields of use, [***].</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 xml:space="preserve">“Patent Family 2” shall mean Patent Rights identified Hospital’s Case No. [***], as further described in </w:t>
      </w:r>
      <w:r>
        <w:rPr>
          <w:rFonts w:ascii="Times New Roman" w:cs="Times New Roman" w:eastAsia="Times New Roman" w:hAnsi="Times New Roman"/>
          <w:sz w:val="19"/>
          <w:szCs w:val="19"/>
          <w:b w:val="1"/>
          <w:bCs w:val="1"/>
          <w:color w:val="auto"/>
        </w:rPr>
        <w:t>Appendix 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1.18 “Patent Family 2 License Field” shall mean all fields of use, [***], provided that Patent Family 2 License Field excludes Excluded Patent License Field 2.</w:t>
      </w:r>
    </w:p>
    <w:p>
      <w:pPr>
        <w:spacing w:after="0" w:line="15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 xml:space="preserve">1.19 “Patent Rights” shall mean Hospital’s rights in the U.S. Patent Applications under Patent Family 1 and Patent Family 2 and/or the equivalent of such applications including any division, continuation, and continuation-in-part (but only to the extent of claims directed to the subject matter claimed in the parent application) and/or any foreign patent application and/or Letters Patent, and/or the equivalent thereof issuing thereon, and/or reissue, reexamination and/or extension thereof, as may be further described in </w:t>
      </w:r>
      <w:r>
        <w:rPr>
          <w:rFonts w:ascii="Times New Roman" w:cs="Times New Roman" w:eastAsia="Times New Roman" w:hAnsi="Times New Roman"/>
          <w:sz w:val="20"/>
          <w:szCs w:val="20"/>
          <w:b w:val="1"/>
          <w:bCs w:val="1"/>
          <w:color w:val="auto"/>
        </w:rPr>
        <w:t>Appendix A.</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color w:val="auto"/>
        </w:rPr>
        <w:t>“Phase II Clinical Trial” shall mean a clinical study of the Product in any country that would satisfy the requirements of 21 C.F.R.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312.21(b), as amended from time to time, or a comparable regulation if the study is conducted in a jurisdiction outside of the United States.</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“Phase III Clinical Trial” shall mean a clinical study of the Product in any country that would satisfy the requirements of 21 C.F.R.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312.21(c), as amended from time to time, or a comparable regulation if the study is conducted in a jurisdiction outside of the United States.</w:t>
      </w:r>
    </w:p>
    <w:p>
      <w:pPr>
        <w:spacing w:after="0" w:line="19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1.22 “Process” shall mean any process, method or service the use or performance of which, in whole or in part, absent the license granted hereunder, would infringe one or more Claims.</w:t>
      </w:r>
    </w:p>
    <w:p>
      <w:pPr>
        <w:spacing w:after="0" w:line="159"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1.23 “Product” shall mean any article, device or composition, the manufacture, use, or sale of which, in whole or in part, absent the license granted hereunder, would infringe one or more Claims.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“Reporting Period” shall mean each three month period ending March 31, June 30, September 30 and December 31.</w:t>
      </w:r>
    </w:p>
    <w:p>
      <w:pPr>
        <w:spacing w:after="0" w:line="21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1.25 “Sell” (and “Sale” and “Sold” as the case may be) shall mean to sell or have sold, to lease or have leased, to import or have imported or otherwise to transfer or have transferred a Product or Process for valuable consideration (in the form of cash or otherwise), and further in the case of a Process, to use or perform such Process for the benefit of a third party, other than in connection with research, development or obtaining regulatory approval.</w:t>
      </w:r>
    </w:p>
    <w:p>
      <w:pPr>
        <w:spacing w:after="0" w:line="18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1.26 “Sublicense Income” shall mean consideration in any form received by Company and/or Company’s Affiliate(s) in connection with or in exchange for a grant of a sublicense or any other right, license, privilege or immunity (regardless of whether such grantee is a “Sublicensee” as defined in this Agreement) under the Patent Rights to make, have made, use, have used, Sell or have Sold Products or Processes, but excluding consideration included within Net Sales. Sublicense Income shall include without limitation any license signing fee, license maintenance fee, unearned portion of any minimum royalty payment, distribution or joint marketing fee, research and development funding in excess of the cost of performing such research and development, and any consideration received for an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1440" w:right="379" w:bottom="1440" w:gutter="0" w:footer="0" w:header="0"/>
        </w:sectPr>
      </w:pPr>
    </w:p>
    <w:bookmarkStart w:id="253" w:name="page254"/>
    <w:bookmarkEnd w:id="253"/>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extension of credit to or other investment in Company or Company’s Affiliates to the extent such consideration exceeds the fair market value of the equity or other interest received as determined by an independent valuation advisor engaged by the Company and approved in writing by Hospital to perform valuation services. For the avoidance of doubt, Sublicense Income shall not include royalties or other consideration based on Net Sales, payments funding the costs of bona fide research and development activities, reimbursement for patent prosecution or enforcement expenses, proceeds from the sale of securities, or consideration received in connection with an assignment of this Agreement in accordance with Section 12.5.</w:t>
      </w:r>
    </w:p>
    <w:p>
      <w:pPr>
        <w:spacing w:after="0" w:line="18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1.27 “Sublicensee” shall mean any sublicensee of rights granted in accordance with Section 2.1(a)(iii). For purpose of this Agreement, a Distributor of a Product or Process shall not be included in the definition of Sublicensee unless such Distributor (i) is granted any right to make, have made, use or have used Products or Processes in accordance with Section 2.1(a)(iii), or (ii) has agreed to pay to Company or its Affiliate(s) royalties on such Distributor’s sales of Products or Processes, in which case such Distributor shall be a Sublicensee for all purposes of this Agreement. For the avoidance of doubt, if the Company assigns this Agreement in accordance with Section 12.5, then the assignee shall not be a Sublicensee.</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color w:val="auto"/>
        </w:rPr>
        <w:t>“Third-Party Licensee” shall mean a third party that obtains a license from Hospital under Patent Family 2.</w:t>
      </w:r>
    </w:p>
    <w:p>
      <w:pPr>
        <w:spacing w:after="0" w:line="212" w:lineRule="exact"/>
        <w:rPr>
          <w:sz w:val="20"/>
          <w:szCs w:val="20"/>
          <w:color w:val="auto"/>
        </w:rPr>
      </w:pPr>
    </w:p>
    <w:p>
      <w:pPr>
        <w:ind w:left="5520" w:hanging="654"/>
        <w:spacing w:after="0"/>
        <w:tabs>
          <w:tab w:leader="none" w:pos="552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LICENSE</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Grant of License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right="600" w:hanging="644"/>
        <w:spacing w:after="0" w:line="269" w:lineRule="auto"/>
        <w:tabs>
          <w:tab w:leader="none" w:pos="129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Agreement and Hospital’s rights in Patent Rights, Hospital hereby grants to Company and Company’s Affiliates in the License Territory:</w:t>
      </w:r>
    </w:p>
    <w:p>
      <w:pPr>
        <w:spacing w:after="0" w:line="159" w:lineRule="exact"/>
        <w:rPr>
          <w:rFonts w:ascii="Times New Roman" w:cs="Times New Roman" w:eastAsia="Times New Roman" w:hAnsi="Times New Roman"/>
          <w:sz w:val="20"/>
          <w:szCs w:val="20"/>
          <w:color w:val="auto"/>
        </w:rPr>
      </w:pPr>
    </w:p>
    <w:p>
      <w:pPr>
        <w:ind w:left="1960" w:right="140" w:hanging="656"/>
        <w:spacing w:after="0" w:line="254" w:lineRule="auto"/>
        <w:tabs>
          <w:tab w:leader="none" w:pos="195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royalty-bearing license under Patent Family 1 in the Patent Family 1 License Field to develop, have developed, make, have made, use, have used, offer for Sale, Sell and have Sold, import, have imported, export, and have exported Products and Processes; and</w:t>
      </w:r>
    </w:p>
    <w:p>
      <w:pPr>
        <w:spacing w:after="0" w:line="174" w:lineRule="exact"/>
        <w:rPr>
          <w:rFonts w:ascii="Times New Roman" w:cs="Times New Roman" w:eastAsia="Times New Roman" w:hAnsi="Times New Roman"/>
          <w:sz w:val="20"/>
          <w:szCs w:val="20"/>
          <w:color w:val="auto"/>
        </w:rPr>
      </w:pPr>
    </w:p>
    <w:p>
      <w:pPr>
        <w:ind w:left="1960" w:right="140" w:hanging="656"/>
        <w:spacing w:after="0" w:line="254" w:lineRule="auto"/>
        <w:tabs>
          <w:tab w:leader="none" w:pos="1959"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exclusive, royalty-bearing license under Patent Family 2 in the Patent Family 2 License Field to develop, have developed, make, have made, use, have used, offer for Sale, Sell and have Sold, import, have imported, export, and have exported Products and Processes; and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grant sublicenses under the rights granted in Sections 2.l(a)(i) and (ii), and in accordance with Section</w:t>
      </w:r>
    </w:p>
    <w:p>
      <w:pPr>
        <w:spacing w:after="0" w:line="21" w:lineRule="exact"/>
        <w:rPr>
          <w:rFonts w:ascii="Times New Roman" w:cs="Times New Roman" w:eastAsia="Times New Roman" w:hAnsi="Times New Roman"/>
          <w:sz w:val="20"/>
          <w:szCs w:val="20"/>
          <w:color w:val="auto"/>
        </w:rPr>
      </w:pPr>
    </w:p>
    <w:p>
      <w:pPr>
        <w:ind w:left="196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 to Sublicensees, provided that in each case Company shall be responsible for the performance of any obligations of Sublicensees relevant to this Agreement as if such performance were carried out by Company itself, including, without limitation, the payment of any royalties or other payments provided for hereunder, regardless of whether the terms of any sublicense provide for such amounts to be paid by the Sublicensee directly to Hospital.</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licenses granted in Section 2.1(a) above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1440" w:right="379" w:bottom="1440" w:gutter="0" w:footer="0" w:header="0"/>
        </w:sectPr>
      </w:pPr>
    </w:p>
    <w:bookmarkStart w:id="254" w:name="page255"/>
    <w:bookmarkEnd w:id="254"/>
    <w:p>
      <w:pPr>
        <w:spacing w:after="0" w:line="189" w:lineRule="exact"/>
        <w:rPr>
          <w:sz w:val="20"/>
          <w:szCs w:val="20"/>
          <w:color w:val="auto"/>
        </w:rPr>
      </w:pPr>
    </w:p>
    <w:p>
      <w:pPr>
        <w:ind w:left="1960" w:right="260" w:hanging="656"/>
        <w:spacing w:after="0" w:line="295" w:lineRule="auto"/>
        <w:tabs>
          <w:tab w:leader="none" w:pos="1958"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to grant to the final purchaser, user or consumer of Products the right to use such purchased Products in a method coming within the scope of Patent Rights within the applicable License Field and License Territory; and</w:t>
      </w:r>
    </w:p>
    <w:p>
      <w:pPr>
        <w:spacing w:after="0" w:line="137" w:lineRule="exact"/>
        <w:rPr>
          <w:rFonts w:ascii="Times New Roman" w:cs="Times New Roman" w:eastAsia="Times New Roman" w:hAnsi="Times New Roman"/>
          <w:sz w:val="19"/>
          <w:szCs w:val="19"/>
          <w:color w:val="auto"/>
        </w:rPr>
      </w:pPr>
    </w:p>
    <w:p>
      <w:pPr>
        <w:ind w:left="1960" w:right="500" w:hanging="656"/>
        <w:spacing w:after="0" w:line="254" w:lineRule="auto"/>
        <w:tabs>
          <w:tab w:leader="none" w:pos="195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grant to a Distributor the right to Sell (but not to make, have made, use or have used) such Products and/or Processes for or on behalf of Company, its Affiliates and Sublicensees in a manner consistent with this Agreement.</w:t>
      </w:r>
    </w:p>
    <w:p>
      <w:pPr>
        <w:spacing w:after="0" w:line="174" w:lineRule="exact"/>
        <w:rPr>
          <w:rFonts w:ascii="Times New Roman" w:cs="Times New Roman" w:eastAsia="Times New Roman" w:hAnsi="Times New Roman"/>
          <w:sz w:val="20"/>
          <w:szCs w:val="20"/>
          <w:color w:val="auto"/>
        </w:rPr>
      </w:pPr>
    </w:p>
    <w:p>
      <w:pPr>
        <w:ind w:left="1300" w:hanging="644"/>
        <w:spacing w:after="0" w:line="246" w:lineRule="auto"/>
        <w:tabs>
          <w:tab w:leader="none" w:pos="129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granted to Company this Section 2 are also granted to each Affiliate of Company, provided that such Affiliate shall assume the same obligations as those of Company and be subject to the same terms and conditions hereunder; and further provided that Company shall be responsible for the performance of all of such obligations and for compliance with all of such terms and conditions by Affiliate. Company shall be responsible for any obligation of Affiliates to make any payment to Hospital or provide a report to Hospital.</w:t>
      </w:r>
    </w:p>
    <w:p>
      <w:pPr>
        <w:spacing w:after="0" w:line="184" w:lineRule="exact"/>
        <w:rPr>
          <w:rFonts w:ascii="Times New Roman" w:cs="Times New Roman" w:eastAsia="Times New Roman" w:hAnsi="Times New Roman"/>
          <w:sz w:val="20"/>
          <w:szCs w:val="20"/>
          <w:color w:val="auto"/>
        </w:rPr>
      </w:pPr>
    </w:p>
    <w:p>
      <w:pPr>
        <w:ind w:left="1300" w:right="220" w:hanging="644"/>
        <w:spacing w:after="0" w:line="269" w:lineRule="auto"/>
        <w:tabs>
          <w:tab w:leader="none" w:pos="128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acknowledges that Hospital may grant to a Third-Party Licensee a license under Patent Family 2 in a field of use that does not include the Patent Family 2 License Field.</w:t>
      </w:r>
    </w:p>
    <w:p>
      <w:pPr>
        <w:spacing w:after="0" w:line="15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Sublicenses</w:t>
      </w:r>
      <w:r>
        <w:rPr>
          <w:rFonts w:ascii="Times New Roman" w:cs="Times New Roman" w:eastAsia="Times New Roman" w:hAnsi="Times New Roman"/>
          <w:sz w:val="20"/>
          <w:szCs w:val="20"/>
          <w:color w:val="auto"/>
        </w:rPr>
        <w:t>. Each sublicense granted hereunder shall be subject to the prior written approval of Hospital, which approval shall not be unreasonably withheld, conditioned or delayed.</w:t>
      </w:r>
    </w:p>
    <w:p>
      <w:pPr>
        <w:spacing w:after="0" w:line="159" w:lineRule="exact"/>
        <w:rPr>
          <w:sz w:val="20"/>
          <w:szCs w:val="20"/>
          <w:color w:val="auto"/>
        </w:rPr>
      </w:pPr>
    </w:p>
    <w:p>
      <w:pPr>
        <w:jc w:val="both"/>
        <w:ind w:left="1300" w:right="720" w:hanging="644"/>
        <w:spacing w:after="0" w:line="254" w:lineRule="auto"/>
        <w:tabs>
          <w:tab w:leader="none" w:pos="129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require that each sublicense is consistent with and subject to the terms and conditions of the License, including without limitation terms and conditions regarding indemnification, insurance, disclaimers of warranty, and limitations of liability.</w:t>
      </w:r>
    </w:p>
    <w:p>
      <w:pPr>
        <w:spacing w:after="0" w:line="174" w:lineRule="exact"/>
        <w:rPr>
          <w:rFonts w:ascii="Times New Roman" w:cs="Times New Roman" w:eastAsia="Times New Roman" w:hAnsi="Times New Roman"/>
          <w:sz w:val="20"/>
          <w:szCs w:val="20"/>
          <w:color w:val="auto"/>
        </w:rPr>
      </w:pPr>
    </w:p>
    <w:p>
      <w:pPr>
        <w:ind w:left="1300" w:right="20" w:hanging="644"/>
        <w:spacing w:after="0" w:line="243"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signing a sublicense agreement or any amendment thereto, Company shall provide to Hospital a draft of such agreement or amendment. Company may redact such draft, but only to redact content that is unrelated to the grant of Patent Rights under this Agreement. If Hospital has any comments, it shall provide such comments to Company within [***] days after its receipt of the draft. If Hospital does not provide any comments during such period, the agreement shall be deemed to be approved. If Company receives comments from Hospital, it shall negotiate same with the proposed sublicensee and then deliver a revised draft to Hospital. Hospital shall have [***] days, following receipt, to approve or reject the revised draft. If Hospital does not reject the revised license within such [***]-day period, the sublicense agreement shall be deemed to be approved.</w:t>
      </w:r>
    </w:p>
    <w:p>
      <w:pPr>
        <w:spacing w:after="0" w:line="189" w:lineRule="exact"/>
        <w:rPr>
          <w:rFonts w:ascii="Times New Roman" w:cs="Times New Roman" w:eastAsia="Times New Roman" w:hAnsi="Times New Roman"/>
          <w:sz w:val="20"/>
          <w:szCs w:val="20"/>
          <w:color w:val="auto"/>
        </w:rPr>
      </w:pPr>
    </w:p>
    <w:p>
      <w:pPr>
        <w:ind w:left="1300" w:right="60" w:hanging="644"/>
        <w:spacing w:after="0" w:line="246" w:lineRule="auto"/>
        <w:tabs>
          <w:tab w:leader="none" w:pos="129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provide to Hospital a fully signed copy of all sublicense agreements and amendments thereto, including all exhibits, attachments and related documents, within [***] days after executing the same. Company may redact such copy, but only to redact content that is unrelated to the grant of Patent Rights under this Agreement. For the avoidance of doubt, Company need not provide Hospital copies of agreements with contract research (including academic or non-profit research, development, manufacturing, and/or sales)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9" w:lineRule="exact"/>
        <w:rPr>
          <w:sz w:val="20"/>
          <w:szCs w:val="20"/>
          <w:color w:val="auto"/>
        </w:rPr>
      </w:pPr>
    </w:p>
    <w:p>
      <w:pPr>
        <w:ind w:left="1300" w:hanging="644"/>
        <w:spacing w:after="0" w:line="295" w:lineRule="auto"/>
        <w:tabs>
          <w:tab w:leader="none" w:pos="1288"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this Agreement or any license granted hereunder for any reason, any sublicenses shall be addressed in accordance with Section 10.7. Any sublicense which is not in accordance with the forgoing provisions shall be null and void.</w:t>
      </w:r>
    </w:p>
    <w:p>
      <w:pPr>
        <w:spacing w:after="0" w:line="1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Retained Rights</w:t>
      </w:r>
      <w:r>
        <w:rPr>
          <w:rFonts w:ascii="Times New Roman" w:cs="Times New Roman" w:eastAsia="Times New Roman" w:hAnsi="Times New Roman"/>
          <w:sz w:val="19"/>
          <w:szCs w:val="19"/>
          <w:color w:val="auto"/>
        </w:rPr>
        <w:t>: Requirements. Any and all licenses granted hereunder are subject to:</w:t>
      </w:r>
    </w:p>
    <w:p>
      <w:pPr>
        <w:spacing w:after="0" w:line="216" w:lineRule="exact"/>
        <w:rPr>
          <w:sz w:val="20"/>
          <w:szCs w:val="20"/>
          <w:color w:val="auto"/>
        </w:rPr>
      </w:pPr>
    </w:p>
    <w:p>
      <w:pPr>
        <w:ind w:left="1300" w:right="260" w:hanging="644"/>
        <w:spacing w:after="0" w:line="269" w:lineRule="auto"/>
        <w:tabs>
          <w:tab w:leader="none" w:pos="129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Hospital and Hospital’s Affiliates and academic, government and not-for-profit institutions to make and to use the subject matter described and/or claimed in the Patent Rights for research and educational purposes;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Patent Rights supported by federal funding, the rights, conditions and limitations imposed by U.S. law (see 35 U.S.C. §</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 et seg. and regulations pertaining thereto), including without limitation:</w:t>
      </w:r>
    </w:p>
    <w:p>
      <w:pPr>
        <w:spacing w:after="0" w:line="19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royalty-free non-exclusive license granted to the U.S. government; and</w:t>
      </w:r>
    </w:p>
    <w:p>
      <w:pPr>
        <w:spacing w:after="0" w:line="215" w:lineRule="exact"/>
        <w:rPr>
          <w:rFonts w:ascii="Times New Roman" w:cs="Times New Roman" w:eastAsia="Times New Roman" w:hAnsi="Times New Roman"/>
          <w:sz w:val="20"/>
          <w:szCs w:val="20"/>
          <w:color w:val="auto"/>
        </w:rPr>
      </w:pPr>
    </w:p>
    <w:p>
      <w:pPr>
        <w:ind w:left="1960" w:right="100" w:hanging="656"/>
        <w:spacing w:after="0" w:line="269" w:lineRule="auto"/>
        <w:tabs>
          <w:tab w:leader="none" w:pos="1959"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by applicable law, the requirement that any Products used or sold in the United States shall be manufactured substantially in the United States.</w:t>
      </w:r>
    </w:p>
    <w:p>
      <w:pPr>
        <w:spacing w:after="0" w:line="15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No Additional Rights</w:t>
      </w:r>
      <w:r>
        <w:rPr>
          <w:rFonts w:ascii="Times New Roman" w:cs="Times New Roman" w:eastAsia="Times New Roman" w:hAnsi="Times New Roman"/>
          <w:sz w:val="20"/>
          <w:szCs w:val="20"/>
          <w:color w:val="auto"/>
        </w:rPr>
        <w:t>. It is understood that nothing in this Agreement shall be construed to grant Company or any of its Affiliates a license, express or implied, under any patent owned solely or jointly by Hospital other than the Patent Rights expressly licensed hereunder. Hospital shall have the right to license any Patent Rights to any other party for any purpose outside of the License Fields or the License Territory.</w:t>
      </w:r>
    </w:p>
    <w:p>
      <w:pPr>
        <w:spacing w:after="0" w:line="176" w:lineRule="exact"/>
        <w:rPr>
          <w:sz w:val="20"/>
          <w:szCs w:val="20"/>
          <w:color w:val="auto"/>
        </w:rPr>
      </w:pPr>
    </w:p>
    <w:p>
      <w:pPr>
        <w:ind w:left="4420" w:hanging="641"/>
        <w:spacing w:after="0"/>
        <w:tabs>
          <w:tab w:leader="none" w:pos="442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DUE DILIGENCE OBLIGATIONS</w:t>
      </w: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Diligence Requirements</w:t>
      </w:r>
      <w:r>
        <w:rPr>
          <w:rFonts w:ascii="Times New Roman" w:cs="Times New Roman" w:eastAsia="Times New Roman" w:hAnsi="Times New Roman"/>
          <w:sz w:val="20"/>
          <w:szCs w:val="20"/>
          <w:color w:val="auto"/>
        </w:rPr>
        <w:t>. Company shall use, and shall cause its Affiliates and Sublicensees, as applicable, to use, commercially reasonable efforts to develop and make available to the public Products and Processes throughout the License Territory in the License Fields. Such efforts shall include achieving the following objectives within the time periods designated below following the Effective Date:</w:t>
      </w:r>
    </w:p>
    <w:p>
      <w:pPr>
        <w:spacing w:after="0" w:line="174" w:lineRule="exact"/>
        <w:rPr>
          <w:sz w:val="20"/>
          <w:szCs w:val="20"/>
          <w:color w:val="auto"/>
        </w:rPr>
      </w:pPr>
    </w:p>
    <w:p>
      <w:pPr>
        <w:ind w:left="1300" w:right="440" w:hanging="644"/>
        <w:spacing w:after="0" w:line="269" w:lineRule="auto"/>
        <w:tabs>
          <w:tab w:leader="none" w:pos="129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months after the Effective Date and annually thereafter, submission of a research and development plan to Hospital (the “Development Plan”):</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months after the Effective Date, Company will have raised cumulative funding of not less than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months after the Effective Date, Company will have raised cumulative funding of not less than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 Company will have raised cumulative funding of not less than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 Company will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 Company will [***];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 Company will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1440" w:right="379" w:bottom="1440" w:gutter="0" w:footer="0" w:header="0"/>
        </w:sectPr>
      </w:pPr>
    </w:p>
    <w:bookmarkStart w:id="256" w:name="page257"/>
    <w:bookmarkEnd w:id="256"/>
    <w:p>
      <w:pPr>
        <w:spacing w:after="0" w:line="189" w:lineRule="exact"/>
        <w:rPr>
          <w:sz w:val="20"/>
          <w:szCs w:val="20"/>
          <w:color w:val="auto"/>
        </w:rPr>
      </w:pPr>
    </w:p>
    <w:p>
      <w:pPr>
        <w:ind w:right="780" w:firstLine="648"/>
        <w:spacing w:after="0" w:line="269" w:lineRule="auto"/>
        <w:rPr>
          <w:sz w:val="20"/>
          <w:szCs w:val="20"/>
          <w:color w:val="auto"/>
        </w:rPr>
      </w:pPr>
      <w:r>
        <w:rPr>
          <w:rFonts w:ascii="Times New Roman" w:cs="Times New Roman" w:eastAsia="Times New Roman" w:hAnsi="Times New Roman"/>
          <w:sz w:val="20"/>
          <w:szCs w:val="20"/>
          <w:color w:val="auto"/>
        </w:rPr>
        <w:t>Achievement of the foregoing objectives, by Company, its Affiliates or Sublicensees, shall be deemed to satisfy Company’s obligations to use commercially reasonable efforts under this Section 3.1.</w:t>
      </w:r>
    </w:p>
    <w:p>
      <w:pPr>
        <w:spacing w:after="0" w:line="159"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Diligence Failures</w:t>
      </w:r>
      <w:r>
        <w:rPr>
          <w:rFonts w:ascii="Times New Roman" w:cs="Times New Roman" w:eastAsia="Times New Roman" w:hAnsi="Times New Roman"/>
          <w:sz w:val="19"/>
          <w:szCs w:val="19"/>
          <w:color w:val="auto"/>
        </w:rPr>
        <w:t>. If Hospital determines that Company has failed to fulfill any of its obligations under Section 3.1, then Hospital may treat such failure as a default and may terminate this Agreement and/or any license granted hereunder in accordance with Section 10.4.</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Diligence Reports</w:t>
      </w:r>
      <w:r>
        <w:rPr>
          <w:rFonts w:ascii="Times New Roman" w:cs="Times New Roman" w:eastAsia="Times New Roman" w:hAnsi="Times New Roman"/>
          <w:sz w:val="19"/>
          <w:szCs w:val="19"/>
          <w:color w:val="auto"/>
        </w:rPr>
        <w:t>. Company shall provide all reports with respect to its obligations under Section 3.1 as set forth in Section 5.</w:t>
      </w:r>
    </w:p>
    <w:p>
      <w:pPr>
        <w:spacing w:after="0" w:line="212" w:lineRule="exact"/>
        <w:rPr>
          <w:sz w:val="20"/>
          <w:szCs w:val="20"/>
          <w:color w:val="auto"/>
        </w:rPr>
      </w:pPr>
    </w:p>
    <w:p>
      <w:pPr>
        <w:ind w:left="4580" w:hanging="647"/>
        <w:spacing w:after="0"/>
        <w:tabs>
          <w:tab w:leader="none" w:pos="458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 AND ROYALTIES</w:t>
      </w:r>
    </w:p>
    <w:p>
      <w:pPr>
        <w:spacing w:after="0" w:line="220"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License Issue Fee</w:t>
      </w:r>
      <w:r>
        <w:rPr>
          <w:rFonts w:ascii="Times New Roman" w:cs="Times New Roman" w:eastAsia="Times New Roman" w:hAnsi="Times New Roman"/>
          <w:sz w:val="20"/>
          <w:szCs w:val="20"/>
          <w:color w:val="auto"/>
        </w:rPr>
        <w:t>. Company shall pay Hospital a non-refundable up-front fee of $[***] payable as follows: (i) $[***] on the Effective Date and (ii) $[***] on the first anniversary of the Effective Date.</w:t>
      </w:r>
    </w:p>
    <w:p>
      <w:pPr>
        <w:spacing w:after="0" w:line="15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Patent Cost Reimbursement</w:t>
      </w:r>
      <w:r>
        <w:rPr>
          <w:rFonts w:ascii="Times New Roman" w:cs="Times New Roman" w:eastAsia="Times New Roman" w:hAnsi="Times New Roman"/>
          <w:sz w:val="20"/>
          <w:szCs w:val="20"/>
          <w:color w:val="auto"/>
        </w:rPr>
        <w:t>. Company shall reimburse Hospital for all costs associated with the preparation, filing, prosecution and maintenance of all Patent Rights (“Patent Costs”‘) as follows:</w:t>
      </w:r>
    </w:p>
    <w:p>
      <w:pPr>
        <w:spacing w:after="0" w:line="159" w:lineRule="exact"/>
        <w:rPr>
          <w:sz w:val="20"/>
          <w:szCs w:val="20"/>
          <w:color w:val="auto"/>
        </w:rPr>
      </w:pPr>
    </w:p>
    <w:p>
      <w:pPr>
        <w:ind w:left="1300" w:right="600" w:hanging="644"/>
        <w:spacing w:after="0" w:line="295" w:lineRule="auto"/>
        <w:tabs>
          <w:tab w:leader="none" w:pos="129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Patent Family 1: Company shall reimburse Hospital for all costs incurred by Hospital (as incurred) for prosecution, maintenance or defense (including interference, oppositions, revocations etc.) of the Patent Rights in Patent Family 1;</w:t>
      </w:r>
    </w:p>
    <w:p>
      <w:pPr>
        <w:spacing w:after="0" w:line="137" w:lineRule="exact"/>
        <w:rPr>
          <w:rFonts w:ascii="Times New Roman" w:cs="Times New Roman" w:eastAsia="Times New Roman" w:hAnsi="Times New Roman"/>
          <w:sz w:val="19"/>
          <w:szCs w:val="19"/>
          <w:color w:val="auto"/>
        </w:rPr>
      </w:pPr>
    </w:p>
    <w:p>
      <w:pPr>
        <w:ind w:left="1300" w:hanging="644"/>
        <w:spacing w:after="0" w:line="249" w:lineRule="auto"/>
        <w:tabs>
          <w:tab w:leader="none" w:pos="128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Family 2: Company shall reimburse Hospital for [***]% of all costs (for so long as a Third Party Licensee has a license under Patent Family 2) incurred by Hospital (as incurred) including, without limitation, prosecution, maintenance and defense (including interference, oppositions, revocations etc.) of the Patent Rights in Patent Family 2, and reimbursement of costs incurred prior to the Effective Date.</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With respect to costs incurred by Hospital prior to the Effective Date (estimated currently at a total of $[***] for Patent Family 1 (Case [***] $[***], Case [***] $[***], and Case [***] $[***]), and at a total of $[***] for Patent Family 2 (Case [***]), Company shall pay [***]% of such costs on the Effective Date, another [***]% on the [***] anniversary of the Effective Date and the balance on the [***] anniversary of the Effective Date.</w:t>
      </w:r>
    </w:p>
    <w:p>
      <w:pPr>
        <w:spacing w:after="0" w:line="18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Company shall pay to Hospital, or at Hospital’s request directly to patent counsel, all other Patent Costs within [***] days of Company’s receipt of an invoice for such Patent Costs either from Hospital or Hospital’s patent counsel. Company agrees to indemnify, defend and hold Hospital harmless from and against any and all liabilities, damages, costs and expenses arising from the failure of Company to timely pay Patent Costs reflected in such invoices. Hospital shall instruct patent counsel to provide copies to Hospital for Hospital’s administrative files of all invoices detailing Patent Costs which are sent directly to Company. If Company pays any Patent Costs directly, Company shall advise patent counsel that Hospital is and shall remain patent counsel’s client.</w:t>
      </w:r>
    </w:p>
    <w:p>
      <w:pPr>
        <w:spacing w:after="0" w:line="18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Annual License Fee: Annual Minimum Royalty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hanging="644"/>
        <w:spacing w:after="0" w:line="295" w:lineRule="auto"/>
        <w:tabs>
          <w:tab w:leader="none" w:pos="129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First Commercial Sale. Prior to the First Commercial Sale, Company shall pay to Hospital the following non-refundable amounts as an annual license fee within [***] days after each of the following anniversaries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89" w:lineRule="exact"/>
        <w:rPr>
          <w:sz w:val="20"/>
          <w:szCs w:val="20"/>
          <w:color w:val="auto"/>
        </w:rPr>
      </w:pPr>
    </w:p>
    <w:p>
      <w:pPr>
        <w:ind w:left="1960" w:right="280" w:hanging="656"/>
        <w:spacing w:after="0" w:line="269" w:lineRule="auto"/>
        <w:tabs>
          <w:tab w:leader="none" w:pos="1958"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on the [***], [***] and [***] anniversaries of the Effective Date (note that a total of $[***] is due on the [***] anniversary because of the $[***] fee payable in accordance with Section 4.1);</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per year on the [***], [***] and [***] anniversaries of the Effective Date;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on each subsequent anniversary of the Effective Date;</w:t>
      </w:r>
    </w:p>
    <w:p>
      <w:pPr>
        <w:spacing w:after="0" w:line="215" w:lineRule="exact"/>
        <w:rPr>
          <w:rFonts w:ascii="Times New Roman" w:cs="Times New Roman" w:eastAsia="Times New Roman" w:hAnsi="Times New Roman"/>
          <w:sz w:val="20"/>
          <w:szCs w:val="20"/>
          <w:color w:val="auto"/>
        </w:rPr>
      </w:pPr>
    </w:p>
    <w:p>
      <w:pPr>
        <w:ind w:left="1300" w:right="80" w:hanging="644"/>
        <w:spacing w:after="0" w:line="254" w:lineRule="auto"/>
        <w:tabs>
          <w:tab w:leader="none" w:pos="128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First Commercial Sale. The Annual Minimum Payments shall be credited against royalties subsequently due on Net Sales made during such calendar year, if any, but shall not be credited against royalties due on Net Sales made in any other year.</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Milestone Payments</w:t>
      </w:r>
      <w:r>
        <w:rPr>
          <w:rFonts w:ascii="Times New Roman" w:cs="Times New Roman" w:eastAsia="Times New Roman" w:hAnsi="Times New Roman"/>
          <w:sz w:val="20"/>
          <w:szCs w:val="20"/>
          <w:color w:val="auto"/>
        </w:rPr>
        <w:t>. In addition to the payments set forth in Sections 4.1 through 4.3 above, Company shall pay Hospital milestone payments for the first Product or Process using Patent Rights of Patent Family 1, and for the first Product or Process using Patent Rights of Patent Family 2, as follows:</w:t>
      </w:r>
    </w:p>
    <w:p>
      <w:pPr>
        <w:spacing w:after="0" w:line="174" w:lineRule="exact"/>
        <w:rPr>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dollars ($[***]) within sixty (60) days after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dollars ($[***]) within sixty (60) days after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dollars ($[***]) within sixty (60) days after [***];</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dollars ($[***]) within sixty (60) days after [***]; and</w:t>
      </w:r>
    </w:p>
    <w:p>
      <w:pPr>
        <w:spacing w:after="0" w:line="215" w:lineRule="exact"/>
        <w:rPr>
          <w:rFonts w:ascii="Times New Roman" w:cs="Times New Roman" w:eastAsia="Times New Roman" w:hAnsi="Times New Roman"/>
          <w:sz w:val="20"/>
          <w:szCs w:val="20"/>
          <w:color w:val="auto"/>
        </w:rPr>
      </w:pPr>
    </w:p>
    <w:p>
      <w:pPr>
        <w:ind w:right="4440" w:firstLine="656"/>
        <w:spacing w:after="0" w:line="464" w:lineRule="auto"/>
        <w:tabs>
          <w:tab w:leader="none" w:pos="1286"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dollars ($[***]), less [***], within sixty (60) days after [***]. Notwithstanding the forgoing, if the [***].</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w:t>
      </w:r>
      <w:r>
        <w:rPr>
          <w:rFonts w:ascii="Times New Roman" w:cs="Times New Roman" w:eastAsia="Times New Roman" w:hAnsi="Times New Roman"/>
          <w:sz w:val="19"/>
          <w:szCs w:val="19"/>
          <w:u w:val="single" w:color="auto"/>
          <w:color w:val="auto"/>
        </w:rPr>
        <w:t>Royalties on Net Sales and Sublicense Income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right="60" w:hanging="644"/>
        <w:spacing w:after="0" w:line="269" w:lineRule="auto"/>
        <w:tabs>
          <w:tab w:leader="none" w:pos="129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the First Commercial Sale in any country in the License Territory, Company shall pay Hospital a royalty of [***]% on Net Sales (as defined in Section 1.14).</w:t>
      </w:r>
    </w:p>
    <w:p>
      <w:pPr>
        <w:spacing w:after="0" w:line="159" w:lineRule="exact"/>
        <w:rPr>
          <w:rFonts w:ascii="Times New Roman" w:cs="Times New Roman" w:eastAsia="Times New Roman" w:hAnsi="Times New Roman"/>
          <w:sz w:val="20"/>
          <w:szCs w:val="20"/>
          <w:color w:val="auto"/>
        </w:rPr>
      </w:pPr>
    </w:p>
    <w:p>
      <w:pPr>
        <w:ind w:left="1300" w:right="2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more than one product or service that could have been sold separately are combined for sale at a single offering price, the total gross amount invoiced for purposes of determining Net Sales shall be calculated by multiplying the revenue for said combined sale by the fraction A/(A+B), where A is the sum of the offering prices of each product and service that independently constitutes a Product or Process if sold separately, and B is the sum of the offering prices of each other product or service combined therewith at said single offering price, provided however, royalties on Net Sales shall not be lower than [***]%.</w:t>
      </w:r>
    </w:p>
    <w:p>
      <w:pPr>
        <w:spacing w:after="0" w:line="184" w:lineRule="exact"/>
        <w:rPr>
          <w:rFonts w:ascii="Times New Roman" w:cs="Times New Roman" w:eastAsia="Times New Roman" w:hAnsi="Times New Roman"/>
          <w:sz w:val="20"/>
          <w:szCs w:val="20"/>
          <w:color w:val="auto"/>
        </w:rPr>
      </w:pPr>
    </w:p>
    <w:p>
      <w:pPr>
        <w:ind w:left="1300" w:right="120" w:hanging="644"/>
        <w:spacing w:after="0" w:line="269" w:lineRule="auto"/>
        <w:tabs>
          <w:tab w:leader="none" w:pos="12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pay Hospital, at the time set forth in Section 4.5(c) below, the Applicable Percentage (as defined below) of any and all Sublicense Income to the extent attributable to a Product or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00"/>
          </w:cols>
          <w:pgMar w:left="320" w:top="1440" w:right="479" w:bottom="1440" w:gutter="0" w:footer="0" w:header="0"/>
        </w:sectPr>
      </w:pPr>
    </w:p>
    <w:bookmarkStart w:id="258" w:name="page259"/>
    <w:bookmarkEnd w:id="258"/>
    <w:p>
      <w:pPr>
        <w:spacing w:after="0" w:line="189"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19"/>
          <w:szCs w:val="19"/>
          <w:color w:val="auto"/>
        </w:rPr>
        <w:t>For purposes of this provision, the “Applicable Percentage” shall be: (i) [***]% during the period between the Effective Date and the [***] anniversary of the Effective Date; (ii) [***]% during the period between the [***] anniversary of the Effective Date and the date that Company has raised $[***] from all sources including sales of securities, grants and sublicense income (the “$[***] Funding Threshold”); provided, however, that if the $[***] Funding Threshold is achieved prior to the</w:t>
      </w:r>
    </w:p>
    <w:p>
      <w:pPr>
        <w:spacing w:after="0" w:line="1" w:lineRule="exact"/>
        <w:rPr>
          <w:sz w:val="20"/>
          <w:szCs w:val="20"/>
          <w:color w:val="auto"/>
        </w:rPr>
      </w:pPr>
    </w:p>
    <w:p>
      <w:pPr>
        <w:ind w:left="1300" w:right="80"/>
        <w:spacing w:after="0" w:line="252" w:lineRule="auto"/>
        <w:rPr>
          <w:sz w:val="20"/>
          <w:szCs w:val="20"/>
          <w:color w:val="auto"/>
        </w:rPr>
      </w:pPr>
      <w:r>
        <w:rPr>
          <w:rFonts w:ascii="Times New Roman" w:cs="Times New Roman" w:eastAsia="Times New Roman" w:hAnsi="Times New Roman"/>
          <w:sz w:val="19"/>
          <w:szCs w:val="19"/>
          <w:color w:val="auto"/>
        </w:rPr>
        <w:t>[***] anniversary of the Effective Date, then skip clauses (i) and (ii) and proceed to clause (iii)); (iii) [***]% during the period between (A) the earlier to occur of the [***] anniversary of the Effective Date and the $[***] Funding Threshold and</w:t>
      </w:r>
    </w:p>
    <w:p>
      <w:pPr>
        <w:ind w:left="1300" w:right="40"/>
        <w:spacing w:after="0" w:line="246" w:lineRule="auto"/>
        <w:rPr>
          <w:sz w:val="20"/>
          <w:szCs w:val="20"/>
          <w:color w:val="auto"/>
        </w:rPr>
      </w:pPr>
      <w:r>
        <w:rPr>
          <w:rFonts w:ascii="Times New Roman" w:cs="Times New Roman" w:eastAsia="Times New Roman" w:hAnsi="Times New Roman"/>
          <w:sz w:val="20"/>
          <w:szCs w:val="20"/>
          <w:color w:val="auto"/>
        </w:rPr>
        <w:t>(B) the date the Company has raised $[***]; (iv) [***]% during the period after the Company has raised $[***] and before it has raised $[***]; and (v) [***]% during the period after the Company has raised $[***].</w:t>
      </w:r>
    </w:p>
    <w:p>
      <w:pPr>
        <w:spacing w:after="0" w:line="181" w:lineRule="exact"/>
        <w:rPr>
          <w:sz w:val="20"/>
          <w:szCs w:val="20"/>
          <w:color w:val="auto"/>
        </w:rPr>
      </w:pPr>
    </w:p>
    <w:p>
      <w:pPr>
        <w:ind w:left="1300" w:right="80" w:hanging="644"/>
        <w:spacing w:after="0" w:line="269" w:lineRule="auto"/>
        <w:tabs>
          <w:tab w:leader="none" w:pos="129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due to Hospital under this Section 4.5 shall be due and payable by Company within [***] days after the end of each Reporting Period, and shall be accompanied by a report as set forth in Sections 5.3 and 5.4.</w:t>
      </w:r>
    </w:p>
    <w:p>
      <w:pPr>
        <w:spacing w:after="0" w:line="159"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Form of Payment</w:t>
      </w:r>
      <w:r>
        <w:rPr>
          <w:rFonts w:ascii="Times New Roman" w:cs="Times New Roman" w:eastAsia="Times New Roman" w:hAnsi="Times New Roman"/>
          <w:sz w:val="20"/>
          <w:szCs w:val="20"/>
          <w:color w:val="auto"/>
        </w:rPr>
        <w:t>. All payments due under this Agreement shall be drawn on a United States bank and shall be payable in United States dollars. Each payment shall reference this Agreement and its BWH Agreement Number and identify the obligation under this Agreement that the payment satisfies. Conversion of foreign currency to U.S. dollars shall be made at the conversion rate existing in the United States, as reported in The Wall Street Journal, on the last working day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Checks for all payments due to the Hospital under this Agreement shall be made payable to the Hospital and addressed as set forth below:</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Brigham and Women’s Hospital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BOA-Lockbox Services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PCSR Lockbox #[***]</w:t>
      </w:r>
    </w:p>
    <w:p>
      <w:pPr>
        <w:ind w:left="660"/>
        <w:spacing w:after="0"/>
        <w:rPr>
          <w:sz w:val="20"/>
          <w:szCs w:val="20"/>
          <w:color w:val="auto"/>
        </w:rPr>
      </w:pPr>
      <w:r>
        <w:rPr>
          <w:rFonts w:ascii="Times New Roman" w:cs="Times New Roman" w:eastAsia="Times New Roman" w:hAnsi="Times New Roman"/>
          <w:sz w:val="20"/>
          <w:szCs w:val="20"/>
          <w:color w:val="auto"/>
        </w:rPr>
        <w:t>[***]</w:t>
      </w:r>
    </w:p>
    <w:p>
      <w:pPr>
        <w:ind w:left="660"/>
        <w:spacing w:after="0"/>
        <w:rPr>
          <w:sz w:val="20"/>
          <w:szCs w:val="20"/>
          <w:color w:val="auto"/>
        </w:rPr>
      </w:pPr>
      <w:r>
        <w:rPr>
          <w:rFonts w:ascii="Times New Roman" w:cs="Times New Roman" w:eastAsia="Times New Roman" w:hAnsi="Times New Roman"/>
          <w:sz w:val="20"/>
          <w:szCs w:val="20"/>
          <w:color w:val="auto"/>
        </w:rPr>
        <w:t>2 Morrissey Blvd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Dorchester, MA 02125</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Reference Agreement #: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Payments via wire transfer should be made as follows: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ACH Credit: [***]</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Federal Reserve Wire: [***]</w:t>
      </w:r>
    </w:p>
    <w:p>
      <w:pPr>
        <w:ind w:left="660"/>
        <w:spacing w:after="0"/>
        <w:rPr>
          <w:sz w:val="20"/>
          <w:szCs w:val="20"/>
          <w:color w:val="auto"/>
        </w:rPr>
      </w:pPr>
      <w:r>
        <w:rPr>
          <w:rFonts w:ascii="Times New Roman" w:cs="Times New Roman" w:eastAsia="Times New Roman" w:hAnsi="Times New Roman"/>
          <w:sz w:val="20"/>
          <w:szCs w:val="20"/>
          <w:color w:val="auto"/>
        </w:rPr>
        <w:t>SWIFT Code: [***]</w:t>
      </w:r>
    </w:p>
    <w:p>
      <w:pPr>
        <w:ind w:left="660"/>
        <w:spacing w:after="0"/>
        <w:rPr>
          <w:sz w:val="20"/>
          <w:szCs w:val="20"/>
          <w:color w:val="auto"/>
        </w:rPr>
      </w:pPr>
      <w:r>
        <w:rPr>
          <w:rFonts w:ascii="Times New Roman" w:cs="Times New Roman" w:eastAsia="Times New Roman" w:hAnsi="Times New Roman"/>
          <w:sz w:val="20"/>
          <w:szCs w:val="20"/>
          <w:color w:val="auto"/>
        </w:rPr>
        <w:t>Account #[***]</w:t>
      </w:r>
    </w:p>
    <w:p>
      <w:pPr>
        <w:ind w:left="660"/>
        <w:spacing w:after="0"/>
        <w:rPr>
          <w:sz w:val="20"/>
          <w:szCs w:val="20"/>
          <w:color w:val="auto"/>
        </w:rPr>
      </w:pPr>
      <w:r>
        <w:rPr>
          <w:rFonts w:ascii="Times New Roman" w:cs="Times New Roman" w:eastAsia="Times New Roman" w:hAnsi="Times New Roman"/>
          <w:sz w:val="20"/>
          <w:szCs w:val="20"/>
          <w:b w:val="1"/>
          <w:bCs w:val="1"/>
          <w:color w:val="auto"/>
        </w:rPr>
        <w:t>Brigham and Women’s Hospital</w:t>
      </w:r>
    </w:p>
    <w:p>
      <w:pPr>
        <w:ind w:left="660"/>
        <w:spacing w:after="0"/>
        <w:rPr>
          <w:sz w:val="20"/>
          <w:szCs w:val="20"/>
          <w:color w:val="auto"/>
        </w:rPr>
      </w:pPr>
      <w:r>
        <w:rPr>
          <w:rFonts w:ascii="Times New Roman" w:cs="Times New Roman" w:eastAsia="Times New Roman" w:hAnsi="Times New Roman"/>
          <w:sz w:val="20"/>
          <w:szCs w:val="20"/>
          <w:color w:val="auto"/>
        </w:rPr>
        <w:t>Bank of America</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 Federal Street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Boston, MA 02110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440" w:right="359" w:bottom="1440" w:gutter="0" w:footer="0" w:header="0"/>
        </w:sectPr>
      </w:pPr>
    </w:p>
    <w:bookmarkStart w:id="259" w:name="page260"/>
    <w:bookmarkEnd w:id="259"/>
    <w:p>
      <w:pPr>
        <w:ind w:left="660"/>
        <w:spacing w:after="0"/>
        <w:rPr>
          <w:sz w:val="20"/>
          <w:szCs w:val="20"/>
          <w:color w:val="auto"/>
        </w:rPr>
      </w:pPr>
      <w:r>
        <w:rPr>
          <w:rFonts w:ascii="Times New Roman" w:cs="Times New Roman" w:eastAsia="Times New Roman" w:hAnsi="Times New Roman"/>
          <w:sz w:val="20"/>
          <w:szCs w:val="20"/>
          <w:color w:val="auto"/>
        </w:rPr>
        <w:t>Reference Agreement #: [***]</w:t>
      </w:r>
    </w:p>
    <w:p>
      <w:pPr>
        <w:spacing w:after="0" w:line="216"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Overdue Payments</w:t>
      </w:r>
      <w:r>
        <w:rPr>
          <w:rFonts w:ascii="Times New Roman" w:cs="Times New Roman" w:eastAsia="Times New Roman" w:hAnsi="Times New Roman"/>
          <w:sz w:val="20"/>
          <w:szCs w:val="20"/>
          <w:color w:val="auto"/>
        </w:rPr>
        <w:t>. The payments due under this Agreement shall, if overdue, bear interest beginning on the first day following the Reporting Period to which such payment was incurred and until payment thereof at a per annum rate equal to [***] above the prime rate in effect on the due date as reported by The Wall Street Journal, such interest rate being compounded on the last day of each Reporting Period, not to exceed the maximum permitted by law. Any such overdue payments when made shall be accompanied by all interest so accrued. Said interest and the payment and acceptance thereof shall not preclude Hospital from exercising any other rights it may have as a consequence of the lateness of any payment.</w:t>
      </w:r>
    </w:p>
    <w:p>
      <w:pPr>
        <w:spacing w:after="0" w:line="180" w:lineRule="exact"/>
        <w:rPr>
          <w:sz w:val="20"/>
          <w:szCs w:val="20"/>
          <w:color w:val="auto"/>
        </w:rPr>
      </w:pPr>
    </w:p>
    <w:p>
      <w:pPr>
        <w:ind w:left="4740" w:hanging="651"/>
        <w:spacing w:after="0"/>
        <w:tabs>
          <w:tab w:leader="none" w:pos="4740"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REPORTS AND RECORDS</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Diligence Reports</w:t>
      </w:r>
      <w:r>
        <w:rPr>
          <w:rFonts w:ascii="Times New Roman" w:cs="Times New Roman" w:eastAsia="Times New Roman" w:hAnsi="Times New Roman"/>
          <w:sz w:val="20"/>
          <w:szCs w:val="20"/>
          <w:color w:val="auto"/>
        </w:rPr>
        <w:t>. Within [***] days after the end of each calendar year, Company shall report in writing to Hospital on progress made toward the objectives set forth in Section 3.1 during such preceding 12-month period, including, without limitation, progress on research and development, status of applications for regulatory approvals, manufacturing, sublicensing and the number of sublicenses entered into and marketing.</w:t>
      </w:r>
    </w:p>
    <w:p>
      <w:pPr>
        <w:spacing w:after="0" w:line="18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Milestone Achievement Notification</w:t>
      </w:r>
      <w:r>
        <w:rPr>
          <w:rFonts w:ascii="Times New Roman" w:cs="Times New Roman" w:eastAsia="Times New Roman" w:hAnsi="Times New Roman"/>
          <w:sz w:val="20"/>
          <w:szCs w:val="20"/>
          <w:color w:val="auto"/>
        </w:rPr>
        <w:t>. Company shall report to Hospital the dates on which it achieves the milestones set forth in Section 4.4 within [***] days of each such occurrence.</w:t>
      </w:r>
    </w:p>
    <w:p>
      <w:pPr>
        <w:spacing w:after="0" w:line="15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Sales Reports</w:t>
      </w:r>
      <w:r>
        <w:rPr>
          <w:rFonts w:ascii="Times New Roman" w:cs="Times New Roman" w:eastAsia="Times New Roman" w:hAnsi="Times New Roman"/>
          <w:sz w:val="20"/>
          <w:szCs w:val="20"/>
          <w:color w:val="auto"/>
        </w:rPr>
        <w:t xml:space="preserve">. Company shall report to Hospital the date on which it achieves the First Commercial Sale in each country of the License Territory within [***] days after each such occurrence. Following the First Commercial Sale, Company shall deliver reports to Hospital within [***] days after the end of each Reporting Period. Each report under this Section 5.3 shall have substantially the format outlined in </w:t>
      </w:r>
      <w:r>
        <w:rPr>
          <w:rFonts w:ascii="Times New Roman" w:cs="Times New Roman" w:eastAsia="Times New Roman" w:hAnsi="Times New Roman"/>
          <w:sz w:val="20"/>
          <w:szCs w:val="20"/>
          <w:b w:val="1"/>
          <w:bCs w:val="1"/>
          <w:color w:val="auto"/>
        </w:rPr>
        <w:t>Appendix B</w:t>
      </w:r>
      <w:r>
        <w:rPr>
          <w:rFonts w:ascii="Times New Roman" w:cs="Times New Roman" w:eastAsia="Times New Roman" w:hAnsi="Times New Roman"/>
          <w:sz w:val="20"/>
          <w:szCs w:val="20"/>
          <w:color w:val="auto"/>
        </w:rPr>
        <w:t>, shall be certified as correct by an officer of Company and shall contain at least the following information as may be pertinent to a royalty accounting hereunder for the immediately preceding Reporting Period:</w:t>
      </w:r>
    </w:p>
    <w:p>
      <w:pPr>
        <w:spacing w:after="0" w:line="185" w:lineRule="exact"/>
        <w:rPr>
          <w:sz w:val="20"/>
          <w:szCs w:val="20"/>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Products and Processes Sold by Company, its Affiliates and Sublicensees in each country;</w:t>
      </w:r>
    </w:p>
    <w:p>
      <w:pPr>
        <w:spacing w:after="0" w:line="215" w:lineRule="exact"/>
        <w:rPr>
          <w:rFonts w:ascii="Times New Roman" w:cs="Times New Roman" w:eastAsia="Times New Roman" w:hAnsi="Times New Roman"/>
          <w:sz w:val="20"/>
          <w:szCs w:val="20"/>
          <w:color w:val="auto"/>
        </w:rPr>
      </w:pPr>
    </w:p>
    <w:p>
      <w:pPr>
        <w:ind w:left="1300" w:right="80" w:hanging="644"/>
        <w:spacing w:after="0" w:line="269" w:lineRule="auto"/>
        <w:tabs>
          <w:tab w:leader="none" w:pos="1288"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billed, invoiced and received by Company, its Affiliates and Sublicensees for each Product and Process, in each country, and total billings or payments due or made for all Products and Processes;</w:t>
      </w:r>
    </w:p>
    <w:p>
      <w:pPr>
        <w:spacing w:after="0" w:line="159" w:lineRule="exact"/>
        <w:rPr>
          <w:rFonts w:ascii="Times New Roman" w:cs="Times New Roman" w:eastAsia="Times New Roman" w:hAnsi="Times New Roman"/>
          <w:sz w:val="20"/>
          <w:szCs w:val="20"/>
          <w:color w:val="auto"/>
        </w:rPr>
      </w:pPr>
    </w:p>
    <w:p>
      <w:pPr>
        <w:ind w:left="1300" w:right="140" w:hanging="644"/>
        <w:spacing w:after="0" w:line="269" w:lineRule="auto"/>
        <w:tabs>
          <w:tab w:leader="none" w:pos="129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calculation of Net Sales for the applicable Reporting Period in each country, including, to the extent reasonably possible, an itemized listing of permitted offsets and deductions;</w:t>
      </w:r>
    </w:p>
    <w:p>
      <w:pPr>
        <w:spacing w:after="0" w:line="159" w:lineRule="exact"/>
        <w:rPr>
          <w:rFonts w:ascii="Times New Roman" w:cs="Times New Roman" w:eastAsia="Times New Roman" w:hAnsi="Times New Roman"/>
          <w:sz w:val="20"/>
          <w:szCs w:val="20"/>
          <w:color w:val="auto"/>
        </w:rPr>
      </w:pPr>
    </w:p>
    <w:p>
      <w:pPr>
        <w:ind w:left="1300" w:right="1280" w:hanging="644"/>
        <w:spacing w:after="0" w:line="464" w:lineRule="auto"/>
        <w:tabs>
          <w:tab w:leader="none" w:pos="1288"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royalties payable on Net Sales in U.S. dollars, together with the exchange rates used for conversion; and any other payments due to Hospital under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no amounts are due to Hospital for any Reporting Period, the report shall so state.</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Sublicense Income Reports</w:t>
      </w:r>
      <w:r>
        <w:rPr>
          <w:rFonts w:ascii="Times New Roman" w:cs="Times New Roman" w:eastAsia="Times New Roman" w:hAnsi="Times New Roman"/>
          <w:sz w:val="20"/>
          <w:szCs w:val="20"/>
          <w:color w:val="auto"/>
        </w:rPr>
        <w:t>. Company shall, along with delivering payment as set forth in Section 4.6, report to Hospital within [***] days after the end of each Reporting Period the amount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13" w:right="359" w:bottom="1440" w:gutter="0" w:footer="0" w:header="0"/>
        </w:sectPr>
      </w:pPr>
    </w:p>
    <w:bookmarkStart w:id="260" w:name="page261"/>
    <w:bookmarkEnd w:id="260"/>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 xml:space="preserve">Sublicense Income received by Company during such Reporting Period, and Company’s calculation of the amount due and paid to Hospital from such income, including an itemized listing of the source of income comprising such consideration, and the name and address of each entity making such payments in substantially the format outlined in </w:t>
      </w:r>
      <w:r>
        <w:rPr>
          <w:rFonts w:ascii="Times New Roman" w:cs="Times New Roman" w:eastAsia="Times New Roman" w:hAnsi="Times New Roman"/>
          <w:sz w:val="20"/>
          <w:szCs w:val="20"/>
          <w:b w:val="1"/>
          <w:bCs w:val="1"/>
          <w:color w:val="auto"/>
        </w:rPr>
        <w:t>Appendix 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Audit Rights</w:t>
      </w:r>
      <w:r>
        <w:rPr>
          <w:rFonts w:ascii="Times New Roman" w:cs="Times New Roman" w:eastAsia="Times New Roman" w:hAnsi="Times New Roman"/>
          <w:sz w:val="20"/>
          <w:szCs w:val="20"/>
          <w:color w:val="auto"/>
        </w:rPr>
        <w:t>. Company shall maintain, and shall cause each of its Affiliates and Sublicensees to maintain, complete and accurate records relating to the rights and obligations under this Agreement and any amounts payable to Hospital in relation to this Agreement, which records shall contain sufficient information to permit Hospital and its representatives to confirm the accuracy of any payments and reports delivered to Hospital and compliance in all other respects with this Agreement. Company shall retain and make available, and shall cause each of its Affiliates and Sublicensees to retain and make available, such records for at least [***] years following the end of the calendar year to which they pertain, to Hospital and/or its independent certified public accountant (“Auditor”‘), no more than once in a calendar year and upon at least fifteen (15) days’ advance written notice, for inspection during normal business hours, to verify any reports and payments made and/or compliance in other respects under this Agreement. If any examination conducted by Hospital or its Auditor pursuant to the provisions of this Section show an underreporting or underpayment of [***] or more in any payment due to Hospital hereunder, Company shall reimburse Hospital the full cost associated with engaging such Auditor and shall remit any amounts due to Hospital (including interest due in accordance with Section 4.7) within [***] days of receiving notice thereof from Hospital.</w:t>
      </w:r>
    </w:p>
    <w:p>
      <w:pPr>
        <w:spacing w:after="0" w:line="190"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Confidentiality of Reports</w:t>
      </w:r>
      <w:r>
        <w:rPr>
          <w:rFonts w:ascii="Times New Roman" w:cs="Times New Roman" w:eastAsia="Times New Roman" w:hAnsi="Times New Roman"/>
          <w:sz w:val="20"/>
          <w:szCs w:val="20"/>
          <w:color w:val="auto"/>
        </w:rPr>
        <w:t xml:space="preserve">. Hospital agrees to treat all reports prepared or delivered under this Section 5, and all information contained therein, as Confidential Information in accordance with the provisions of </w:t>
      </w:r>
      <w:r>
        <w:rPr>
          <w:rFonts w:ascii="Times New Roman" w:cs="Times New Roman" w:eastAsia="Times New Roman" w:hAnsi="Times New Roman"/>
          <w:sz w:val="20"/>
          <w:szCs w:val="20"/>
          <w:b w:val="1"/>
          <w:bCs w:val="1"/>
          <w:color w:val="auto"/>
        </w:rPr>
        <w:t>Appendix D</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3780" w:hanging="639"/>
        <w:spacing w:after="0"/>
        <w:tabs>
          <w:tab w:leader="none" w:pos="3780"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PATENT PROSECUTION AND MAINTENANCE</w:t>
      </w:r>
    </w:p>
    <w:p>
      <w:pPr>
        <w:spacing w:after="0" w:line="220" w:lineRule="exact"/>
        <w:rPr>
          <w:sz w:val="20"/>
          <w:szCs w:val="20"/>
          <w:color w:val="auto"/>
        </w:rPr>
      </w:pPr>
    </w:p>
    <w:p>
      <w:pPr>
        <w:jc w:val="both"/>
        <w:ind w:right="380"/>
        <w:spacing w:after="0" w:line="254"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Prosecution</w:t>
      </w:r>
      <w:r>
        <w:rPr>
          <w:rFonts w:ascii="Times New Roman" w:cs="Times New Roman" w:eastAsia="Times New Roman" w:hAnsi="Times New Roman"/>
          <w:sz w:val="20"/>
          <w:szCs w:val="20"/>
          <w:color w:val="auto"/>
        </w:rPr>
        <w:t>. Hospital shall be responsible for the preparation, filing, prosecution and maintenance of all patent applications and patents included in Patent Rights. Company shall reimburse Hospital for Patent Costs incurred by Hospital relating thereto in accordance with Section 4.2.</w:t>
      </w:r>
    </w:p>
    <w:p>
      <w:pPr>
        <w:spacing w:after="0" w:line="17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Copies of Documents</w:t>
      </w:r>
      <w:r>
        <w:rPr>
          <w:rFonts w:ascii="Times New Roman" w:cs="Times New Roman" w:eastAsia="Times New Roman" w:hAnsi="Times New Roman"/>
          <w:sz w:val="20"/>
          <w:szCs w:val="20"/>
          <w:color w:val="auto"/>
        </w:rPr>
        <w:t>. Company shall have the right to review and provide input on all prosecution and maintenance activities related to the Patent Rights. With respect to any Patent Right licensed hereunder, Hospital shall instruct the patent counsel prosecuting such Patent Right to (i) promptly copy Company on patent prosecution documents that are received from or filed with the United States Patent and Trademark Office and foreign equivalent, as applicable; (ii) provide Company with copies of draft submissions to the USPTO sufficiently prior to filing to permit reasonable review and commentary; and (iii) give due consideration to the comments and requests of Company and its patent counsel. Notwithstanding the foregoing, for so long as a Third-Party Licensee has a license under Patent Family 2, Company shall have no right to provide input to Hospital on the prosecution of Patent Family 2.</w:t>
      </w:r>
    </w:p>
    <w:p>
      <w:pPr>
        <w:spacing w:after="0" w:line="1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Company’s Election Not to Proceed</w:t>
      </w:r>
      <w:r>
        <w:rPr>
          <w:rFonts w:ascii="Times New Roman" w:cs="Times New Roman" w:eastAsia="Times New Roman" w:hAnsi="Times New Roman"/>
          <w:sz w:val="20"/>
          <w:szCs w:val="20"/>
          <w:color w:val="auto"/>
        </w:rPr>
        <w:t>. Company may elect to surrender any patent or patent application in Patent Rights in any country upon sixty (60) days advance written notice to Hospital. Such notice shall relieve Company from the obligation to pay for future Patent Costs associated with such surrendered Patent Right(s) but shall not relieve Company from responsibility to pay Patent Costs incurred prior to the expiration of the sixty (60) day notice period. Such U.S. or foreign patent application or patent shall thereupon cease to be a Patent Right hereunder. Company shall have no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18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rights therein and Hospital shall be free to license its rights to that particular U.S. or foreign patent application or patent to any other party on any terms.</w:t>
      </w:r>
    </w:p>
    <w:p>
      <w:pPr>
        <w:spacing w:after="0" w:line="159"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Confidentiality of Prosecution and Maintenance Information</w:t>
      </w:r>
      <w:r>
        <w:rPr>
          <w:rFonts w:ascii="Times New Roman" w:cs="Times New Roman" w:eastAsia="Times New Roman" w:hAnsi="Times New Roman"/>
          <w:sz w:val="20"/>
          <w:szCs w:val="20"/>
          <w:color w:val="auto"/>
        </w:rPr>
        <w:t xml:space="preserve">. Company agrees to treat all information related to prosecution and maintenance of Patent Rights as Confidential Information in accordance with the provisions of </w:t>
      </w:r>
      <w:r>
        <w:rPr>
          <w:rFonts w:ascii="Times New Roman" w:cs="Times New Roman" w:eastAsia="Times New Roman" w:hAnsi="Times New Roman"/>
          <w:sz w:val="20"/>
          <w:szCs w:val="20"/>
          <w:b w:val="1"/>
          <w:bCs w:val="1"/>
          <w:color w:val="auto"/>
        </w:rPr>
        <w:t>Appendix 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Improvements</w:t>
      </w:r>
      <w:r>
        <w:rPr>
          <w:rFonts w:ascii="Times New Roman" w:cs="Times New Roman" w:eastAsia="Times New Roman" w:hAnsi="Times New Roman"/>
          <w:sz w:val="20"/>
          <w:szCs w:val="20"/>
          <w:color w:val="auto"/>
        </w:rPr>
        <w:t>. For any Invention disclosed to Hospital’s Office of Innovation (or any successor office) within 24 months after the Effective Date, Hospital shall use reasonable efforts to notify Company of such any Invention within 30 days after such disclosure.</w:t>
      </w:r>
    </w:p>
    <w:p>
      <w:pPr>
        <w:spacing w:after="0" w:line="155" w:lineRule="exact"/>
        <w:rPr>
          <w:sz w:val="20"/>
          <w:szCs w:val="20"/>
          <w:color w:val="auto"/>
        </w:rPr>
      </w:pPr>
    </w:p>
    <w:p>
      <w:pPr>
        <w:ind w:left="3360" w:hanging="641"/>
        <w:spacing w:after="0"/>
        <w:tabs>
          <w:tab w:leader="none" w:pos="336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INFRINGEMENT AND LEGAL ACTIONS</w:t>
      </w:r>
    </w:p>
    <w:p>
      <w:pPr>
        <w:spacing w:after="0" w:line="22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Hospital Right to Prosecute</w:t>
      </w:r>
      <w:r>
        <w:rPr>
          <w:rFonts w:ascii="Times New Roman" w:cs="Times New Roman" w:eastAsia="Times New Roman" w:hAnsi="Times New Roman"/>
          <w:sz w:val="20"/>
          <w:szCs w:val="20"/>
          <w:color w:val="auto"/>
        </w:rPr>
        <w:t>. Hospital shall have the first right, at its sole discretion, to prosecute infringers of the Patent Rights in either License Field in the License Territory, with reasonable notice to and consideration of input from Company; Company has the second right. Hospital will protect its Patent Rights from infringement and prosecute infringers when, in its sole judgment, such action may be reasonably necessary, proper and justified. If Company shall have supplied Hospital with written evidence demonstrating to Hospital’s reasonable satisfaction prima facie infringement of a claim of a Patent Right in either License Field in the License Territory by a third party which poses a material threat to Company’s rights under this Agreement, Company may by notice request Hospital to take steps to protect such Patent Right. Hospital shall notify Company within [***] months of the receipt of such notice whether Hospital intends to prosecute the alleged infringement. If Hospital notifies Company that it intends to so prosecute, Hospital shall, within [***] months of its notice to Company either (i) cause such infringement to terminate, or (ii) initiate legal proceedings against the infringer.</w:t>
      </w:r>
    </w:p>
    <w:p>
      <w:pPr>
        <w:spacing w:after="0" w:line="18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Company Right to Prosecute</w:t>
      </w:r>
      <w:r>
        <w:rPr>
          <w:rFonts w:ascii="Times New Roman" w:cs="Times New Roman" w:eastAsia="Times New Roman" w:hAnsi="Times New Roman"/>
          <w:sz w:val="20"/>
          <w:szCs w:val="20"/>
          <w:color w:val="auto"/>
        </w:rPr>
        <w:t>. In the event Hospital notifies Company that Hospital does not intend to prosecute infringement identified under Section 7.1, Company may, upon notice to Hospital, initiate legal proceedings against the infringer at Company’s expense with respect to a claim of a Patent Right in the applicable License Field in the License Territory. Before commencing such action, Company and, as applicable, any Affiliate, shall consult with Hospital, concerning, among other things, Company’s standing to bring suit, the advisability of bringing suit, the selection of counsel and the jurisdiction for such action (provided Company must have Hospital’s prior written consent with respect to selection of jurisdiction for any action in which Hospital may be joined as a party-plaintiff) and shall use reasonable efforts to accommodate the views of Hospital regarding the proposed action, including without limitation with respect to potential effects on the public interest. Company shall be responsible for all costs, expenses and liabilities in connection with any such action and shall indemnify and hold Hospital harmless therefrom, regardless of whether Hospital is a party-plaintiff, except for the expense of any independent counsel retained by Hospital in accordance with Section 7.5 below.</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Hospital Joined as Party-Plaintiff</w:t>
      </w:r>
      <w:r>
        <w:rPr>
          <w:rFonts w:ascii="Times New Roman" w:cs="Times New Roman" w:eastAsia="Times New Roman" w:hAnsi="Times New Roman"/>
          <w:sz w:val="20"/>
          <w:szCs w:val="20"/>
          <w:color w:val="auto"/>
        </w:rPr>
        <w:t>. If Company elects to commence an action as described in Section 7.2 above, Hospital shall have, in its sole discretion, the option to join such action as a party-plaintiff. If Hospital is required by law to join such action as a party-plaintiff (i.e. Company could not proceed without such joinder), then Hospital may either, in its sole discretion, permit itself to be joined as a party-plaintiff at the sole expense of Company, or assign to Company all of Hospital’s right, title and interest in and to the Patent Right which is the subject of such action (subject to all of Hospital’s obligations to the government under law and any other rights that others may have in such Patent Right). If Hospital makes such an assignment, such action by Company shall thereafter be brought or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without Hospital as a party; provided, however, that Hospital shall continue to have all rights of prosecution and maintenance with respect to Patent Rights and Company shall continue to meet all of its obligations under this Agreement as if the assigned Patent Right were still licensed to Company hereunder.</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Notice of Actions; Settlement</w:t>
      </w:r>
      <w:r>
        <w:rPr>
          <w:rFonts w:ascii="Times New Roman" w:cs="Times New Roman" w:eastAsia="Times New Roman" w:hAnsi="Times New Roman"/>
          <w:sz w:val="20"/>
          <w:szCs w:val="20"/>
          <w:color w:val="auto"/>
        </w:rPr>
        <w:t>. Each Party shall promptly inform the other Party of any action or suit relating to Patent Rights and shall not enter into any settlement, consent judgment or other voluntary final disposition of any action relating to Patent Rights, including but not limited to appeals, without the prior written consent of said other Party.</w:t>
      </w:r>
    </w:p>
    <w:p>
      <w:pPr>
        <w:spacing w:after="0" w:line="17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Each Party agrees to cooperate reasonably in any action under Section 7 which is controlled by the other Party, provided that the controlling party reimburses the cooperating party for any costs and expenses incurred by the cooperating party in connection with providing such assistance, except for the expense of any independent counsel retained by the cooperating party in accordance with this Section 7.5. Such controlling party shall keep the cooperating party informed of the progress of such proceedings and shall make its counsel available to the cooperating party. The cooperating party shall also be entitled to independent counsel in such proceedings but at its own expense, said expense to be offset against any damages received by the Party bringing suit in accordance with Section 7.6.</w:t>
      </w:r>
    </w:p>
    <w:p>
      <w:pPr>
        <w:spacing w:after="0" w:line="18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Recovery</w:t>
      </w:r>
      <w:r>
        <w:rPr>
          <w:rFonts w:ascii="Times New Roman" w:cs="Times New Roman" w:eastAsia="Times New Roman" w:hAnsi="Times New Roman"/>
          <w:sz w:val="20"/>
          <w:szCs w:val="20"/>
          <w:color w:val="auto"/>
        </w:rPr>
        <w:t>. All settlements require written prior approval of Hospital. All damages or settlement awards paid by an infringer will be allocated between Company and Hospital as follows:</w:t>
      </w:r>
    </w:p>
    <w:p>
      <w:pPr>
        <w:spacing w:after="0" w:line="159" w:lineRule="exact"/>
        <w:rPr>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4160" w:hanging="650"/>
        <w:spacing w:after="0"/>
        <w:tabs>
          <w:tab w:leader="none" w:pos="416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AND INSURANCE</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right="200" w:hanging="644"/>
        <w:spacing w:after="0" w:line="244" w:lineRule="auto"/>
        <w:tabs>
          <w:tab w:leader="none" w:pos="129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indemnify, defend and hold harmless Hospital and its Affiliates and their respective trustees, directors, officers, medical and professional staff, employees, and agents and their respective successors, heirs and assigns (the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against any liability, damage, loss or expense (including reasonable attorney’s fees and expenses of litigation) incurred by or imposed upon the Indemnitees or any one of them in connection with any claims, suits, actions, demands or judgments (“Action”) arising out of any theory of product liability (including, but not limited to, actions in the form of contract, tort, warranty, or strict liability) concerning any product, process or service made, used, or sold or performed pursuant to any right or license granted under this Agreement.</w:t>
      </w:r>
    </w:p>
    <w:p>
      <w:pPr>
        <w:spacing w:after="0" w:line="185" w:lineRule="exact"/>
        <w:rPr>
          <w:rFonts w:ascii="Times New Roman" w:cs="Times New Roman" w:eastAsia="Times New Roman" w:hAnsi="Times New Roman"/>
          <w:sz w:val="20"/>
          <w:szCs w:val="20"/>
          <w:color w:val="auto"/>
        </w:rPr>
      </w:pPr>
    </w:p>
    <w:p>
      <w:pPr>
        <w:ind w:left="1300" w:right="240" w:hanging="644"/>
        <w:spacing w:after="0" w:line="249" w:lineRule="auto"/>
        <w:tabs>
          <w:tab w:leader="none" w:pos="128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indemnify, defend and hold harmless Indemnitees against any liability, damage, loss or expense (including reasonable attorney’s fees and expenses of litigation) incurred by or imposed upon the Indemnitees or any one of them in connection with any Action arising out of any dispute between Company and a Third-Party Licensee relating to their respective rights under Patent Family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00"/>
          </w:cols>
          <w:pgMar w:left="320" w:top="1440" w:right="379" w:bottom="1440" w:gutter="0" w:footer="0" w:header="0"/>
        </w:sectPr>
      </w:pPr>
    </w:p>
    <w:bookmarkStart w:id="263" w:name="page264"/>
    <w:bookmarkEnd w:id="263"/>
    <w:p>
      <w:pPr>
        <w:spacing w:after="0" w:line="189" w:lineRule="exact"/>
        <w:rPr>
          <w:sz w:val="20"/>
          <w:szCs w:val="20"/>
          <w:color w:val="auto"/>
        </w:rPr>
      </w:pPr>
    </w:p>
    <w:p>
      <w:pPr>
        <w:ind w:left="644" w:right="40" w:hanging="644"/>
        <w:spacing w:after="0" w:line="244" w:lineRule="auto"/>
        <w:tabs>
          <w:tab w:leader="none" w:pos="63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agrees, at its own expense, to provide attorneys reasonably acceptable to the Hospital to defend against any actions brought or filed against any party indemnified hereunder with respect to the subject of indemnity contained herein, whether or not such actions are rightfully brought; provided, however, that any Indemnitee shall have the right to retain its own counsel, at the expense of Company, if representation of such Indemnitee by counsel retained by Company would be inappropriate because of conflict of interests of such Indemnitee and any other party represented by such counsel. Company agrees to keep Hospital informed of the progress in the defense and disposition of such Action and to consult with Hospital prior to any proposed settlement.</w:t>
      </w:r>
    </w:p>
    <w:p>
      <w:pPr>
        <w:spacing w:after="0" w:line="18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8.1 shall survive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4" w:hanging="644"/>
        <w:spacing w:after="0" w:line="242" w:lineRule="auto"/>
        <w:tabs>
          <w:tab w:leader="none" w:pos="63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at such time as any such product, process, or service is being commercially distributed, sold, leased or otherwise transferred, or performed or used (other than for the purpose of obtaining regulatory approvals), by Company, an Affiliate or Sublicensee, Company shall, at its sole cost and expense, procure and maintain commercial general liability insurance in amounts not less than $[***] per incident and $[***] annual aggregate and naming the Indemnitees as additional insureds. Such commercial general liability insurance shall provide (i) product liability coverage and (ii) broad form contractual liability coverage for Company’s indemnification under Section 8.1 of this Agreement. If Company elects to self-insure all or part of the limits described above (including deductibles or retentions which are in excess of $[***] annual aggregate) such self-insurance program must be acceptable to the Hospital and the Risk Management Foundation. The minimum amounts of insurance coverage required under this Section 8.2 shall not be construed to create a limit of Company’s liability with respect to its indemnification under Section 8.1 of this Agreement.</w:t>
      </w:r>
    </w:p>
    <w:p>
      <w:pPr>
        <w:spacing w:after="0" w:line="192" w:lineRule="exact"/>
        <w:rPr>
          <w:rFonts w:ascii="Times New Roman" w:cs="Times New Roman" w:eastAsia="Times New Roman" w:hAnsi="Times New Roman"/>
          <w:sz w:val="20"/>
          <w:szCs w:val="20"/>
          <w:color w:val="auto"/>
        </w:rPr>
      </w:pPr>
    </w:p>
    <w:p>
      <w:pPr>
        <w:ind w:left="644" w:right="40" w:hanging="644"/>
        <w:spacing w:after="0" w:line="246" w:lineRule="auto"/>
        <w:tabs>
          <w:tab w:leader="none" w:pos="632"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provide Hospital with written evidence of such insurance upon request of Hospital. Company shall provide Hospital with written notice at least [***] days prior to the cancellation, non-renewal or material change in such insurance; if Company does not obtain replacement insurance providing comparable coverage prior to the expiration of such [***] day period, Hospital shall have the right to terminate this Agreement effective at the end of such [***] day period without notice or any additional waiting periods.</w:t>
      </w:r>
    </w:p>
    <w:p>
      <w:pPr>
        <w:spacing w:after="0" w:line="184" w:lineRule="exact"/>
        <w:rPr>
          <w:rFonts w:ascii="Times New Roman" w:cs="Times New Roman" w:eastAsia="Times New Roman" w:hAnsi="Times New Roman"/>
          <w:sz w:val="20"/>
          <w:szCs w:val="20"/>
          <w:color w:val="auto"/>
        </w:rPr>
      </w:pPr>
    </w:p>
    <w:p>
      <w:pPr>
        <w:ind w:left="644" w:right="80" w:hanging="644"/>
        <w:spacing w:after="0" w:line="246" w:lineRule="auto"/>
        <w:tabs>
          <w:tab w:leader="none" w:pos="63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maintain such commercial general liability insurance beyond the expiration or termination of this Agreement during (i) the period that any such product, process, or service is being commercially distributed, sold, leased or otherwise transferred, or performed or used (other than for the purpose of obtaining regulatory approvals), by Company or by a licensee, affiliate or agent of Company and (ii) a reasonable period after the period referred to in (c) (i) above which in no event shall be less than [***] years.</w:t>
      </w:r>
    </w:p>
    <w:p>
      <w:pPr>
        <w:spacing w:after="0" w:line="18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8.2 shall survive expiration or termination of this Agreement.</w:t>
      </w:r>
    </w:p>
    <w:p>
      <w:pPr>
        <w:spacing w:after="0" w:line="211" w:lineRule="exact"/>
        <w:rPr>
          <w:rFonts w:ascii="Times New Roman" w:cs="Times New Roman" w:eastAsia="Times New Roman" w:hAnsi="Times New Roman"/>
          <w:sz w:val="20"/>
          <w:szCs w:val="20"/>
          <w:color w:val="auto"/>
        </w:rPr>
      </w:pPr>
    </w:p>
    <w:p>
      <w:pPr>
        <w:ind w:left="2404" w:hanging="639"/>
        <w:spacing w:after="0"/>
        <w:tabs>
          <w:tab w:leader="none" w:pos="2404" w:val="left"/>
        </w:tabs>
        <w:numPr>
          <w:ilvl w:val="1"/>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DISCLAIMER OF WARRANTIES; LIMITATION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584"/>
          </w:cols>
          <w:pgMar w:left="976" w:top="1440" w:right="339" w:bottom="1440" w:gutter="0" w:footer="0" w:header="0"/>
        </w:sectPr>
      </w:pPr>
    </w:p>
    <w:bookmarkStart w:id="264" w:name="page265"/>
    <w:bookmarkEnd w:id="264"/>
    <w:p>
      <w:pPr>
        <w:spacing w:after="0" w:line="18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Title to Patent Rights</w:t>
      </w:r>
      <w:r>
        <w:rPr>
          <w:rFonts w:ascii="Times New Roman" w:cs="Times New Roman" w:eastAsia="Times New Roman" w:hAnsi="Times New Roman"/>
          <w:sz w:val="20"/>
          <w:szCs w:val="20"/>
          <w:color w:val="auto"/>
        </w:rPr>
        <w:t>. To the best knowledge of Hospital’s Innovation office, Hospital represents that it is the owner by assignment from [***] of the Patent Rights and has the authority to enter into this Agreement and license the Patent Rights to Company hereunder.</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Limited Warranties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hanging="644"/>
        <w:spacing w:after="0" w:line="241" w:lineRule="auto"/>
        <w:tabs>
          <w:tab w:leader="none" w:pos="129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HOSPITAL SHALL REPRESENT THAT, TO THE BEST OF ITS KNOWLEDGE, AS OF THE EFFECTIVE DATE OF THE LICENSE, IT OWNS THE PATENT RIGHTS AND HAS NOT GRANTED ANY LICENSES THAT CONFLICT WITH THE LICENES GRANTED HEREUNDER. HOSPITAL SHALL OTHERWISE MAKE NO WARRANTIES REGARDING THE PATENT RIGHTS AND RIGHTS GRANTED UNDER THE LICENSE, INCLUDING WARRANTIES OF MERCHANTABILITY, FITNESS FOR A PARTICULAR PURPOSE, NONJNFRINGEMENT OR VALIDITY OF PATENT RIGHTS. HOSPITAL MAKES NO ADDITIONAL REPRESENTATIONS OR WARRANTIES OF ANY KIND, EXPRESS OR IMPLIED, CONCERNING THE PATENT RIGHTS AND THE RIGHTS GRANTED HEREUNDER, INCLUDING, WITHOUT LIMITATION, WARRANTIES OF MERCHANTABILITY, FITNESS FOR A PARTICULAR PURPOSE, NONINFRINGEMENT, VALIDITY OF PATENT RIGHTS CLAIMS, WHETHER ISSUED OR PENDING, AND THE ABSENCE OF LATENT OR OTHER DEFECTS, WHETHER OR NOT DISCOVERABLE, AND HEREBY DISCLAIMS THE SAME. SPECIFICALLY, AND NOT TO LIMIT THE FOREGOING, HOSPITAL MAKES NO WARRANTY OR REPRESENTATION (i) REGARDING THE VALIDITY OR SCOPE OF ANY OF THE CLAIM(S), WHETHER ISSUED OR PENDING, OF ANY OF THE PATENT RIGFITS, AND (ii) THAT THE EXPLOITATION OF THE PATENT RIGHTS OR ANY PRODUCT WILL NOT INFRINGE ANY PATENTS OR OTHER INTELLECTUAL PROPERTY RIGHTS OF HOSPITAL OR OF ANY THIRD PARTY.</w:t>
      </w:r>
    </w:p>
    <w:p>
      <w:pPr>
        <w:spacing w:after="0" w:line="194" w:lineRule="exact"/>
        <w:rPr>
          <w:rFonts w:ascii="Times New Roman" w:cs="Times New Roman" w:eastAsia="Times New Roman" w:hAnsi="Times New Roman"/>
          <w:sz w:val="20"/>
          <w:szCs w:val="20"/>
          <w:color w:val="auto"/>
        </w:rPr>
      </w:pPr>
    </w:p>
    <w:p>
      <w:pPr>
        <w:ind w:left="1300" w:right="940" w:hanging="644"/>
        <w:spacing w:after="0" w:line="269" w:lineRule="auto"/>
        <w:tabs>
          <w:tab w:leader="none" w:pos="128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REPRESENTS AND WARRANTS THAT PATENT FAMILY 2 LICENSE FIELD SPECIFICALLY EXCLUDES THE EXCLUDED PATENT LICENSE FIELD 2.</w:t>
      </w:r>
    </w:p>
    <w:p>
      <w:pPr>
        <w:spacing w:after="0" w:line="15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IN NO EVENT SHALL EITHER PARTY OR ANY OF ITS AFFILIATES OR ANY OF THEIR RESPECTIVE TRUSTEES, DIRECTORS, OFFICERS, MEDICAL OR PROFESSIONAL STAFF, EMPLOYEES AND AGENTS BE LIABLE TO THE OTHER PARTY OR ANY OF ITS AFFILIATES, LICENSEES, SUBLICENSEES OR DISTRIBUTORS FOR INDIRECT, SPECIAL, INCIDENTAL OR CONSEQUENTIAL DAMAGES OF ANY KIND ARISING IN ANY WAY OUT OF THIS AGREEMENT OR THE LICENSE OR RIGHTS GRANTED HEREUNDER, HOWEVER CAUSED AND ON ANY THEORY OF LIABILITY, INCLUDING WITHOUT LIMITATION ECONOMIC DAMAGES OR INJURY TO PROPERTY OR LOST PROFITS, REGARDLESS OF WHETHER SUCH PARTY SHALL BE ADVISED, SHALL HAVE OTHER REASON TO KNOW, OR IN FACT SHALL KNOW OF THE POSSIBILITY OF THE FOREGOING. PROVIDED, HOWEVER, NOTHING IN THIS SECTION 9.3 SHALL BE CONSTRUED TO LIMIT COMPANY’S OBLIGATION TO INDEMNIFY HOSPITAL UNDER SECTION 8 OF THIS AGREEMENT. This Section 9.3 shall not restrict Hospital’s liability to the extent any damages are directly attributable to such party’s gross negligence or willful misconduct.</w:t>
      </w:r>
    </w:p>
    <w:p>
      <w:pPr>
        <w:spacing w:after="0" w:line="186" w:lineRule="exact"/>
        <w:rPr>
          <w:sz w:val="20"/>
          <w:szCs w:val="20"/>
          <w:color w:val="auto"/>
        </w:rPr>
      </w:pPr>
    </w:p>
    <w:p>
      <w:pPr>
        <w:ind w:left="4660" w:hanging="640"/>
        <w:spacing w:after="0"/>
        <w:tabs>
          <w:tab w:leader="none" w:pos="466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70" w:lineRule="exact"/>
        <w:rPr>
          <w:rFonts w:ascii="Times New Roman" w:cs="Times New Roman" w:eastAsia="Times New Roman" w:hAnsi="Times New Roman"/>
          <w:sz w:val="20"/>
          <w:szCs w:val="20"/>
          <w:b w:val="1"/>
          <w:bCs w:val="1"/>
          <w:color w:val="auto"/>
        </w:rPr>
      </w:pPr>
    </w:p>
    <w:p>
      <w:pPr>
        <w:ind w:left="55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this Agreement shall commence on the Effective Date and shall remain in effect until the date on which all Claims within the Patent Rights have expired or been abandoned unless this Agreement is terminated earlier in accordance with any of the other provisions of Section 10.</w:t>
      </w:r>
    </w:p>
    <w:p>
      <w:pPr>
        <w:spacing w:after="0" w:line="1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Termination for Failure to Pay</w:t>
      </w:r>
      <w:r>
        <w:rPr>
          <w:rFonts w:ascii="Times New Roman" w:cs="Times New Roman" w:eastAsia="Times New Roman" w:hAnsi="Times New Roman"/>
          <w:sz w:val="20"/>
          <w:szCs w:val="20"/>
          <w:color w:val="auto"/>
        </w:rPr>
        <w:t>. If Company fails to make any payment due hereunder. Hospital shall have the right to terminate this Agreement upon [***] business days written notice, unless Company makes such payments plus any interest due, as set forth in Section 4.7, within said [***] day notice period. If payments are not made, Hospital may immediately terminate this Agreement at the end of said [***] day period. Company shall be entitled to only one such cure period in a calendar year; for a second failure to make payment on time. Hospital shall have the right to terminate this Agreement immediately upon written notice.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Termination for Insurance and Insolvency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right="280" w:hanging="644"/>
        <w:spacing w:after="0" w:line="269" w:lineRule="auto"/>
        <w:tabs>
          <w:tab w:leader="none" w:pos="129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Hospital shall have the right to terminate this Agreement in accordance with Section 8.2(b) if Company fails to maintain the insurance required by Section 8.2.</w:t>
      </w:r>
    </w:p>
    <w:p>
      <w:pPr>
        <w:spacing w:after="0" w:line="159" w:lineRule="exact"/>
        <w:rPr>
          <w:rFonts w:ascii="Times New Roman" w:cs="Times New Roman" w:eastAsia="Times New Roman" w:hAnsi="Times New Roman"/>
          <w:sz w:val="20"/>
          <w:szCs w:val="20"/>
          <w:color w:val="auto"/>
        </w:rPr>
      </w:pPr>
    </w:p>
    <w:p>
      <w:pPr>
        <w:ind w:left="1300" w:right="280" w:hanging="644"/>
        <w:spacing w:after="0" w:line="246" w:lineRule="auto"/>
        <w:tabs>
          <w:tab w:leader="none" w:pos="128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Insolvency and other Bankruptcy Related Events. Hospital shall have the right to terminate this Agreement immediately upon written notice to Company with no further notice obligation or opportunity to cure if Company: (i) shall make an assignment for the benefit of creditors; or (ii) or shall have a petition in bankruptcy filed for or against it (provided that, in the case of a petition in bankruptcy filed against it. Hospital shall not have the right to terminate this Agreement if such petition is stayed or dismissed within [***] days following the filing of such petition).</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Termination for Non-Financial Default</w:t>
      </w:r>
      <w:r>
        <w:rPr>
          <w:rFonts w:ascii="Times New Roman" w:cs="Times New Roman" w:eastAsia="Times New Roman" w:hAnsi="Times New Roman"/>
          <w:sz w:val="20"/>
          <w:szCs w:val="20"/>
          <w:color w:val="auto"/>
        </w:rPr>
        <w:t>. Hospital has the right to terminate the License for Company’s breach, including failure to pay and failure to satisfy diligence requirements, upon failure to cure within [***] days of receipt of written notice specifying the breach. Company has the right to terminate the License upon [***] days’ advance written notice. If Company, any of its Affiliates or any Sublicensee shall default in the performance of any of its other obligations under this Agreement not otherwise covered by the provisions of Section 10.2 and 10.3, and if such default has not been cured within [***] days after notice by Hospital in writing of such default, Hospital may immediately terminate this Agreement, and/or any license granted hereunder with respect to the country or countries in which such default has occurred, at the end of said [***] day cure period. Hospital shall also have the right to terminate this Agreement and/or any such license immediately, upon written notice, in the event of repeated defaults even if cured within such [***] day periods.</w:t>
      </w:r>
    </w:p>
    <w:p>
      <w:pPr>
        <w:spacing w:after="0" w:line="18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Challenging Validity</w:t>
      </w:r>
      <w:r>
        <w:rPr>
          <w:rFonts w:ascii="Times New Roman" w:cs="Times New Roman" w:eastAsia="Times New Roman" w:hAnsi="Times New Roman"/>
          <w:sz w:val="20"/>
          <w:szCs w:val="20"/>
          <w:color w:val="auto"/>
        </w:rPr>
        <w:t>. During the term of this Agreement, Company shall not challenge, and shall restrict Company’s Affiliates and Sublicensees from challenging, the validity of the Patent Rights and in the event of any breach of this provision Hospital shall have the right to terminate this Agreement and any license granted hereunder immediately. In addition, if the Patent Rights are upheld Company shall reimburse Hospital for its reasonable legal costs and expenses incurred in defending any such challenge.</w:t>
      </w:r>
    </w:p>
    <w:p>
      <w:pPr>
        <w:spacing w:after="0" w:line="18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Termination by Company</w:t>
      </w:r>
      <w:r>
        <w:rPr>
          <w:rFonts w:ascii="Times New Roman" w:cs="Times New Roman" w:eastAsia="Times New Roman" w:hAnsi="Times New Roman"/>
          <w:sz w:val="20"/>
          <w:szCs w:val="20"/>
          <w:color w:val="auto"/>
        </w:rPr>
        <w:t>. Company shall have the right to terminate this Agreement by giving [***] days advance written notice to Hospital and upon such termination shall immediately cease all use and Sales of Products and Processes, subject to Section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8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Effect of Termination on Sublicenses</w:t>
      </w:r>
      <w:r>
        <w:rPr>
          <w:rFonts w:ascii="Times New Roman" w:cs="Times New Roman" w:eastAsia="Times New Roman" w:hAnsi="Times New Roman"/>
          <w:sz w:val="20"/>
          <w:szCs w:val="20"/>
          <w:color w:val="auto"/>
        </w:rPr>
        <w:t>. If (i) this Agreement is terminated, (ii) the Company entered into a sublicense agreement prior to termination, (iii) the Sublicensee is in compliance with its obligations under such sublicense agreement at the time of termination of this Agreement, and (iv) Company or the Sublicensee provides Hospital with an unredacted copy of such agreement within [***] days after termination of Agreement, then such sublicense granted by Company under this Agreement will provide for assignment to Hospital of Company’s interest therein, effective as of the time of such termination, provided however that such assignment shall only be in respect to rights to Patent Rights granted under this Agreement. Under such assignment, both Sublicensee and Hospital shall maintain and/or assume all terms, conditions, and obligations related to Patent Rights in such sublicense agreement.</w:t>
      </w:r>
    </w:p>
    <w:p>
      <w:pPr>
        <w:spacing w:after="0" w:line="18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Effects of Termination of Agreement</w:t>
      </w:r>
      <w:r>
        <w:rPr>
          <w:rFonts w:ascii="Times New Roman" w:cs="Times New Roman" w:eastAsia="Times New Roman" w:hAnsi="Times New Roman"/>
          <w:sz w:val="20"/>
          <w:szCs w:val="20"/>
          <w:color w:val="auto"/>
        </w:rPr>
        <w:t>. Upon termination of this Agreement or any of the licenses hereunder for any reason, final reports in accordance with Section 5 shall be submitted to Hospital and all royalties and other payments, including without limitation any unreimbursed Patent Costs, accrued or due to Hospital as of the termination date shall become immediately payable. Following termination (but not expiration) of this Agreement, Company shall cease, and shall cause its Affiliates and Sublicensees to cease under any sublicense granted by Company, all Sales and uses of Products and Processes upon such termination, subject to Section 10.9. The termination or expiration of this Agreement or any license granted hereunder shall not relieve Company, its Affiliates or Sublicensees of obligations arising before such termination or expiration.</w:t>
      </w:r>
    </w:p>
    <w:p>
      <w:pPr>
        <w:spacing w:after="0" w:line="18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Upon early termination of this Agreement other than for Company default, Company, Company Affiliates and Sublicensees may complete and sell any work-in-progress and inventory of Products and Processes that exist as of the effective date of termination provided that (i) Company pays Hospital the applicable running royalty or other amounts due on such Net Sales in accordance with the terms and conditions of this Agreement, and (ii) Company, Company Affiliates and Sublicensees shall complete and sell all work-in-progress and inventory of Products and Processes within [***] months after the effective date of termination. Upon expiration of this Agreement, Company shall pay to Hospital the royalties set forth in Section 4.5(a) for Sales of any Product that was in inventory or was a work-in-progress on the date of expiration of the Agreement.</w:t>
      </w:r>
    </w:p>
    <w:p>
      <w:pPr>
        <w:spacing w:after="0" w:line="186"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Notwithstanding the foregoing, the Company’s obligation to pay the milestone payment, as described in Section 4.4(e), will survive termination of the License.</w:t>
      </w:r>
    </w:p>
    <w:p>
      <w:pPr>
        <w:spacing w:after="0" w:line="155" w:lineRule="exact"/>
        <w:rPr>
          <w:sz w:val="20"/>
          <w:szCs w:val="20"/>
          <w:color w:val="auto"/>
        </w:rPr>
      </w:pPr>
    </w:p>
    <w:p>
      <w:pPr>
        <w:ind w:left="4700" w:hanging="632"/>
        <w:spacing w:after="0"/>
        <w:tabs>
          <w:tab w:leader="none" w:pos="470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LAW</w:t>
      </w:r>
    </w:p>
    <w:p>
      <w:pPr>
        <w:spacing w:after="0" w:line="220"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Company shall have the sole obligation for Company’s compliance with, and shall ensure that any Affiliates and Sublicensees comply with, all government statutes and regulations that relate to Products and Processes, including, but not limited to, those of the Food and Drug Administration and the Export Administration, as amended, and any applicable laws and regulations of any other country in the License Territory. As between the Parties, Company agrees that it shall be solely responsible for obtaining any necessary licenses to export, re-export, or import Products or Processes covered by Patent Rights and/or Confidential Information. Company shall indemnify and hold harmless Hospital for any breach of Company’s obligations under this Section 11.1.</w:t>
      </w:r>
    </w:p>
    <w:p>
      <w:pPr>
        <w:spacing w:after="0" w:line="18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Patent Numbers</w:t>
      </w:r>
      <w:r>
        <w:rPr>
          <w:rFonts w:ascii="Times New Roman" w:cs="Times New Roman" w:eastAsia="Times New Roman" w:hAnsi="Times New Roman"/>
          <w:sz w:val="20"/>
          <w:szCs w:val="20"/>
          <w:color w:val="auto"/>
        </w:rPr>
        <w:t>. Company shall cause all Products sold in the United States to be marked with all applicable U.S. Patent Numbers, to the full extent required by United States law.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89"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similarly cause all Products shipped to or sold in any other country to be marked in such a manner as to conform with the patent laws and practices of such country.</w:t>
      </w:r>
    </w:p>
    <w:p>
      <w:pPr>
        <w:spacing w:after="0" w:line="155" w:lineRule="exact"/>
        <w:rPr>
          <w:sz w:val="20"/>
          <w:szCs w:val="20"/>
          <w:color w:val="auto"/>
        </w:rPr>
      </w:pPr>
    </w:p>
    <w:p>
      <w:pPr>
        <w:ind w:left="5080" w:hanging="644"/>
        <w:spacing w:after="0"/>
        <w:tabs>
          <w:tab w:leader="none" w:pos="508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(including the appendices) constitutes the entire understanding between the Parties with respect to the subject matter hereof and supersedes the Term Sheet between the Parties dated [***].</w:t>
      </w:r>
    </w:p>
    <w:p>
      <w:pPr>
        <w:spacing w:after="0" w:line="15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reports, waivers, correspondences or other communications required under or pertaining to this Agreement shall be in writing and shall be delivered by hand, or sent by a reputable overnight mail service (e.g., Federal Express), or by first class mail (certified or registered), or by facsimile confirmed by one of the foregoing methods, to the other party. Notices will be deemed effective (a) three (3) working days after deposit, postage prepaid, if mailed, (b) the next day if sent by overnight mail, or (c) the same day if sent by facsimile and confirmed as set forth above or delivered by hand. Unless changed in writing in accordance with this Section, the notice addresses shall be: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Hospital:</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Chief Innovation Officer, Innovation</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Brigham and Women’s Hospital</w:t>
      </w:r>
    </w:p>
    <w:p>
      <w:pPr>
        <w:ind w:left="1300"/>
        <w:spacing w:after="0"/>
        <w:rPr>
          <w:sz w:val="20"/>
          <w:szCs w:val="20"/>
          <w:color w:val="auto"/>
        </w:rPr>
      </w:pPr>
      <w:r>
        <w:rPr>
          <w:rFonts w:ascii="Times New Roman" w:cs="Times New Roman" w:eastAsia="Times New Roman" w:hAnsi="Times New Roman"/>
          <w:sz w:val="20"/>
          <w:szCs w:val="20"/>
          <w:color w:val="auto"/>
        </w:rPr>
        <w:t>215 First Street, Suite 500</w:t>
      </w:r>
    </w:p>
    <w:p>
      <w:pPr>
        <w:ind w:left="1300"/>
        <w:spacing w:after="0"/>
        <w:rPr>
          <w:sz w:val="20"/>
          <w:szCs w:val="20"/>
          <w:color w:val="auto"/>
        </w:rPr>
      </w:pPr>
      <w:r>
        <w:rPr>
          <w:rFonts w:ascii="Times New Roman" w:cs="Times New Roman" w:eastAsia="Times New Roman" w:hAnsi="Times New Roman"/>
          <w:sz w:val="20"/>
          <w:szCs w:val="20"/>
          <w:color w:val="auto"/>
        </w:rPr>
        <w:t>Cambridge, MA 02142</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Company: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Seer Biosciences,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Attn: [***]</w:t>
      </w:r>
    </w:p>
    <w:p>
      <w:pPr>
        <w:ind w:left="1300"/>
        <w:spacing w:after="0"/>
        <w:rPr>
          <w:sz w:val="20"/>
          <w:szCs w:val="20"/>
          <w:color w:val="auto"/>
        </w:rPr>
      </w:pPr>
      <w:r>
        <w:rPr>
          <w:rFonts w:ascii="Times New Roman" w:cs="Times New Roman" w:eastAsia="Times New Roman" w:hAnsi="Times New Roman"/>
          <w:sz w:val="20"/>
          <w:szCs w:val="20"/>
          <w:color w:val="auto"/>
        </w:rPr>
        <w:t>Fax No. [***]</w:t>
      </w:r>
    </w:p>
    <w:p>
      <w:pPr>
        <w:spacing w:after="0" w:line="194"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This Agreement may be amended and any of its terms or conditions may be waived only by a written instrument executed by an authorized signatory of the Parties or, in the case of a waiver, by the Party waiving compliance. The failure of either Party at any time or times to require performance of any provision hereof shall in no manner affect its rights at a later time to enforce the same. No waiver by either Party of any condition or term shall be deemed as a further or continuing waiver of such condition or term or of any other condition or term.</w:t>
      </w:r>
    </w:p>
    <w:p>
      <w:pPr>
        <w:spacing w:after="0" w:line="18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and be enforceable by the Parties hereto and their respective permitted successors and assigns.</w:t>
      </w:r>
    </w:p>
    <w:p>
      <w:pPr>
        <w:spacing w:after="0" w:line="1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 xml:space="preserve">12.5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Company shall not assign this Agreement or any of its rights or obligations under this Agreement without the prior written consent of Hospital; provided, however, that if Company has fulfilled its diligence obligations as set forth in Section 3, no such consent will be required to assign this Agreement to a successor of the Company’s business to which this Agreement pertains or to a purchaser of substantially all of the Company’s assets related to this Agreement, so long as such successor or purchaser shall agree in writing to be bound by all of the terms and conditions hereof prior to such assignment. Company shall notify Hospital in writing of any such assignment and provide a copy of all assignment documents and related agreements to Hospital within [***] days of such assignment.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8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of an assignee to agree to be bound by the terms hereof or failure of Company to notify hospital and provide copies of assignment documentation shall be grounds for termination of this Agreement for default in accordance with Section 10.4 of this Agreement. Further, neither any rights granted under this Agreement nor any sublicense may be assigned by any Sublicensee without the prior written consent of Hospital.</w:t>
      </w:r>
    </w:p>
    <w:p>
      <w:pPr>
        <w:spacing w:after="0" w:line="180"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Neither Party shall be responsible for delays resulting from causes beyond the reasonable control of such Party, including without limitation fire, explosion, flood, war, sabotage,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Use of Name</w:t>
      </w:r>
      <w:r>
        <w:rPr>
          <w:rFonts w:ascii="Times New Roman" w:cs="Times New Roman" w:eastAsia="Times New Roman" w:hAnsi="Times New Roman"/>
          <w:sz w:val="20"/>
          <w:szCs w:val="20"/>
          <w:color w:val="auto"/>
        </w:rPr>
        <w:t>. Neither Party shall use the name, trademark, service mark, logo or other identifying characteristic (“Name”) of the other Party or of any trustee, director, officer, staff member, employee, student or agent of the other Party or any adaptation thereof in any advertising, promotional or sales literature, publicity or in any document employed to obtain funds or financing without the prior written approval of the Party or individual whose Name is to be used. For Hospital, such approval shall be given solely by its Public Affairs Department. Notwithstanding the foregoing, Company may make factual statements publicly (a) concerning the Company’s license of the Patent Rights from Hospital and (b) that one of its founders. Dr. Omid Farokhzad, is a professional staff member of the Hospital, provided that in each case, such usage (i) is limited to reporting factual events or occurrences only, (ii) is not promotional in nature, and (iii) is made in a manner that could not reasonably constitute an endorsement by Hospital, Hospital’s affiliates, or any of their respective directors, trustees, officers, appointees, employees, staff, representatives or agents of Company or of any Company program, product or service. The foregoing restriction shall not apply to any information required by law to be disclosed to any governmental entity.</w:t>
      </w:r>
    </w:p>
    <w:p>
      <w:pPr>
        <w:spacing w:after="0" w:line="19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 xml:space="preserve">12.8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and construed and interpreted in accordance with the laws of the Commonwealth of Massachusetts, excluding with respect to conflict of laws, except that questions affecting the construction and effect of any patent shall be determined by the law of the country in which the patent shall have been granted. Each Party agrees to submit to the exclusive jurisdiction of the Superior Court for Suffolk County, Massachusetts, and the United States District Court for the District of Massachusetts with respect to any claim, suit or action in law or equity arising in any way out of this Agreement or the subject matter hereof.</w:t>
      </w:r>
    </w:p>
    <w:p>
      <w:pPr>
        <w:spacing w:after="0" w:line="16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u w:val="single" w:color="auto"/>
          <w:color w:val="auto"/>
        </w:rPr>
        <w:t>Hospital Policies</w:t>
      </w:r>
      <w:r>
        <w:rPr>
          <w:rFonts w:ascii="Times New Roman" w:cs="Times New Roman" w:eastAsia="Times New Roman" w:hAnsi="Times New Roman"/>
          <w:sz w:val="20"/>
          <w:szCs w:val="20"/>
          <w:color w:val="auto"/>
        </w:rPr>
        <w:t>. Company acknowledges that Hospital’s employees and medical and professional staff members and the employees and staff members of Hospital’s Affiliates are subject to the applicable policies of Hospital and such Affiliates, including, without limitation, policies regarding conflicts of interest, intellectual property and other matters. Company shall provide Hospital with any agreement it proposes to enter into with any employee or staff member of Hospital or any of Hospital’s Affiliates for Hospital’s prior review and shall not enter into any oral or written agreement with such employee or staff member which conflicts with any such policy. Hospital shall provide Company, at Company’s request, with copies of any such policies applicable to any such employee or staff member.</w:t>
      </w:r>
    </w:p>
    <w:p>
      <w:pPr>
        <w:spacing w:after="0" w:line="18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 xml:space="preserve">12.10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provision(s) of this Agreement are or become invalid, are ruled illegal by any court of competent jurisdiction or are deemed unenforceable under then current applicable law from time to time in effect during the term hereof, it is the intention of the parties that the remainder of this Agreement shall not be effected thereby. It is further the intention of the parties that in lieu of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00"/>
          </w:cols>
          <w:pgMar w:left="320" w:top="1440" w:right="379" w:bottom="1440" w:gutter="0" w:footer="0" w:header="0"/>
        </w:sectPr>
      </w:pPr>
    </w:p>
    <w:bookmarkStart w:id="269" w:name="page270"/>
    <w:bookmarkEnd w:id="269"/>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provision which is invalid, illegal or unenforceable, there be substituted or added as part of this Agreement a provision which shall be as similar as possible in economic and business objectives as intended by the parties to such invalid, illegal or enforceable provision, but shall be valid, legal and enforceable.</w:t>
      </w:r>
    </w:p>
    <w:p>
      <w:pPr>
        <w:spacing w:after="0" w:line="1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12.11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In addition to any specific survival references in this Agreement, Sections 1, 2.4, 4.2 (with respect to costs incurred before termination or expiration), 4.4(e), 4.6, 4.7, 5.2 (with respect to 4.2(e)), 5.3 and 5.4 (with respect to Sales or Sublicense Income recognized within 12 months after termination or expiration), 5.5, 6.4, 8.1, 8.2, 9.2, 9.3, 10.7, 10.8, 10.9 12.1, 12.2, 12.3, 12.4, 12.7, 12.8, 12.9, 12.10, 12.11, 12.12 and 12.13 shall survive termination or expiration of this Agreement. Any other rights, responsibilities, obligations, covenants and warranties which by their nature should survive this Agreement shall similarly survive and remain in effect.</w:t>
      </w:r>
    </w:p>
    <w:p>
      <w:pPr>
        <w:spacing w:after="0" w:line="18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parties hereto are sophisticated, have had the opportunity to consult legal counsel with respect to this transaction and hereby waive any presumptions of any statutory or common law rule relating to the interpretation of contracts against the drafter.</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headings are for convenience only and shall not affect the meaning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00"/>
          </w:cols>
          <w:pgMar w:left="320" w:top="1440" w:right="479" w:bottom="1440" w:gutter="0" w:footer="0" w:header="0"/>
        </w:sectPr>
      </w:pPr>
    </w:p>
    <w:bookmarkStart w:id="270" w:name="page271"/>
    <w:bookmarkEnd w:id="270"/>
    <w:p>
      <w:pPr>
        <w:spacing w:after="0" w:line="189"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Exclusive Patent License Agreement to be executed by their duly authorized representatives as of the Effective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SEER BIOSCIENCES, INC.</w:t>
            </w:r>
          </w:p>
        </w:tc>
        <w:tc>
          <w:tcPr>
            <w:tcW w:w="658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rPr>
              <w:t>THE BRIGHAM AND WOMEN’S HOSPITAL, INC.</w:t>
            </w:r>
          </w:p>
        </w:tc>
      </w:tr>
      <w:tr>
        <w:trPr>
          <w:trHeight w:val="823"/>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Nelson K. Stacks</w:t>
            </w:r>
          </w:p>
        </w:tc>
        <w:tc>
          <w:tcPr>
            <w:tcW w:w="658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By:</w:t>
            </w:r>
          </w:p>
        </w:tc>
      </w:tr>
      <w:tr>
        <w:trPr>
          <w:trHeight w:val="21"/>
        </w:trPr>
        <w:tc>
          <w:tcPr>
            <w:tcW w:w="500" w:type="dxa"/>
            <w:vAlign w:val="bottom"/>
          </w:tcPr>
          <w:p>
            <w:pPr>
              <w:spacing w:after="0" w:line="20" w:lineRule="exact"/>
              <w:rPr>
                <w:sz w:val="1"/>
                <w:szCs w:val="1"/>
                <w:color w:val="auto"/>
              </w:rPr>
            </w:pPr>
          </w:p>
        </w:tc>
        <w:tc>
          <w:tcPr>
            <w:tcW w:w="4140" w:type="dxa"/>
            <w:vAlign w:val="bottom"/>
            <w:tcBorders>
              <w:bottom w:val="single" w:sz="8" w:color="auto"/>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Borders>
              <w:bottom w:val="single" w:sz="8" w:color="auto"/>
            </w:tcBorders>
            <w:gridSpan w:val="2"/>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Name: Nelson K. Stacks</w:t>
            </w:r>
          </w:p>
        </w:tc>
        <w:tc>
          <w:tcPr>
            <w:tcW w:w="880" w:type="dxa"/>
            <w:vAlign w:val="bottom"/>
          </w:tcPr>
          <w:p>
            <w:pPr>
              <w:spacing w:after="0"/>
              <w:rPr>
                <w:sz w:val="22"/>
                <w:szCs w:val="22"/>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Name:</w:t>
            </w:r>
          </w:p>
        </w:tc>
      </w:tr>
      <w:tr>
        <w:trPr>
          <w:trHeight w:val="540"/>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w:t>
            </w:r>
          </w:p>
        </w:tc>
        <w:tc>
          <w:tcPr>
            <w:tcW w:w="658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TITLE:</w:t>
            </w: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499"/>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12/18/17</w:t>
            </w:r>
          </w:p>
        </w:tc>
        <w:tc>
          <w:tcPr>
            <w:tcW w:w="658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DATE:</w:t>
            </w: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89"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Exclusive Patent License Agreement to be executed by their duly authorized representatives as of the Effective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SEER BIOSCIENCES, INC.</w:t>
            </w:r>
          </w:p>
        </w:tc>
        <w:tc>
          <w:tcPr>
            <w:tcW w:w="6580" w:type="dxa"/>
            <w:vAlign w:val="bottom"/>
            <w:gridSpan w:val="3"/>
          </w:tcPr>
          <w:p>
            <w:pPr>
              <w:ind w:left="380"/>
              <w:spacing w:after="0"/>
              <w:rPr>
                <w:sz w:val="20"/>
                <w:szCs w:val="20"/>
                <w:color w:val="auto"/>
              </w:rPr>
            </w:pPr>
            <w:r>
              <w:rPr>
                <w:rFonts w:ascii="Times New Roman" w:cs="Times New Roman" w:eastAsia="Times New Roman" w:hAnsi="Times New Roman"/>
                <w:sz w:val="20"/>
                <w:szCs w:val="20"/>
                <w:b w:val="1"/>
                <w:bCs w:val="1"/>
                <w:color w:val="auto"/>
              </w:rPr>
              <w:t>THE BRIGHAM AND WOMEN’S HOSPITAL, INC.</w:t>
            </w:r>
          </w:p>
        </w:tc>
      </w:tr>
      <w:tr>
        <w:trPr>
          <w:trHeight w:val="823"/>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w:t>
            </w:r>
          </w:p>
        </w:tc>
        <w:tc>
          <w:tcPr>
            <w:tcW w:w="6580" w:type="dxa"/>
            <w:vAlign w:val="bottom"/>
            <w:gridSpan w:val="3"/>
          </w:tcPr>
          <w:p>
            <w:pPr>
              <w:ind w:left="380"/>
              <w:spacing w:after="0"/>
              <w:rPr>
                <w:sz w:val="20"/>
                <w:szCs w:val="20"/>
                <w:color w:val="auto"/>
              </w:rPr>
            </w:pPr>
            <w:r>
              <w:rPr>
                <w:rFonts w:ascii="Times New Roman" w:cs="Times New Roman" w:eastAsia="Times New Roman" w:hAnsi="Times New Roman"/>
                <w:sz w:val="20"/>
                <w:szCs w:val="20"/>
                <w:color w:val="auto"/>
              </w:rPr>
              <w:t>By:   /s/ Daniel Castro</w:t>
            </w:r>
          </w:p>
        </w:tc>
      </w:tr>
      <w:tr>
        <w:trPr>
          <w:trHeight w:val="21"/>
        </w:trPr>
        <w:tc>
          <w:tcPr>
            <w:tcW w:w="500" w:type="dxa"/>
            <w:vAlign w:val="bottom"/>
          </w:tcPr>
          <w:p>
            <w:pPr>
              <w:spacing w:after="0" w:line="20" w:lineRule="exact"/>
              <w:rPr>
                <w:sz w:val="1"/>
                <w:szCs w:val="1"/>
                <w:color w:val="auto"/>
              </w:rPr>
            </w:pPr>
          </w:p>
        </w:tc>
        <w:tc>
          <w:tcPr>
            <w:tcW w:w="4140" w:type="dxa"/>
            <w:vAlign w:val="bottom"/>
            <w:tcBorders>
              <w:bottom w:val="single" w:sz="8" w:color="auto"/>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Borders>
              <w:bottom w:val="single" w:sz="8" w:color="auto"/>
            </w:tcBorders>
            <w:gridSpan w:val="2"/>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880" w:type="dxa"/>
            <w:vAlign w:val="bottom"/>
          </w:tcPr>
          <w:p>
            <w:pPr>
              <w:spacing w:after="0"/>
              <w:rPr>
                <w:sz w:val="22"/>
                <w:szCs w:val="22"/>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Name: Daniel Castro</w:t>
            </w:r>
          </w:p>
        </w:tc>
      </w:tr>
      <w:tr>
        <w:trPr>
          <w:trHeight w:val="540"/>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 Licensing Partners</w:t>
            </w: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HealthCare Innovation</w:t>
            </w:r>
          </w:p>
        </w:tc>
      </w:tr>
      <w:tr>
        <w:trPr>
          <w:trHeight w:val="21"/>
        </w:trPr>
        <w:tc>
          <w:tcPr>
            <w:tcW w:w="50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513"/>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DATE:</w:t>
            </w:r>
          </w:p>
        </w:tc>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12/18/17</w:t>
            </w:r>
          </w:p>
        </w:tc>
      </w:tr>
      <w:tr>
        <w:trPr>
          <w:trHeight w:val="21"/>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272" w:name="page273"/>
    <w:bookmarkEnd w:id="272"/>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20"/>
          <w:szCs w:val="20"/>
          <w:b w:val="1"/>
          <w:bCs w:val="1"/>
          <w:color w:val="auto"/>
        </w:rPr>
        <w:t>DESCRIPTION OF PATENT RIGHTS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Patent Family 1:</w:t>
      </w:r>
    </w:p>
    <w:p>
      <w:pPr>
        <w:spacing w:after="0" w:line="216" w:lineRule="exact"/>
        <w:rPr>
          <w:sz w:val="20"/>
          <w:szCs w:val="20"/>
          <w:color w:val="auto"/>
        </w:rPr>
      </w:pPr>
    </w:p>
    <w:p>
      <w:pPr>
        <w:ind w:left="360" w:hanging="352"/>
        <w:spacing w:after="0"/>
        <w:tabs>
          <w:tab w:leader="none" w:pos="3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8819" w:firstLine="8"/>
        <w:spacing w:after="0" w:line="489" w:lineRule="auto"/>
        <w:tabs>
          <w:tab w:leader="none" w:pos="346"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Patent Family 2:</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139"/>
          </w:cols>
          <w:pgMar w:left="320" w:top="1409" w:right="1440"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SALES REPORTS</w:t>
      </w:r>
    </w:p>
    <w:p>
      <w:pPr>
        <w:spacing w:after="0" w:line="105"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25"/>
          <w:szCs w:val="25"/>
          <w:b w:val="1"/>
          <w:bCs w:val="1"/>
          <w:color w:val="auto"/>
        </w:rPr>
        <w:t>AGREEMENT INCOME REPORT</w:t>
        <w:tab/>
        <w:t>Royalty Income</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[MGH] [BWH] Agreement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31115</wp:posOffset>
            </wp:positionV>
            <wp:extent cx="46977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31115</wp:posOffset>
            </wp:positionV>
            <wp:extent cx="46977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9773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Sub-Licensee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31115</wp:posOffset>
            </wp:positionV>
            <wp:extent cx="46977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Separate reports must be filed for</w:t>
      </w:r>
    </w:p>
    <w:p>
      <w:pPr>
        <w:spacing w:after="0" w:line="25" w:lineRule="exact"/>
        <w:rPr>
          <w:sz w:val="20"/>
          <w:szCs w:val="20"/>
          <w:color w:val="auto"/>
        </w:rPr>
      </w:pPr>
    </w:p>
    <w:p>
      <w:pPr>
        <w:ind w:left="680" w:hanging="348"/>
        <w:spacing w:after="0"/>
        <w:tabs>
          <w:tab w:leader="none" w:pos="680" w:val="left"/>
        </w:tabs>
        <w:numPr>
          <w:ilvl w:val="0"/>
          <w:numId w:val="2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Each Product sold.</w:t>
      </w:r>
    </w:p>
    <w:p>
      <w:pPr>
        <w:ind w:left="680" w:hanging="348"/>
        <w:spacing w:after="0"/>
        <w:tabs>
          <w:tab w:leader="none" w:pos="680" w:val="left"/>
        </w:tabs>
        <w:numPr>
          <w:ilvl w:val="0"/>
          <w:numId w:val="2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Each country of sale, if different deductions or royalty rates apply.</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Product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33655</wp:posOffset>
            </wp:positionV>
            <wp:extent cx="46977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Report Time Period:</w:t>
      </w:r>
    </w:p>
    <w:p>
      <w:pPr>
        <w:spacing w:after="0" w:line="54"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20"/>
          <w:szCs w:val="20"/>
          <w:color w:val="auto"/>
        </w:rPr>
        <w:t>From</w:t>
      </w:r>
      <w:r>
        <w:rPr>
          <w:sz w:val="20"/>
          <w:szCs w:val="20"/>
          <w:color w:val="auto"/>
        </w:rPr>
        <w:tab/>
      </w:r>
      <w:r>
        <w:rPr>
          <w:rFonts w:ascii="Times New Roman" w:cs="Times New Roman" w:eastAsia="Times New Roman" w:hAnsi="Times New Roman"/>
          <w:sz w:val="19"/>
          <w:szCs w:val="19"/>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33655</wp:posOffset>
            </wp:positionV>
            <wp:extent cx="4697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34"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33655</wp:posOffset>
            </wp:positionV>
            <wp:extent cx="4697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9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4057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Country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33655</wp:posOffset>
            </wp:positionV>
            <wp:extent cx="53746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Quantity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33655</wp:posOffset>
            </wp:positionV>
            <wp:extent cx="53746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Gross Sales (USD)</w:t>
            </w:r>
          </w:p>
        </w:tc>
        <w:tc>
          <w:tcPr>
            <w:tcW w:w="2380" w:type="dxa"/>
            <w:vAlign w:val="bottom"/>
          </w:tcPr>
          <w:p>
            <w:pPr>
              <w:jc w:val="right"/>
              <w:ind w:right="216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spacing w:after="0"/>
              <w:rPr>
                <w:sz w:val="22"/>
                <w:szCs w:val="22"/>
                <w:color w:val="auto"/>
              </w:rPr>
            </w:pPr>
          </w:p>
        </w:tc>
        <w:tc>
          <w:tcPr>
            <w:tcW w:w="2400" w:type="dxa"/>
            <w:vAlign w:val="bottom"/>
          </w:tcPr>
          <w:p>
            <w:pPr>
              <w:jc w:val="right"/>
              <w:ind w:right="2181"/>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spacing w:after="0"/>
              <w:rPr>
                <w:sz w:val="22"/>
                <w:szCs w:val="22"/>
                <w:color w:val="auto"/>
              </w:rPr>
            </w:pPr>
          </w:p>
        </w:tc>
        <w:tc>
          <w:tcPr>
            <w:tcW w:w="2400" w:type="dxa"/>
            <w:vAlign w:val="bottom"/>
          </w:tcPr>
          <w:p>
            <w:pPr>
              <w:jc w:val="right"/>
              <w:ind w:right="2181"/>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w:t>
            </w:r>
          </w:p>
        </w:tc>
        <w:tc>
          <w:tcPr>
            <w:tcW w:w="23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760" w:type="dxa"/>
            <w:vAlign w:val="bottom"/>
            <w:vMerge w:val="continue"/>
          </w:tcPr>
          <w:p>
            <w:pPr>
              <w:spacing w:after="0"/>
              <w:rPr>
                <w:sz w:val="21"/>
                <w:szCs w:val="21"/>
                <w:color w:val="auto"/>
              </w:rPr>
            </w:pPr>
          </w:p>
        </w:tc>
        <w:tc>
          <w:tcPr>
            <w:tcW w:w="2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Deductions (Itemize)</w:t>
            </w:r>
          </w:p>
        </w:tc>
        <w:tc>
          <w:tcPr>
            <w:tcW w:w="23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760" w:type="dxa"/>
            <w:vAlign w:val="bottom"/>
            <w:vMerge w:val="continue"/>
          </w:tcPr>
          <w:p>
            <w:pPr>
              <w:spacing w:after="0"/>
              <w:rPr>
                <w:sz w:val="21"/>
                <w:szCs w:val="21"/>
                <w:color w:val="auto"/>
              </w:rPr>
            </w:pPr>
          </w:p>
        </w:tc>
        <w:tc>
          <w:tcPr>
            <w:tcW w:w="2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 w:right="200"/>
        <w:spacing w:after="0" w:line="267" w:lineRule="auto"/>
        <w:rPr>
          <w:sz w:val="20"/>
          <w:szCs w:val="20"/>
          <w:color w:val="auto"/>
        </w:rPr>
      </w:pPr>
      <w:r>
        <w:rPr>
          <w:rFonts w:ascii="Times New Roman" w:cs="Times New Roman" w:eastAsia="Times New Roman" w:hAnsi="Times New Roman"/>
          <w:sz w:val="20"/>
          <w:szCs w:val="20"/>
          <w:i w:val="1"/>
          <w:iCs w:val="1"/>
          <w:color w:val="auto"/>
        </w:rPr>
        <w:t>Please list each deduction separately. Use same definition as appears in Agreement and include the contract paragraph as a reference (Std Section 1.17(a)(ii) line item deductions listed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0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Al.</w:t>
            </w:r>
          </w:p>
        </w:tc>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A2.</w:t>
            </w: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A3.</w:t>
            </w: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A4.</w:t>
            </w: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B.</w:t>
            </w: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Total Deductions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3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4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24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tc>
        <w:tc>
          <w:tcPr>
            <w:tcW w:w="5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Royalty Percentage</w:t>
            </w: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Credits (itemize)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202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vMerge w:val="continue"/>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81"/>
              </w:rPr>
              <w:t>)</w:t>
            </w:r>
          </w:p>
        </w:tc>
        <w:tc>
          <w:tcPr>
            <w:tcW w:w="400" w:type="dxa"/>
            <w:vAlign w:val="bottom"/>
            <w:vMerge w:val="continue"/>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9" w:right="339" w:bottom="1440" w:gutter="0" w:footer="0" w:header="0"/>
        </w:sectPr>
      </w:pPr>
    </w:p>
    <w:bookmarkStart w:id="274" w:name="page275"/>
    <w:bookmarkEnd w:id="274"/>
    <w:p>
      <w:pPr>
        <w:spacing w:after="0" w:line="23" w:lineRule="exact"/>
        <w:rPr>
          <w:sz w:val="20"/>
          <w:szCs w:val="20"/>
          <w:color w:val="auto"/>
        </w:rPr>
      </w:pPr>
    </w:p>
    <w:p>
      <w:pPr>
        <w:ind w:left="20"/>
        <w:spacing w:after="0"/>
        <w:tabs>
          <w:tab w:leader="none" w:pos="2440" w:val="left"/>
          <w:tab w:leader="none" w:pos="5460" w:val="left"/>
          <w:tab w:leader="none" w:pos="8480" w:val="left"/>
        </w:tabs>
        <w:rPr>
          <w:sz w:val="20"/>
          <w:szCs w:val="20"/>
          <w:color w:val="auto"/>
        </w:rPr>
      </w:pPr>
      <w:r>
        <w:rPr>
          <w:rFonts w:ascii="Times New Roman" w:cs="Times New Roman" w:eastAsia="Times New Roman" w:hAnsi="Times New Roman"/>
          <w:sz w:val="20"/>
          <w:szCs w:val="20"/>
          <w:b w:val="1"/>
          <w:bCs w:val="1"/>
          <w:i w:val="1"/>
          <w:iCs w:val="1"/>
          <w:color w:val="auto"/>
        </w:rPr>
        <w:t>Royalties Due</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40575" cy="316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PLEASE ATTACH DETAIL SALES REPORTS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139"/>
          </w:cols>
          <w:pgMar w:left="320" w:top="1440" w:right="1440" w:bottom="1440" w:gutter="0" w:footer="0" w:header="0"/>
        </w:sectPr>
      </w:pPr>
    </w:p>
    <w:bookmarkStart w:id="275" w:name="page276"/>
    <w:bookmarkEnd w:id="27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C</w:t>
      </w:r>
    </w:p>
    <w:p>
      <w:pPr>
        <w:spacing w:after="0" w:line="267" w:lineRule="exact"/>
        <w:rPr>
          <w:sz w:val="20"/>
          <w:szCs w:val="20"/>
          <w:color w:val="auto"/>
        </w:rPr>
      </w:pPr>
    </w:p>
    <w:p>
      <w:pPr>
        <w:ind w:left="20"/>
        <w:spacing w:after="0"/>
        <w:tabs>
          <w:tab w:leader="none" w:pos="9200" w:val="left"/>
        </w:tabs>
        <w:rPr>
          <w:sz w:val="20"/>
          <w:szCs w:val="20"/>
          <w:color w:val="auto"/>
        </w:rPr>
      </w:pPr>
      <w:r>
        <w:rPr>
          <w:rFonts w:ascii="Times New Roman" w:cs="Times New Roman" w:eastAsia="Times New Roman" w:hAnsi="Times New Roman"/>
          <w:sz w:val="25"/>
          <w:szCs w:val="25"/>
          <w:b w:val="1"/>
          <w:bCs w:val="1"/>
          <w:color w:val="auto"/>
        </w:rPr>
        <w:t>AGREEMENT INCOME REPORT</w:t>
      </w:r>
      <w:r>
        <w:rPr>
          <w:sz w:val="20"/>
          <w:szCs w:val="20"/>
          <w:color w:val="auto"/>
        </w:rPr>
        <w:tab/>
      </w:r>
      <w:r>
        <w:rPr>
          <w:rFonts w:ascii="Times New Roman" w:cs="Times New Roman" w:eastAsia="Times New Roman" w:hAnsi="Times New Roman"/>
          <w:sz w:val="25"/>
          <w:szCs w:val="25"/>
          <w:b w:val="1"/>
          <w:bCs w:val="1"/>
          <w:color w:val="auto"/>
        </w:rPr>
        <w:t>Sublicense Income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[MGH] [BWH] Agreement #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Licensee -</w:t>
      </w:r>
    </w:p>
    <w:p>
      <w:pPr>
        <w:spacing w:after="0"/>
        <w:rPr>
          <w:sz w:val="20"/>
          <w:szCs w:val="20"/>
          <w:color w:val="auto"/>
        </w:rPr>
      </w:pPr>
      <w:r>
        <w:rPr>
          <w:rFonts w:ascii="Times New Roman" w:cs="Times New Roman" w:eastAsia="Times New Roman" w:hAnsi="Times New Roman"/>
          <w:sz w:val="20"/>
          <w:szCs w:val="20"/>
          <w:color w:val="auto"/>
        </w:rPr>
        <w:t>Sub-Licensee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Separate reports must be filed for Payments associated with each Product:</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Product Name:</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Report Time Period:</w:t>
      </w:r>
    </w:p>
    <w:p>
      <w:pPr>
        <w:spacing w:after="0" w:line="320"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20"/>
          <w:szCs w:val="20"/>
          <w:color w:val="auto"/>
        </w:rPr>
        <w:t>From</w:t>
      </w:r>
      <w:r>
        <w:rPr>
          <w:sz w:val="20"/>
          <w:szCs w:val="20"/>
          <w:color w:val="auto"/>
        </w:rPr>
        <w:tab/>
      </w:r>
      <w:r>
        <w:rPr>
          <w:rFonts w:ascii="Times New Roman" w:cs="Times New Roman" w:eastAsia="Times New Roman" w:hAnsi="Times New Roman"/>
          <w:sz w:val="19"/>
          <w:szCs w:val="19"/>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33655</wp:posOffset>
            </wp:positionV>
            <wp:extent cx="4697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34" w:lineRule="exact"/>
        <w:rPr>
          <w:sz w:val="20"/>
          <w:szCs w:val="20"/>
          <w:color w:val="auto"/>
        </w:rPr>
      </w:pPr>
    </w:p>
    <w:p>
      <w:pPr>
        <w:ind w:left="560"/>
        <w:spacing w:after="0"/>
        <w:tabs>
          <w:tab w:leader="none" w:pos="11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i w:val="1"/>
          <w:iCs w:val="1"/>
          <w:color w:val="auto"/>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33655</wp:posOffset>
            </wp:positionV>
            <wp:extent cx="46977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Detailed Explanation of Payment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Required for “Other Payment”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Annual Fees/Minimum Royalties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r>
        <w:trPr>
          <w:trHeight w:val="553"/>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Milestone 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r>
        <w:trPr>
          <w:trHeight w:val="554"/>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Sublicense Fees and Royalties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r>
        <w:trPr>
          <w:trHeight w:val="553"/>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Payment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r>
        <w:trPr>
          <w:trHeight w:val="553"/>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Payment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r>
        <w:trPr>
          <w:trHeight w:val="553"/>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Payment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r>
        <w:trPr>
          <w:trHeight w:val="554"/>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PLEASE ATTACH DETAIL AS REQUIRED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type w:val="continuous"/>
        </w:sectPr>
      </w:pPr>
    </w:p>
    <w:bookmarkStart w:id="276" w:name="page277"/>
    <w:bookmarkEnd w:id="276"/>
    <w:p>
      <w:pPr>
        <w:spacing w:after="0" w:line="1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b w:val="1"/>
          <w:bCs w:val="1"/>
          <w:color w:val="auto"/>
        </w:rPr>
        <w:t>Appendix D</w:t>
      </w:r>
    </w:p>
    <w:p>
      <w:pPr>
        <w:spacing w:after="0" w:line="21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b w:val="1"/>
          <w:bCs w:val="1"/>
          <w:color w:val="auto"/>
        </w:rPr>
        <w:t>CONFIDENTIALITY TERMS AND CONDITIONS</w:t>
      </w:r>
    </w:p>
    <w:p>
      <w:pPr>
        <w:spacing w:after="0" w:line="220" w:lineRule="exact"/>
        <w:rPr>
          <w:sz w:val="20"/>
          <w:szCs w:val="20"/>
          <w:color w:val="auto"/>
        </w:rPr>
      </w:pPr>
    </w:p>
    <w:p>
      <w:pPr>
        <w:ind w:left="-8" w:firstLine="8"/>
        <w:spacing w:after="0" w:line="244" w:lineRule="auto"/>
        <w:tabs>
          <w:tab w:leader="none" w:pos="6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 of Confidential Information. “Confidential Information” shall mean any information, including but not limited to data, techniques, protocols or results, or business, financial, commercial or technical information, disclosed by one Party (each a “Discloser” as applicable) to the other Party (each a “Recipient” as applicable) in connection with the terms of that certain Exclusive License Agreement dated December 18, 2017 (the “License Agreement”) and identified as confidential in the License Agreement or at the time of disclosure (the “Purpose”). Hospital’s Confidential Information shall also include all information disclosed by Hospital to Company in connection with the Patent Rights. Capitalized terms used in this Appendix that are not otherwise defined herein have the meanings ascribed in the License Agreement to which this Appendix is attached and made a part thereof.</w:t>
      </w:r>
    </w:p>
    <w:p>
      <w:pPr>
        <w:spacing w:after="0" w:line="185" w:lineRule="exact"/>
        <w:rPr>
          <w:rFonts w:ascii="Times New Roman" w:cs="Times New Roman" w:eastAsia="Times New Roman" w:hAnsi="Times New Roman"/>
          <w:sz w:val="20"/>
          <w:szCs w:val="20"/>
          <w:color w:val="auto"/>
        </w:rPr>
      </w:pPr>
    </w:p>
    <w:p>
      <w:pPr>
        <w:ind w:left="-8" w:right="60" w:firstLine="8"/>
        <w:spacing w:after="0" w:line="242" w:lineRule="auto"/>
        <w:tabs>
          <w:tab w:leader="none" w:pos="6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Exclusions. “Confidential Information” under this Agreement shall not include any information that (i) is or becomes publicly available through no wrongful act of Recipient; (ii) was known by Recipient prior to disclosure by Discloser, as evidenced by tangible records; (iii) is disclosed to Recipient by a third party having an apparent bona fide right to disclose it; (iv) is independently developed or discovered by Recipient without use of Discloser’s Confidential Information, as evidenced by tangible records; or (v) is disclosed to another party not subject to obligations of confidentiality by Discloser without restriction on further disclosure. The obligations of confidentiality set forth in this Agreement shall be suspended solely in the event that Recipient is required to disclose or produce Discloser’s Confidential Information pursuant to applicable law, court order or other valid legal process, provided that Recipient promptly notifies Discloser prior to such required disclosure, discloses such information only to the extent so required, and cooperates reasonably with Discloser’s efforts to contest or limit the scope of such disclosure. Information disclosed pursuant to the foregoing sentence shall remain Confidential Information for all other purposes.</w:t>
      </w:r>
    </w:p>
    <w:p>
      <w:pPr>
        <w:spacing w:after="0" w:line="192" w:lineRule="exact"/>
        <w:rPr>
          <w:rFonts w:ascii="Times New Roman" w:cs="Times New Roman" w:eastAsia="Times New Roman" w:hAnsi="Times New Roman"/>
          <w:sz w:val="20"/>
          <w:szCs w:val="20"/>
          <w:color w:val="auto"/>
        </w:rPr>
      </w:pPr>
    </w:p>
    <w:p>
      <w:pPr>
        <w:ind w:left="-8" w:right="600" w:firstLine="8"/>
        <w:spacing w:after="0" w:line="254" w:lineRule="auto"/>
        <w:tabs>
          <w:tab w:leader="none" w:pos="6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Purpose. Recipient shall have the right to, and agrees that it will, use Discloser’s Confidential Information solely as permitted in the License Agreement (the “Purpose”), except as may be otherwise specified in a separate definitive written agreement negotiated and executed between the parties.</w:t>
      </w:r>
    </w:p>
    <w:p>
      <w:pPr>
        <w:spacing w:after="0" w:line="174" w:lineRule="exact"/>
        <w:rPr>
          <w:rFonts w:ascii="Times New Roman" w:cs="Times New Roman" w:eastAsia="Times New Roman" w:hAnsi="Times New Roman"/>
          <w:sz w:val="20"/>
          <w:szCs w:val="20"/>
          <w:color w:val="auto"/>
        </w:rPr>
      </w:pPr>
    </w:p>
    <w:p>
      <w:pPr>
        <w:ind w:left="-8" w:firstLine="8"/>
        <w:spacing w:after="0" w:line="243" w:lineRule="auto"/>
        <w:tabs>
          <w:tab w:leader="none" w:pos="6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For the term of the License Agreement and a period of five (5) years thereafter (and indefinitely with respect to any individually identifiable health information disclosed by Hospital to Company, if any), each Recipient agrees that: (i) it will not use such Confidential Information for any purpose other than as specified herein, including without limitation for its own benefit or the benefit of any other person or entity; and (ii) it will use reasonable efforts (but no less than the efforts used to protect its own confidential and/or proprietary information of a similar nature) not to disclose such Confidential Information to any other person or entity except as expressly permitted hereunder. Recipient may, however, disclose Discloser’s Confidential Information only on a need-to-know basis to its and its Affiliates’ employees, staff members and agents (“Receiving Individuals”-) who are directly participating in the Purpose and who are informed of the confidential nature of such information, provided Recipient shall be responsible for compliance by Receiving Individuals with the terms of this Agreement and any breach thereof. This Section 4 shall survive termination or expiration of this Agreement.</w:t>
      </w:r>
    </w:p>
    <w:p>
      <w:pPr>
        <w:spacing w:after="0" w:line="185"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92"/>
          </w:cols>
          <w:pgMar w:left="328" w:top="1440" w:right="379" w:bottom="1440" w:gutter="0" w:footer="0" w:header="0"/>
        </w:sectPr>
      </w:pPr>
    </w:p>
    <w:bookmarkStart w:id="277" w:name="page278"/>
    <w:bookmarkEnd w:id="277"/>
    <w:p>
      <w:pPr>
        <w:spacing w:after="0" w:line="189" w:lineRule="exact"/>
        <w:rPr>
          <w:sz w:val="20"/>
          <w:szCs w:val="20"/>
          <w:color w:val="auto"/>
        </w:rPr>
      </w:pPr>
    </w:p>
    <w:p>
      <w:pPr>
        <w:ind w:left="-8" w:firstLine="8"/>
        <w:spacing w:after="0" w:line="246" w:lineRule="auto"/>
        <w:tabs>
          <w:tab w:leader="none" w:pos="6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All Confidential Information disclosed pursuant to this Agreement, including without limitation all written and tangible forms thereof, shall be and remain the property of the Discloser. Upon termination of this Agreement, if requested by Discloser, Recipient shall return or destroy at Discloser’s discretion all of Discloser’s Confidential Information, provided that Recipient shall be entitled to keep one copy of such Confidential Information in a secure location solely for the purpose of complying with Recipient’s legal obligations under the License Agreement.</w:t>
      </w:r>
    </w:p>
    <w:p>
      <w:pPr>
        <w:spacing w:after="0" w:line="184" w:lineRule="exact"/>
        <w:rPr>
          <w:rFonts w:ascii="Times New Roman" w:cs="Times New Roman" w:eastAsia="Times New Roman" w:hAnsi="Times New Roman"/>
          <w:sz w:val="20"/>
          <w:szCs w:val="20"/>
          <w:color w:val="auto"/>
        </w:rPr>
      </w:pPr>
    </w:p>
    <w:p>
      <w:pPr>
        <w:ind w:left="-8" w:right="40" w:firstLine="8"/>
        <w:spacing w:after="0" w:line="254" w:lineRule="auto"/>
        <w:tabs>
          <w:tab w:leader="none" w:pos="6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License. Nothing in this Agreement shall be construed as granting or conferring, expressly or impliedly, any rights by license or otherwise, under any patent, copyright, or other intellectual property rights owned or controlled by Discloser relating to Confidential Information, except as specifically set forth in the License Agreement.</w:t>
      </w:r>
    </w:p>
    <w:p>
      <w:pPr>
        <w:spacing w:after="0" w:line="174" w:lineRule="exact"/>
        <w:rPr>
          <w:rFonts w:ascii="Times New Roman" w:cs="Times New Roman" w:eastAsia="Times New Roman" w:hAnsi="Times New Roman"/>
          <w:sz w:val="20"/>
          <w:szCs w:val="20"/>
          <w:color w:val="auto"/>
        </w:rPr>
      </w:pPr>
    </w:p>
    <w:p>
      <w:pPr>
        <w:ind w:left="-8" w:right="80" w:firstLine="8"/>
        <w:spacing w:after="0" w:line="269" w:lineRule="auto"/>
        <w:tabs>
          <w:tab w:leader="none" w:pos="6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Remedies. Each party acknowledges that any breach of this Agreement by it may cause irreparable harm to the other party and that each party is entitled to seek injunctive relief and any other remedy available at law or in equity.</w:t>
      </w:r>
    </w:p>
    <w:p>
      <w:pPr>
        <w:spacing w:after="0" w:line="159" w:lineRule="exact"/>
        <w:rPr>
          <w:rFonts w:ascii="Times New Roman" w:cs="Times New Roman" w:eastAsia="Times New Roman" w:hAnsi="Times New Roman"/>
          <w:sz w:val="20"/>
          <w:szCs w:val="20"/>
          <w:color w:val="auto"/>
        </w:rPr>
      </w:pPr>
    </w:p>
    <w:p>
      <w:pPr>
        <w:ind w:left="-8" w:firstLine="8"/>
        <w:spacing w:after="0" w:line="249" w:lineRule="auto"/>
        <w:tabs>
          <w:tab w:leader="none" w:pos="6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These Confidentiality Terms and Conditions, along with the License Agreement, contain the entire understanding of the parties with respect to the subject matter hereof, and supersede any prior oral or written understandings between the parties relating to confidential treatment of information. Sections 1, 2, 4, 6, 8 and 9 of these Confidentiality Terms and Conditions shall survive any expiration or termination of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20"/>
          <w:szCs w:val="20"/>
          <w:color w:val="auto"/>
        </w:rPr>
        <w:t>29</w:t>
      </w:r>
    </w:p>
    <w:sectPr>
      <w:pgSz w:w="11900" w:h="16838" w:orient="portrait"/>
      <w:cols w:equalWidth="0" w:num="1">
        <w:col w:w="11092"/>
      </w:cols>
      <w:pgMar w:left="328"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1)"/>
      <w:numFmt w:val="decimal"/>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
      <w:numFmt w:val="bullet"/>
      <w:start w:val="1"/>
    </w:lvl>
  </w:abstractNum>
  <w:abstractNum w:abstractNumId="3">
    <w:nsid w:val="1CA0C5FA"/>
    <w:multiLevelType w:val="hybridMultilevel"/>
    <w:lvl w:ilvl="0">
      <w:lvlJc w:val="left"/>
      <w:lvlText w:val="•"/>
      <w:numFmt w:val="bullet"/>
      <w:start w:val="1"/>
    </w:lvl>
  </w:abstractNum>
  <w:abstractNum w:abstractNumId="4">
    <w:nsid w:val="53584BCB"/>
    <w:multiLevelType w:val="hybridMultilevel"/>
    <w:lvl w:ilvl="0">
      <w:lvlJc w:val="left"/>
      <w:lvlText w:val="•"/>
      <w:numFmt w:val="bullet"/>
      <w:start w:val="1"/>
    </w:lvl>
  </w:abstractNum>
  <w:abstractNum w:abstractNumId="5">
    <w:nsid w:val="415E286C"/>
    <w:multiLevelType w:val="hybridMultilevel"/>
    <w:lvl w:ilvl="0">
      <w:lvlJc w:val="left"/>
      <w:lvlText w:val="•"/>
      <w:numFmt w:val="bullet"/>
      <w:start w:val="1"/>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
      <w:numFmt w:val="bullet"/>
      <w:start w:val="1"/>
    </w:lvl>
  </w:abstractNum>
  <w:abstractNum w:abstractNumId="8">
    <w:nsid w:val="45E6D486"/>
    <w:multiLevelType w:val="hybridMultilevel"/>
    <w:lvl w:ilvl="0">
      <w:lvlJc w:val="left"/>
      <w:lvlText w:val="•"/>
      <w:numFmt w:val="bullet"/>
      <w:start w:val="1"/>
    </w:lvl>
  </w:abstractNum>
  <w:abstractNum w:abstractNumId="9">
    <w:nsid w:val="5C10FE21"/>
    <w:multiLevelType w:val="hybridMultilevel"/>
    <w:lvl w:ilvl="0">
      <w:lvlJc w:val="left"/>
      <w:lvlText w:val="•"/>
      <w:numFmt w:val="bullet"/>
      <w:start w:val="1"/>
    </w:lvl>
    <w:lvl w:ilvl="1">
      <w:lvlJc w:val="left"/>
      <w:lvlText w:val="◦"/>
      <w:numFmt w:val="bullet"/>
      <w:start w:val="1"/>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1)"/>
      <w:numFmt w:val="decimal"/>
      <w:start w:val="1"/>
    </w:lvl>
  </w:abstractNum>
  <w:abstractNum w:abstractNumId="12">
    <w:nsid w:val="4BD8591A"/>
    <w:multiLevelType w:val="hybridMultilevel"/>
    <w:lvl w:ilvl="0">
      <w:lvlJc w:val="left"/>
      <w:lvlText w:val="(%1)"/>
      <w:numFmt w:val="decimal"/>
      <w:start w:val="2"/>
    </w:lvl>
  </w:abstractNum>
  <w:abstractNum w:abstractNumId="13">
    <w:nsid w:val="78DF6A55"/>
    <w:multiLevelType w:val="hybridMultilevel"/>
    <w:lvl w:ilvl="0">
      <w:lvlJc w:val="left"/>
      <w:lvlText w:val="(%1)"/>
      <w:numFmt w:val="decimal"/>
      <w:start w:val="1"/>
    </w:lvl>
  </w:abstractNum>
  <w:abstractNum w:abstractNumId="14">
    <w:nsid w:val="39B7AAA2"/>
    <w:multiLevelType w:val="hybridMultilevel"/>
    <w:lvl w:ilvl="0">
      <w:lvlJc w:val="left"/>
      <w:lvlText w:val="(%1)"/>
      <w:numFmt w:val="decimal"/>
      <w:start w:val="4"/>
    </w:lvl>
  </w:abstractNum>
  <w:abstractNum w:abstractNumId="15">
    <w:nsid w:val="2B0D8DBE"/>
    <w:multiLevelType w:val="hybridMultilevel"/>
    <w:lvl w:ilvl="0">
      <w:lvlJc w:val="left"/>
      <w:lvlText w:val="•"/>
      <w:numFmt w:val="bullet"/>
      <w:start w:val="1"/>
    </w:lvl>
  </w:abstractNum>
  <w:abstractNum w:abstractNumId="16">
    <w:nsid w:val="6C80EC70"/>
    <w:multiLevelType w:val="hybridMultilevel"/>
    <w:lvl w:ilvl="0">
      <w:lvlJc w:val="left"/>
      <w:lvlText w:val="•"/>
      <w:numFmt w:val="bullet"/>
      <w:start w:val="1"/>
    </w:lvl>
  </w:abstractNum>
  <w:abstractNum w:abstractNumId="17">
    <w:nsid w:val="379E21B5"/>
    <w:multiLevelType w:val="hybridMultilevel"/>
    <w:lvl w:ilvl="0">
      <w:lvlJc w:val="left"/>
      <w:lvlText w:val="•"/>
      <w:numFmt w:val="bullet"/>
      <w:start w:val="1"/>
    </w:lvl>
  </w:abstractNum>
  <w:abstractNum w:abstractNumId="18">
    <w:nsid w:val="69E373"/>
    <w:multiLevelType w:val="hybridMultilevel"/>
    <w:lvl w:ilvl="0">
      <w:lvlJc w:val="left"/>
      <w:lvlText w:val="•"/>
      <w:numFmt w:val="bullet"/>
      <w:start w:val="1"/>
    </w:lvl>
  </w:abstractNum>
  <w:abstractNum w:abstractNumId="19">
    <w:nsid w:val="2C27173B"/>
    <w:multiLevelType w:val="hybridMultilevel"/>
    <w:lvl w:ilvl="0">
      <w:lvlJc w:val="left"/>
      <w:lvlText w:val="•"/>
      <w:numFmt w:val="bullet"/>
      <w:start w:val="1"/>
    </w:lvl>
  </w:abstractNum>
  <w:abstractNum w:abstractNumId="20">
    <w:nsid w:val="4C9B0904"/>
    <w:multiLevelType w:val="hybridMultilevel"/>
    <w:lvl w:ilvl="0">
      <w:lvlJc w:val="left"/>
      <w:lvlText w:val="•"/>
      <w:numFmt w:val="bullet"/>
      <w:start w:val="1"/>
    </w:lvl>
  </w:abstractNum>
  <w:abstractNum w:abstractNumId="21">
    <w:nsid w:val="6AA7B75C"/>
    <w:multiLevelType w:val="hybridMultilevel"/>
    <w:lvl w:ilvl="0">
      <w:lvlJc w:val="left"/>
      <w:lvlText w:val="•"/>
      <w:numFmt w:val="bullet"/>
      <w:start w:val="1"/>
    </w:lvl>
  </w:abstractNum>
  <w:abstractNum w:abstractNumId="22">
    <w:nsid w:val="1DF029D3"/>
    <w:multiLevelType w:val="hybridMultilevel"/>
    <w:lvl w:ilvl="0">
      <w:lvlJc w:val="left"/>
      <w:lvlText w:val="•"/>
      <w:numFmt w:val="bullet"/>
      <w:start w:val="1"/>
    </w:lvl>
  </w:abstractNum>
  <w:abstractNum w:abstractNumId="23">
    <w:nsid w:val="5675FF36"/>
    <w:multiLevelType w:val="hybridMultilevel"/>
    <w:lvl w:ilvl="0">
      <w:lvlJc w:val="left"/>
      <w:lvlText w:val="•"/>
      <w:numFmt w:val="bullet"/>
      <w:start w:val="1"/>
    </w:lvl>
  </w:abstractNum>
  <w:abstractNum w:abstractNumId="24">
    <w:nsid w:val="3DD15094"/>
    <w:multiLevelType w:val="hybridMultilevel"/>
    <w:lvl w:ilvl="0">
      <w:lvlJc w:val="left"/>
      <w:lvlText w:val="•"/>
      <w:numFmt w:val="bullet"/>
      <w:start w:val="1"/>
    </w:lvl>
  </w:abstractNum>
  <w:abstractNum w:abstractNumId="25">
    <w:nsid w:val="3DB012B3"/>
    <w:multiLevelType w:val="hybridMultilevel"/>
    <w:lvl w:ilvl="0">
      <w:lvlJc w:val="left"/>
      <w:lvlText w:val="•"/>
      <w:numFmt w:val="bullet"/>
      <w:start w:val="1"/>
    </w:lvl>
  </w:abstractNum>
  <w:abstractNum w:abstractNumId="26">
    <w:nsid w:val="2708C9AF"/>
    <w:multiLevelType w:val="hybridMultilevel"/>
    <w:lvl w:ilvl="0">
      <w:lvlJc w:val="left"/>
      <w:lvlText w:val="•"/>
      <w:numFmt w:val="bullet"/>
      <w:start w:val="1"/>
    </w:lvl>
  </w:abstractNum>
  <w:abstractNum w:abstractNumId="27">
    <w:nsid w:val="5B25ACE2"/>
    <w:multiLevelType w:val="hybridMultilevel"/>
    <w:lvl w:ilvl="0">
      <w:lvlJc w:val="left"/>
      <w:lvlText w:val="•"/>
      <w:numFmt w:val="bullet"/>
      <w:start w:val="1"/>
    </w:lvl>
  </w:abstractNum>
  <w:abstractNum w:abstractNumId="28">
    <w:nsid w:val="175DFCF0"/>
    <w:multiLevelType w:val="hybridMultilevel"/>
    <w:lvl w:ilvl="0">
      <w:lvlJc w:val="left"/>
      <w:lvlText w:val="•"/>
      <w:numFmt w:val="bullet"/>
      <w:start w:val="1"/>
    </w:lvl>
  </w:abstractNum>
  <w:abstractNum w:abstractNumId="29">
    <w:nsid w:val="4F97E3E4"/>
    <w:multiLevelType w:val="hybridMultilevel"/>
    <w:lvl w:ilvl="0">
      <w:lvlJc w:val="left"/>
      <w:lvlText w:val="•"/>
      <w:numFmt w:val="bullet"/>
      <w:start w:val="1"/>
    </w:lvl>
  </w:abstractNum>
  <w:abstractNum w:abstractNumId="30">
    <w:nsid w:val="53B0A9E"/>
    <w:multiLevelType w:val="hybridMultilevel"/>
    <w:lvl w:ilvl="0">
      <w:lvlJc w:val="left"/>
      <w:lvlText w:val="•"/>
      <w:numFmt w:val="bullet"/>
      <w:start w:val="1"/>
    </w:lvl>
  </w:abstractNum>
  <w:abstractNum w:abstractNumId="31">
    <w:nsid w:val="34FD6B4F"/>
    <w:multiLevelType w:val="hybridMultilevel"/>
    <w:lvl w:ilvl="0">
      <w:lvlJc w:val="left"/>
      <w:lvlText w:val="•"/>
      <w:numFmt w:val="bullet"/>
      <w:start w:val="1"/>
    </w:lvl>
  </w:abstractNum>
  <w:abstractNum w:abstractNumId="32">
    <w:nsid w:val="5915FF32"/>
    <w:multiLevelType w:val="hybridMultilevel"/>
    <w:lvl w:ilvl="0">
      <w:lvlJc w:val="left"/>
      <w:lvlText w:val="•"/>
      <w:numFmt w:val="bullet"/>
      <w:start w:val="1"/>
    </w:lvl>
  </w:abstractNum>
  <w:abstractNum w:abstractNumId="33">
    <w:nsid w:val="56438D15"/>
    <w:multiLevelType w:val="hybridMultilevel"/>
    <w:lvl w:ilvl="0">
      <w:lvlJc w:val="left"/>
      <w:lvlText w:val="•"/>
      <w:numFmt w:val="bullet"/>
      <w:start w:val="1"/>
    </w:lvl>
  </w:abstractNum>
  <w:abstractNum w:abstractNumId="34">
    <w:nsid w:val="519E3149"/>
    <w:multiLevelType w:val="hybridMultilevel"/>
    <w:lvl w:ilvl="0">
      <w:lvlJc w:val="left"/>
      <w:lvlText w:val="•"/>
      <w:numFmt w:val="bullet"/>
      <w:start w:val="1"/>
    </w:lvl>
  </w:abstractNum>
  <w:abstractNum w:abstractNumId="35">
    <w:nsid w:val="2C6E4AFD"/>
    <w:multiLevelType w:val="hybridMultilevel"/>
    <w:lvl w:ilvl="0">
      <w:lvlJc w:val="left"/>
      <w:lvlText w:val="•"/>
      <w:numFmt w:val="bullet"/>
      <w:start w:val="1"/>
    </w:lvl>
  </w:abstractNum>
  <w:abstractNum w:abstractNumId="36">
    <w:nsid w:val="17A1B582"/>
    <w:multiLevelType w:val="hybridMultilevel"/>
    <w:lvl w:ilvl="0">
      <w:lvlJc w:val="left"/>
      <w:lvlText w:val="•"/>
      <w:numFmt w:val="bullet"/>
      <w:start w:val="1"/>
    </w:lvl>
  </w:abstractNum>
  <w:abstractNum w:abstractNumId="37">
    <w:nsid w:val="4DF72E4E"/>
    <w:multiLevelType w:val="hybridMultilevel"/>
    <w:lvl w:ilvl="0">
      <w:lvlJc w:val="left"/>
      <w:lvlText w:val="•"/>
      <w:numFmt w:val="bullet"/>
      <w:start w:val="1"/>
    </w:lvl>
  </w:abstractNum>
  <w:abstractNum w:abstractNumId="38">
    <w:nsid w:val="5046B5A9"/>
    <w:multiLevelType w:val="hybridMultilevel"/>
    <w:lvl w:ilvl="0">
      <w:lvlJc w:val="left"/>
      <w:lvlText w:val="%1."/>
      <w:numFmt w:val="decimal"/>
      <w:start w:val="1"/>
    </w:lvl>
  </w:abstractNum>
  <w:abstractNum w:abstractNumId="39">
    <w:nsid w:val="5D888A08"/>
    <w:multiLevelType w:val="hybridMultilevel"/>
    <w:lvl w:ilvl="0">
      <w:lvlJc w:val="left"/>
      <w:lvlText w:val="%1."/>
      <w:numFmt w:val="decimal"/>
      <w:start w:val="1"/>
    </w:lvl>
  </w:abstractNum>
  <w:abstractNum w:abstractNumId="40">
    <w:nsid w:val="2A082C70"/>
    <w:multiLevelType w:val="hybridMultilevel"/>
    <w:lvl w:ilvl="0">
      <w:lvlJc w:val="left"/>
      <w:lvlText w:val="%1."/>
      <w:numFmt w:val="decimal"/>
      <w:start w:val="5"/>
    </w:lvl>
  </w:abstractNum>
  <w:abstractNum w:abstractNumId="41">
    <w:nsid w:val="5EC6AFD4"/>
    <w:multiLevelType w:val="hybridMultilevel"/>
    <w:lvl w:ilvl="0">
      <w:lvlJc w:val="left"/>
      <w:lvlText w:val="$"/>
      <w:numFmt w:val="bullet"/>
      <w:start w:val="1"/>
    </w:lvl>
  </w:abstractNum>
  <w:abstractNum w:abstractNumId="42">
    <w:nsid w:val="19E21BB2"/>
    <w:multiLevelType w:val="hybridMultilevel"/>
    <w:lvl w:ilvl="0">
      <w:lvlJc w:val="left"/>
      <w:lvlText w:val="•"/>
      <w:numFmt w:val="bullet"/>
      <w:start w:val="1"/>
    </w:lvl>
  </w:abstractNum>
  <w:abstractNum w:abstractNumId="43">
    <w:nsid w:val="75E0858A"/>
    <w:multiLevelType w:val="hybridMultilevel"/>
    <w:lvl w:ilvl="0">
      <w:lvlJc w:val="left"/>
      <w:lvlText w:val="•"/>
      <w:numFmt w:val="bullet"/>
      <w:start w:val="1"/>
    </w:lvl>
    <w:lvl w:ilvl="1">
      <w:lvlJc w:val="left"/>
      <w:lvlText w:val="◦"/>
      <w:numFmt w:val="bullet"/>
      <w:start w:val="1"/>
    </w:lvl>
  </w:abstractNum>
  <w:abstractNum w:abstractNumId="44">
    <w:nsid w:val="57A61A29"/>
    <w:multiLevelType w:val="hybridMultilevel"/>
    <w:lvl w:ilvl="0">
      <w:lvlJc w:val="left"/>
      <w:lvlText w:val="(%1)"/>
      <w:numFmt w:val="decimal"/>
      <w:start w:val="1"/>
    </w:lvl>
  </w:abstractNum>
  <w:abstractNum w:abstractNumId="45">
    <w:nsid w:val="5399C654"/>
    <w:multiLevelType w:val="hybridMultilevel"/>
    <w:lvl w:ilvl="0">
      <w:lvlJc w:val="left"/>
      <w:lvlText w:val="•"/>
      <w:numFmt w:val="bullet"/>
      <w:start w:val="1"/>
    </w:lvl>
  </w:abstractNum>
  <w:abstractNum w:abstractNumId="46">
    <w:nsid w:val="20EE1348"/>
    <w:multiLevelType w:val="hybridMultilevel"/>
    <w:lvl w:ilvl="0">
      <w:lvlJc w:val="left"/>
      <w:lvlText w:val="•"/>
      <w:numFmt w:val="bullet"/>
      <w:start w:val="1"/>
    </w:lvl>
    <w:lvl w:ilvl="1">
      <w:lvlJc w:val="left"/>
      <w:lvlText w:val="◦"/>
      <w:numFmt w:val="bullet"/>
      <w:start w:val="1"/>
    </w:lvl>
  </w:abstractNum>
  <w:abstractNum w:abstractNumId="47">
    <w:nsid w:val="4427069A"/>
    <w:multiLevelType w:val="hybridMultilevel"/>
    <w:lvl w:ilvl="0">
      <w:lvlJc w:val="left"/>
      <w:lvlText w:val="$"/>
      <w:numFmt w:val="bullet"/>
      <w:start w:val="1"/>
    </w:lvl>
  </w:abstractNum>
  <w:abstractNum w:abstractNumId="48">
    <w:nsid w:val="B37E80A"/>
    <w:multiLevelType w:val="hybridMultilevel"/>
    <w:lvl w:ilvl="0">
      <w:lvlJc w:val="left"/>
      <w:lvlText w:val="$"/>
      <w:numFmt w:val="bullet"/>
      <w:start w:val="1"/>
    </w:lvl>
  </w:abstractNum>
  <w:abstractNum w:abstractNumId="49">
    <w:nsid w:val="2157F6BC"/>
    <w:multiLevelType w:val="hybridMultilevel"/>
    <w:lvl w:ilvl="0">
      <w:lvlJc w:val="left"/>
      <w:lvlText w:val="•"/>
      <w:numFmt w:val="bullet"/>
      <w:start w:val="1"/>
    </w:lvl>
  </w:abstractNum>
  <w:abstractNum w:abstractNumId="50">
    <w:nsid w:val="704E1DD5"/>
    <w:multiLevelType w:val="hybridMultilevel"/>
    <w:lvl w:ilvl="0">
      <w:lvlJc w:val="left"/>
      <w:lvlText w:val="•"/>
      <w:numFmt w:val="bullet"/>
      <w:start w:val="1"/>
    </w:lvl>
    <w:lvl w:ilvl="1">
      <w:lvlJc w:val="left"/>
      <w:lvlText w:val="◦"/>
      <w:numFmt w:val="bullet"/>
      <w:start w:val="1"/>
    </w:lvl>
  </w:abstractNum>
  <w:abstractNum w:abstractNumId="51">
    <w:nsid w:val="57D2F10E"/>
    <w:multiLevelType w:val="hybridMultilevel"/>
    <w:lvl w:ilvl="0">
      <w:lvlJc w:val="left"/>
      <w:lvlText w:val="(%1)"/>
      <w:numFmt w:val="decimal"/>
      <w:start w:val="1"/>
    </w:lvl>
  </w:abstractNum>
  <w:abstractNum w:abstractNumId="52">
    <w:nsid w:val="BFFAE18"/>
    <w:multiLevelType w:val="hybridMultilevel"/>
    <w:lvl w:ilvl="0">
      <w:lvlJc w:val="left"/>
      <w:lvlText w:val="(%1)"/>
      <w:numFmt w:val="decimal"/>
      <w:start w:val="2"/>
    </w:lvl>
  </w:abstractNum>
  <w:abstractNum w:abstractNumId="53">
    <w:nsid w:val="E3E47A8"/>
    <w:multiLevelType w:val="hybridMultilevel"/>
    <w:lvl w:ilvl="0">
      <w:lvlJc w:val="left"/>
      <w:lvlText w:val="(%1)"/>
      <w:numFmt w:val="decimal"/>
      <w:start w:val="3"/>
    </w:lvl>
  </w:abstractNum>
  <w:abstractNum w:abstractNumId="54">
    <w:nsid w:val="2E48F044"/>
    <w:multiLevelType w:val="hybridMultilevel"/>
    <w:lvl w:ilvl="0">
      <w:lvlJc w:val="left"/>
      <w:lvlText w:val="•"/>
      <w:numFmt w:val="bullet"/>
      <w:start w:val="1"/>
    </w:lvl>
  </w:abstractNum>
  <w:abstractNum w:abstractNumId="55">
    <w:nsid w:val="49D0FEAC"/>
    <w:multiLevelType w:val="hybridMultilevel"/>
    <w:lvl w:ilvl="0">
      <w:lvlJc w:val="left"/>
      <w:lvlText w:val="•"/>
      <w:numFmt w:val="bullet"/>
      <w:start w:val="1"/>
    </w:lvl>
  </w:abstractNum>
  <w:abstractNum w:abstractNumId="56">
    <w:nsid w:val="4BEE5A5B"/>
    <w:multiLevelType w:val="hybridMultilevel"/>
    <w:lvl w:ilvl="0">
      <w:lvlJc w:val="left"/>
      <w:lvlText w:val="*"/>
      <w:numFmt w:val="bullet"/>
      <w:start w:val="1"/>
    </w:lvl>
  </w:abstractNum>
  <w:abstractNum w:abstractNumId="57">
    <w:nsid w:val="5551B9F3"/>
    <w:multiLevelType w:val="hybridMultilevel"/>
    <w:lvl w:ilvl="0">
      <w:lvlJc w:val="left"/>
      <w:lvlText w:val="*"/>
      <w:numFmt w:val="bullet"/>
      <w:start w:val="1"/>
    </w:lvl>
  </w:abstractNum>
  <w:abstractNum w:abstractNumId="58">
    <w:nsid w:val="24F6AB8E"/>
    <w:multiLevelType w:val="hybridMultilevel"/>
    <w:lvl w:ilvl="0">
      <w:lvlJc w:val="left"/>
      <w:lvlText w:val="•"/>
      <w:numFmt w:val="bullet"/>
      <w:start w:val="1"/>
    </w:lvl>
  </w:abstractNum>
  <w:abstractNum w:abstractNumId="59">
    <w:nsid w:val="634C574C"/>
    <w:multiLevelType w:val="hybridMultilevel"/>
    <w:lvl w:ilvl="0">
      <w:lvlJc w:val="left"/>
      <w:lvlText w:val="•"/>
      <w:numFmt w:val="bullet"/>
      <w:start w:val="1"/>
    </w:lvl>
  </w:abstractNum>
  <w:abstractNum w:abstractNumId="60">
    <w:nsid w:val="24E99DD7"/>
    <w:multiLevelType w:val="hybridMultilevel"/>
    <w:lvl w:ilvl="0">
      <w:lvlJc w:val="left"/>
      <w:lvlText w:val="•"/>
      <w:numFmt w:val="bullet"/>
      <w:start w:val="1"/>
    </w:lvl>
  </w:abstractNum>
  <w:abstractNum w:abstractNumId="61">
    <w:nsid w:val="2A31B62D"/>
    <w:multiLevelType w:val="hybridMultilevel"/>
    <w:lvl w:ilvl="0">
      <w:lvlJc w:val="left"/>
      <w:lvlText w:val="•"/>
      <w:numFmt w:val="bullet"/>
      <w:start w:val="1"/>
    </w:lvl>
  </w:abstractNum>
  <w:abstractNum w:abstractNumId="62">
    <w:nsid w:val="1849C29B"/>
    <w:multiLevelType w:val="hybridMultilevel"/>
    <w:lvl w:ilvl="0">
      <w:lvlJc w:val="left"/>
      <w:lvlText w:val="•"/>
      <w:numFmt w:val="bullet"/>
      <w:start w:val="1"/>
    </w:lvl>
  </w:abstractNum>
  <w:abstractNum w:abstractNumId="63">
    <w:nsid w:val="7DFF9D09"/>
    <w:multiLevelType w:val="hybridMultilevel"/>
    <w:lvl w:ilvl="0">
      <w:lvlJc w:val="left"/>
      <w:lvlText w:val="•"/>
      <w:numFmt w:val="bullet"/>
      <w:start w:val="1"/>
    </w:lvl>
  </w:abstractNum>
  <w:abstractNum w:abstractNumId="64">
    <w:nsid w:val="754342"/>
    <w:multiLevelType w:val="hybridMultilevel"/>
    <w:lvl w:ilvl="0">
      <w:lvlJc w:val="left"/>
      <w:lvlText w:val="•"/>
      <w:numFmt w:val="bullet"/>
      <w:start w:val="1"/>
    </w:lvl>
  </w:abstractNum>
  <w:abstractNum w:abstractNumId="65">
    <w:nsid w:val="69E7F3E5"/>
    <w:multiLevelType w:val="hybridMultilevel"/>
    <w:lvl w:ilvl="0">
      <w:lvlJc w:val="left"/>
      <w:lvlText w:val="%1."/>
      <w:numFmt w:val="decimal"/>
      <w:start w:val="1"/>
    </w:lvl>
  </w:abstractNum>
  <w:abstractNum w:abstractNumId="66">
    <w:nsid w:val="2A6DE806"/>
    <w:multiLevelType w:val="hybridMultilevel"/>
    <w:lvl w:ilvl="0">
      <w:lvlJc w:val="left"/>
      <w:lvlText w:val="•"/>
      <w:numFmt w:val="bullet"/>
      <w:start w:val="1"/>
    </w:lvl>
  </w:abstractNum>
  <w:abstractNum w:abstractNumId="67">
    <w:nsid w:val="1816F8C4"/>
    <w:multiLevelType w:val="hybridMultilevel"/>
    <w:lvl w:ilvl="0">
      <w:lvlJc w:val="left"/>
      <w:lvlText w:val="•"/>
      <w:numFmt w:val="bullet"/>
      <w:start w:val="1"/>
    </w:lvl>
  </w:abstractNum>
  <w:abstractNum w:abstractNumId="68">
    <w:nsid w:val="37DF2233"/>
    <w:multiLevelType w:val="hybridMultilevel"/>
    <w:lvl w:ilvl="0">
      <w:lvlJc w:val="left"/>
      <w:lvlText w:val="•"/>
      <w:numFmt w:val="bullet"/>
      <w:start w:val="1"/>
    </w:lvl>
  </w:abstractNum>
  <w:abstractNum w:abstractNumId="69">
    <w:nsid w:val="7AB49DAF"/>
    <w:multiLevelType w:val="hybridMultilevel"/>
    <w:lvl w:ilvl="0">
      <w:lvlJc w:val="left"/>
      <w:lvlText w:val="•"/>
      <w:numFmt w:val="bullet"/>
      <w:start w:val="1"/>
    </w:lvl>
  </w:abstractNum>
  <w:abstractNum w:abstractNumId="70">
    <w:nsid w:val="759F82CD"/>
    <w:multiLevelType w:val="hybridMultilevel"/>
    <w:lvl w:ilvl="0">
      <w:lvlJc w:val="left"/>
      <w:lvlText w:val="•"/>
      <w:numFmt w:val="bullet"/>
      <w:start w:val="1"/>
    </w:lvl>
  </w:abstractNum>
  <w:abstractNum w:abstractNumId="71">
    <w:nsid w:val="61E74EA3"/>
    <w:multiLevelType w:val="hybridMultilevel"/>
    <w:lvl w:ilvl="0">
      <w:lvlJc w:val="left"/>
      <w:lvlText w:val="•"/>
      <w:numFmt w:val="bullet"/>
      <w:start w:val="1"/>
    </w:lvl>
  </w:abstractNum>
  <w:abstractNum w:abstractNumId="72">
    <w:nsid w:val="597B4D84"/>
    <w:multiLevelType w:val="hybridMultilevel"/>
    <w:lvl w:ilvl="0">
      <w:lvlJc w:val="left"/>
      <w:lvlText w:val="•"/>
      <w:numFmt w:val="bullet"/>
      <w:start w:val="1"/>
    </w:lvl>
  </w:abstractNum>
  <w:abstractNum w:abstractNumId="73">
    <w:nsid w:val="F819E7F"/>
    <w:multiLevelType w:val="hybridMultilevel"/>
    <w:lvl w:ilvl="0">
      <w:lvlJc w:val="left"/>
      <w:lvlText w:val="•"/>
      <w:numFmt w:val="bullet"/>
      <w:start w:val="1"/>
    </w:lvl>
  </w:abstractNum>
  <w:abstractNum w:abstractNumId="74">
    <w:nsid w:val="57C7D42D"/>
    <w:multiLevelType w:val="hybridMultilevel"/>
    <w:lvl w:ilvl="0">
      <w:lvlJc w:val="left"/>
      <w:lvlText w:val="•"/>
      <w:numFmt w:val="bullet"/>
      <w:start w:val="1"/>
    </w:lvl>
  </w:abstractNum>
  <w:abstractNum w:abstractNumId="75">
    <w:nsid w:val="312167AD"/>
    <w:multiLevelType w:val="hybridMultilevel"/>
    <w:lvl w:ilvl="0">
      <w:lvlJc w:val="left"/>
      <w:lvlText w:val="•"/>
      <w:numFmt w:val="bullet"/>
      <w:start w:val="1"/>
    </w:lvl>
  </w:abstractNum>
  <w:abstractNum w:abstractNumId="76">
    <w:nsid w:val="631B64D4"/>
    <w:multiLevelType w:val="hybridMultilevel"/>
    <w:lvl w:ilvl="0">
      <w:lvlJc w:val="left"/>
      <w:lvlText w:val="•"/>
      <w:numFmt w:val="bullet"/>
      <w:start w:val="1"/>
    </w:lvl>
  </w:abstractNum>
  <w:abstractNum w:abstractNumId="77">
    <w:nsid w:val="78B5E776"/>
    <w:multiLevelType w:val="hybridMultilevel"/>
    <w:lvl w:ilvl="0">
      <w:lvlJc w:val="left"/>
      <w:lvlText w:val="•"/>
      <w:numFmt w:val="bullet"/>
      <w:start w:val="1"/>
    </w:lvl>
  </w:abstractNum>
  <w:abstractNum w:abstractNumId="78">
    <w:nsid w:val="75486E47"/>
    <w:multiLevelType w:val="hybridMultilevel"/>
    <w:lvl w:ilvl="0">
      <w:lvlJc w:val="left"/>
      <w:lvlText w:val="•"/>
      <w:numFmt w:val="bullet"/>
      <w:start w:val="1"/>
    </w:lvl>
  </w:abstractNum>
  <w:abstractNum w:abstractNumId="79">
    <w:nsid w:val="6E534CDE"/>
    <w:multiLevelType w:val="hybridMultilevel"/>
    <w:lvl w:ilvl="0">
      <w:lvlJc w:val="left"/>
      <w:lvlText w:val="(%1)"/>
      <w:numFmt w:val="decimal"/>
      <w:start w:val="1"/>
    </w:lvl>
  </w:abstractNum>
  <w:abstractNum w:abstractNumId="80">
    <w:nsid w:val="1A0DDE32"/>
    <w:multiLevelType w:val="hybridMultilevel"/>
    <w:lvl w:ilvl="0">
      <w:lvlJc w:val="left"/>
      <w:lvlText w:val="•"/>
      <w:numFmt w:val="bullet"/>
      <w:start w:val="1"/>
    </w:lvl>
  </w:abstractNum>
  <w:abstractNum w:abstractNumId="81">
    <w:nsid w:val="65968C1C"/>
    <w:multiLevelType w:val="hybridMultilevel"/>
    <w:lvl w:ilvl="0">
      <w:lvlJc w:val="left"/>
      <w:lvlText w:val="•"/>
      <w:numFmt w:val="bullet"/>
      <w:start w:val="1"/>
    </w:lvl>
  </w:abstractNum>
  <w:abstractNum w:abstractNumId="82">
    <w:nsid w:val="46263DEC"/>
    <w:multiLevelType w:val="hybridMultilevel"/>
    <w:lvl w:ilvl="0">
      <w:lvlJc w:val="left"/>
      <w:lvlText w:val="•"/>
      <w:numFmt w:val="bullet"/>
      <w:start w:val="1"/>
    </w:lvl>
  </w:abstractNum>
  <w:abstractNum w:abstractNumId="83">
    <w:nsid w:val="260D8C4A"/>
    <w:multiLevelType w:val="hybridMultilevel"/>
    <w:lvl w:ilvl="0">
      <w:lvlJc w:val="left"/>
      <w:lvlText w:val="(%1)"/>
      <w:numFmt w:val="decimal"/>
      <w:start w:val="1"/>
    </w:lvl>
  </w:abstractNum>
  <w:abstractNum w:abstractNumId="84">
    <w:nsid w:val="73D4D3C4"/>
    <w:multiLevelType w:val="hybridMultilevel"/>
    <w:lvl w:ilvl="0">
      <w:lvlJc w:val="left"/>
      <w:lvlText w:val="(%1)"/>
      <w:numFmt w:val="decimal"/>
      <w:start w:val="1"/>
    </w:lvl>
  </w:abstractNum>
  <w:abstractNum w:abstractNumId="85">
    <w:nsid w:val="746F2E30"/>
    <w:multiLevelType w:val="hybridMultilevel"/>
    <w:lvl w:ilvl="0">
      <w:lvlJc w:val="left"/>
      <w:lvlText w:val="•"/>
      <w:numFmt w:val="bullet"/>
      <w:start w:val="1"/>
    </w:lvl>
  </w:abstractNum>
  <w:abstractNum w:abstractNumId="86">
    <w:nsid w:val="6FDE8AF6"/>
    <w:multiLevelType w:val="hybridMultilevel"/>
    <w:lvl w:ilvl="0">
      <w:lvlJc w:val="left"/>
      <w:lvlText w:val="•"/>
      <w:numFmt w:val="bullet"/>
      <w:start w:val="1"/>
    </w:lvl>
  </w:abstractNum>
  <w:abstractNum w:abstractNumId="87">
    <w:nsid w:val="3FC32E20"/>
    <w:multiLevelType w:val="hybridMultilevel"/>
    <w:lvl w:ilvl="0">
      <w:lvlJc w:val="left"/>
      <w:lvlText w:val="(%1)"/>
      <w:numFmt w:val="decimal"/>
      <w:start w:val="1"/>
    </w:lvl>
  </w:abstractNum>
  <w:abstractNum w:abstractNumId="88">
    <w:nsid w:val="49C0E823"/>
    <w:multiLevelType w:val="hybridMultilevel"/>
    <w:lvl w:ilvl="0">
      <w:lvlJc w:val="left"/>
      <w:lvlText w:val="(%1)"/>
      <w:numFmt w:val="decimal"/>
      <w:start w:val="1"/>
    </w:lvl>
  </w:abstractNum>
  <w:abstractNum w:abstractNumId="89">
    <w:nsid w:val="14D53685"/>
    <w:multiLevelType w:val="hybridMultilevel"/>
    <w:lvl w:ilvl="0">
      <w:lvlJc w:val="left"/>
      <w:lvlText w:val="•"/>
      <w:numFmt w:val="bullet"/>
      <w:start w:val="1"/>
    </w:lvl>
  </w:abstractNum>
  <w:abstractNum w:abstractNumId="90">
    <w:nsid w:val="230F856C"/>
    <w:multiLevelType w:val="hybridMultilevel"/>
    <w:lvl w:ilvl="0">
      <w:lvlJc w:val="left"/>
      <w:lvlText w:val="•"/>
      <w:numFmt w:val="bullet"/>
      <w:start w:val="1"/>
    </w:lvl>
  </w:abstractNum>
  <w:abstractNum w:abstractNumId="91">
    <w:nsid w:val="6EAA85FB"/>
    <w:multiLevelType w:val="hybridMultilevel"/>
    <w:lvl w:ilvl="0">
      <w:lvlJc w:val="left"/>
      <w:lvlText w:val="•"/>
      <w:numFmt w:val="bullet"/>
      <w:start w:val="1"/>
    </w:lvl>
  </w:abstractNum>
  <w:abstractNum w:abstractNumId="92">
    <w:nsid w:val="3F06ECB2"/>
    <w:multiLevelType w:val="hybridMultilevel"/>
    <w:lvl w:ilvl="0">
      <w:lvlJc w:val="left"/>
      <w:lvlText w:val="(%1)"/>
      <w:numFmt w:val="decimal"/>
      <w:start w:val="10"/>
    </w:lvl>
  </w:abstractNum>
  <w:abstractNum w:abstractNumId="93">
    <w:nsid w:val="3B594807"/>
    <w:multiLevelType w:val="hybridMultilevel"/>
    <w:lvl w:ilvl="0">
      <w:lvlJc w:val="left"/>
      <w:lvlText w:val="•"/>
      <w:numFmt w:val="bullet"/>
      <w:start w:val="1"/>
    </w:lvl>
  </w:abstractNum>
  <w:abstractNum w:abstractNumId="94">
    <w:nsid w:val="6CAA2304"/>
    <w:multiLevelType w:val="hybridMultilevel"/>
    <w:lvl w:ilvl="0">
      <w:lvlJc w:val="left"/>
      <w:lvlText w:val="•"/>
      <w:numFmt w:val="bullet"/>
      <w:start w:val="1"/>
    </w:lvl>
  </w:abstractNum>
  <w:abstractNum w:abstractNumId="95">
    <w:nsid w:val="3F7C2FF4"/>
    <w:multiLevelType w:val="hybridMultilevel"/>
    <w:lvl w:ilvl="0">
      <w:lvlJc w:val="left"/>
      <w:lvlText w:val="(%1)"/>
      <w:numFmt w:val="decimal"/>
      <w:start w:val="1"/>
    </w:lvl>
  </w:abstractNum>
  <w:abstractNum w:abstractNumId="96">
    <w:nsid w:val="25413BEC"/>
    <w:multiLevelType w:val="hybridMultilevel"/>
    <w:lvl w:ilvl="0">
      <w:lvlJc w:val="left"/>
      <w:lvlText w:val="(%1)"/>
      <w:numFmt w:val="decimal"/>
      <w:start w:val="1"/>
    </w:lvl>
  </w:abstractNum>
  <w:abstractNum w:abstractNumId="97">
    <w:nsid w:val="17180B0B"/>
    <w:multiLevelType w:val="hybridMultilevel"/>
    <w:lvl w:ilvl="0">
      <w:lvlJc w:val="left"/>
      <w:lvlText w:val="(%1)"/>
      <w:numFmt w:val="decimal"/>
      <w:start w:val="1"/>
    </w:lvl>
  </w:abstractNum>
  <w:abstractNum w:abstractNumId="98">
    <w:nsid w:val="579328B9"/>
    <w:multiLevelType w:val="hybridMultilevel"/>
    <w:lvl w:ilvl="0">
      <w:lvlJc w:val="left"/>
      <w:lvlText w:val="(%1)"/>
      <w:numFmt w:val="decimal"/>
      <w:start w:val="1"/>
    </w:lvl>
  </w:abstractNum>
  <w:abstractNum w:abstractNumId="99">
    <w:nsid w:val="5D205E20"/>
    <w:multiLevelType w:val="hybridMultilevel"/>
    <w:lvl w:ilvl="0">
      <w:lvlJc w:val="left"/>
      <w:lvlText w:val="(%1)"/>
      <w:numFmt w:val="decimal"/>
      <w:start w:val="1"/>
    </w:lvl>
  </w:abstractNum>
  <w:abstractNum w:abstractNumId="100">
    <w:nsid w:val="11CCA8BA"/>
    <w:multiLevelType w:val="hybridMultilevel"/>
    <w:lvl w:ilvl="0">
      <w:lvlJc w:val="left"/>
      <w:lvlText w:val="(%1)"/>
      <w:numFmt w:val="decimal"/>
      <w:start w:val="2"/>
    </w:lvl>
  </w:abstractNum>
  <w:abstractNum w:abstractNumId="101">
    <w:nsid w:val="4D32AB86"/>
    <w:multiLevelType w:val="hybridMultilevel"/>
    <w:lvl w:ilvl="0">
      <w:lvlJc w:val="left"/>
      <w:lvlText w:val="•"/>
      <w:numFmt w:val="bullet"/>
      <w:start w:val="1"/>
    </w:lvl>
  </w:abstractNum>
  <w:abstractNum w:abstractNumId="102">
    <w:nsid w:val="3F07ACC3"/>
    <w:multiLevelType w:val="hybridMultilevel"/>
    <w:lvl w:ilvl="0">
      <w:lvlJc w:val="left"/>
      <w:lvlText w:val="•"/>
      <w:numFmt w:val="bullet"/>
      <w:start w:val="1"/>
    </w:lvl>
  </w:abstractNum>
  <w:abstractNum w:abstractNumId="103">
    <w:nsid w:val="6B47F63E"/>
    <w:multiLevelType w:val="hybridMultilevel"/>
    <w:lvl w:ilvl="0">
      <w:lvlJc w:val="left"/>
      <w:lvlText w:val="•"/>
      <w:numFmt w:val="bullet"/>
      <w:start w:val="1"/>
    </w:lvl>
  </w:abstractNum>
  <w:abstractNum w:abstractNumId="104">
    <w:nsid w:val="5CB44A05"/>
    <w:multiLevelType w:val="hybridMultilevel"/>
    <w:lvl w:ilvl="0">
      <w:lvlJc w:val="left"/>
      <w:lvlText w:val="†"/>
      <w:numFmt w:val="bullet"/>
      <w:start w:val="1"/>
    </w:lvl>
  </w:abstractNum>
  <w:abstractNum w:abstractNumId="105">
    <w:nsid w:val="16CF80F1"/>
    <w:multiLevelType w:val="hybridMultilevel"/>
    <w:lvl w:ilvl="0">
      <w:lvlJc w:val="left"/>
      <w:lvlText w:val="#"/>
      <w:numFmt w:val="bullet"/>
      <w:start w:val="1"/>
    </w:lvl>
  </w:abstractNum>
  <w:abstractNum w:abstractNumId="106">
    <w:nsid w:val="1C695DEC"/>
    <w:multiLevelType w:val="hybridMultilevel"/>
    <w:lvl w:ilvl="0">
      <w:lvlJc w:val="left"/>
      <w:lvlText w:val="*"/>
      <w:numFmt w:val="bullet"/>
      <w:start w:val="1"/>
    </w:lvl>
  </w:abstractNum>
  <w:abstractNum w:abstractNumId="107">
    <w:nsid w:val="3FCFAED9"/>
    <w:multiLevelType w:val="hybridMultilevel"/>
    <w:lvl w:ilvl="0">
      <w:lvlJc w:val="left"/>
      <w:lvlText w:val="(%1)"/>
      <w:numFmt w:val="decimal"/>
      <w:start w:val="1"/>
    </w:lvl>
  </w:abstractNum>
  <w:abstractNum w:abstractNumId="108">
    <w:nsid w:val="F856867"/>
    <w:multiLevelType w:val="hybridMultilevel"/>
    <w:lvl w:ilvl="0">
      <w:lvlJc w:val="left"/>
      <w:lvlText w:val="(%1)"/>
      <w:numFmt w:val="decimal"/>
      <w:start w:val="8"/>
    </w:lvl>
  </w:abstractNum>
  <w:abstractNum w:abstractNumId="109">
    <w:nsid w:val="11B1CC33"/>
    <w:multiLevelType w:val="hybridMultilevel"/>
    <w:lvl w:ilvl="0">
      <w:lvlJc w:val="left"/>
      <w:lvlText w:val="•"/>
      <w:numFmt w:val="bullet"/>
      <w:start w:val="1"/>
    </w:lvl>
  </w:abstractNum>
  <w:abstractNum w:abstractNumId="110">
    <w:nsid w:val="2E22FBB7"/>
    <w:multiLevelType w:val="hybridMultilevel"/>
    <w:lvl w:ilvl="0">
      <w:lvlJc w:val="left"/>
      <w:lvlText w:val="•"/>
      <w:numFmt w:val="bullet"/>
      <w:start w:val="1"/>
    </w:lvl>
  </w:abstractNum>
  <w:abstractNum w:abstractNumId="111">
    <w:nsid w:val="29934699"/>
    <w:multiLevelType w:val="hybridMultilevel"/>
    <w:lvl w:ilvl="0">
      <w:lvlJc w:val="left"/>
      <w:lvlText w:val="•"/>
      <w:numFmt w:val="bullet"/>
      <w:start w:val="1"/>
    </w:lvl>
  </w:abstractNum>
  <w:abstractNum w:abstractNumId="112">
    <w:nsid w:val="77485850"/>
    <w:multiLevelType w:val="hybridMultilevel"/>
    <w:lvl w:ilvl="0">
      <w:lvlJc w:val="left"/>
      <w:lvlText w:val="•"/>
      <w:numFmt w:val="bullet"/>
      <w:start w:val="1"/>
    </w:lvl>
  </w:abstractNum>
  <w:abstractNum w:abstractNumId="113">
    <w:nsid w:val="744939A3"/>
    <w:multiLevelType w:val="hybridMultilevel"/>
    <w:lvl w:ilvl="0">
      <w:lvlJc w:val="left"/>
      <w:lvlText w:val="•"/>
      <w:numFmt w:val="bullet"/>
      <w:start w:val="1"/>
    </w:lvl>
  </w:abstractNum>
  <w:abstractNum w:abstractNumId="114">
    <w:nsid w:val="4FA0D2E3"/>
    <w:multiLevelType w:val="hybridMultilevel"/>
    <w:lvl w:ilvl="0">
      <w:lvlJc w:val="left"/>
      <w:lvlText w:val="•"/>
      <w:numFmt w:val="bullet"/>
      <w:start w:val="1"/>
    </w:lvl>
  </w:abstractNum>
  <w:abstractNum w:abstractNumId="115">
    <w:nsid w:val="6B1D2C14"/>
    <w:multiLevelType w:val="hybridMultilevel"/>
    <w:lvl w:ilvl="0">
      <w:lvlJc w:val="left"/>
      <w:lvlText w:val="•"/>
      <w:numFmt w:val="bullet"/>
      <w:start w:val="1"/>
    </w:lvl>
  </w:abstractNum>
  <w:abstractNum w:abstractNumId="116">
    <w:nsid w:val="68B867D3"/>
    <w:multiLevelType w:val="hybridMultilevel"/>
    <w:lvl w:ilvl="0">
      <w:lvlJc w:val="left"/>
      <w:lvlText w:val="•"/>
      <w:numFmt w:val="bullet"/>
      <w:start w:val="1"/>
    </w:lvl>
  </w:abstractNum>
  <w:abstractNum w:abstractNumId="117">
    <w:nsid w:val="3F7F5DD9"/>
    <w:multiLevelType w:val="hybridMultilevel"/>
    <w:lvl w:ilvl="0">
      <w:lvlJc w:val="left"/>
      <w:lvlText w:val="(%1)"/>
      <w:numFmt w:val="lowerRoman"/>
      <w:start w:val="5"/>
    </w:lvl>
  </w:abstractNum>
  <w:abstractNum w:abstractNumId="118">
    <w:nsid w:val="2AE05A34"/>
    <w:multiLevelType w:val="hybridMultilevel"/>
    <w:lvl w:ilvl="0">
      <w:lvlJc w:val="left"/>
      <w:lvlText w:val="•"/>
      <w:numFmt w:val="bullet"/>
      <w:start w:val="1"/>
    </w:lvl>
  </w:abstractNum>
  <w:abstractNum w:abstractNumId="119">
    <w:nsid w:val="32794FF7"/>
    <w:multiLevelType w:val="hybridMultilevel"/>
    <w:lvl w:ilvl="0">
      <w:lvlJc w:val="left"/>
      <w:lvlText w:val="%1."/>
      <w:numFmt w:val="lowerLetter"/>
      <w:start w:val="1"/>
    </w:lvl>
  </w:abstractNum>
  <w:abstractNum w:abstractNumId="120">
    <w:nsid w:val="5454945E"/>
    <w:multiLevelType w:val="hybridMultilevel"/>
    <w:lvl w:ilvl="0">
      <w:lvlJc w:val="left"/>
      <w:lvlText w:val="•"/>
      <w:numFmt w:val="bullet"/>
      <w:start w:val="1"/>
    </w:lvl>
  </w:abstractNum>
  <w:abstractNum w:abstractNumId="121">
    <w:nsid w:val="4DEFDFA0"/>
    <w:multiLevelType w:val="hybridMultilevel"/>
    <w:lvl w:ilvl="0">
      <w:lvlJc w:val="left"/>
      <w:lvlText w:val="%1."/>
      <w:numFmt w:val="lowerLetter"/>
      <w:start w:val="1"/>
    </w:lvl>
  </w:abstractNum>
  <w:abstractNum w:abstractNumId="122">
    <w:nsid w:val="2123D5F2"/>
    <w:multiLevelType w:val="hybridMultilevel"/>
    <w:lvl w:ilvl="0">
      <w:lvlJc w:val="left"/>
      <w:lvlText w:val="%1."/>
      <w:numFmt w:val="lowerLetter"/>
      <w:start w:val="1"/>
    </w:lvl>
  </w:abstractNum>
  <w:abstractNum w:abstractNumId="123">
    <w:nsid w:val="135B8110"/>
    <w:multiLevelType w:val="hybridMultilevel"/>
    <w:lvl w:ilvl="0">
      <w:lvlJc w:val="left"/>
      <w:lvlText w:val="%1."/>
      <w:numFmt w:val="lowerLetter"/>
      <w:start w:val="2"/>
    </w:lvl>
  </w:abstractNum>
  <w:abstractNum w:abstractNumId="124">
    <w:nsid w:val="94927A8"/>
    <w:multiLevelType w:val="hybridMultilevel"/>
    <w:lvl w:ilvl="0">
      <w:lvlJc w:val="left"/>
      <w:lvlText w:val="(%1)"/>
      <w:numFmt w:val="lowerRoman"/>
      <w:start w:val="1"/>
    </w:lvl>
  </w:abstractNum>
  <w:abstractNum w:abstractNumId="125">
    <w:nsid w:val="DCDF8F6"/>
    <w:multiLevelType w:val="hybridMultilevel"/>
    <w:lvl w:ilvl="0">
      <w:lvlJc w:val="left"/>
      <w:lvlText w:val="%1."/>
      <w:numFmt w:val="decimal"/>
      <w:start w:val="1"/>
    </w:lvl>
  </w:abstractNum>
  <w:abstractNum w:abstractNumId="126">
    <w:nsid w:val="52D7B105"/>
    <w:multiLevelType w:val="hybridMultilevel"/>
    <w:lvl w:ilvl="0">
      <w:lvlJc w:val="left"/>
      <w:lvlText w:val="%1."/>
      <w:numFmt w:val="decimal"/>
      <w:start w:val="2"/>
    </w:lvl>
  </w:abstractNum>
  <w:abstractNum w:abstractNumId="127">
    <w:nsid w:val="2E8A6394"/>
    <w:multiLevelType w:val="hybridMultilevel"/>
    <w:lvl w:ilvl="0">
      <w:lvlJc w:val="left"/>
      <w:lvlText w:val="%1."/>
      <w:numFmt w:val="decimal"/>
      <w:start w:val="12"/>
    </w:lvl>
  </w:abstractNum>
  <w:abstractNum w:abstractNumId="128">
    <w:nsid w:val="24E60401"/>
    <w:multiLevelType w:val="hybridMultilevel"/>
    <w:lvl w:ilvl="0">
      <w:lvlJc w:val="left"/>
      <w:lvlText w:val="%1."/>
      <w:numFmt w:val="decimal"/>
      <w:start w:val="3"/>
    </w:lvl>
  </w:abstractNum>
  <w:abstractNum w:abstractNumId="129">
    <w:nsid w:val="2A6AD9BE"/>
    <w:multiLevelType w:val="hybridMultilevel"/>
    <w:lvl w:ilvl="0">
      <w:lvlJc w:val="left"/>
      <w:lvlText w:val="%1."/>
      <w:numFmt w:val="decimal"/>
      <w:start w:val="5"/>
    </w:lvl>
  </w:abstractNum>
  <w:abstractNum w:abstractNumId="130">
    <w:nsid w:val="BAAC1B4"/>
    <w:multiLevelType w:val="hybridMultilevel"/>
    <w:lvl w:ilvl="0">
      <w:lvlJc w:val="left"/>
      <w:lvlText w:val="%1."/>
      <w:numFmt w:val="decimal"/>
      <w:start w:val="6"/>
    </w:lvl>
  </w:abstractNum>
  <w:abstractNum w:abstractNumId="131">
    <w:nsid w:val="36B2ACBC"/>
    <w:multiLevelType w:val="hybridMultilevel"/>
    <w:lvl w:ilvl="0">
      <w:lvlJc w:val="left"/>
      <w:lvlText w:val="%1."/>
      <w:numFmt w:val="decimal"/>
      <w:start w:val="7"/>
    </w:lvl>
  </w:abstractNum>
  <w:abstractNum w:abstractNumId="132">
    <w:nsid w:val="779D8544"/>
    <w:multiLevelType w:val="hybridMultilevel"/>
    <w:lvl w:ilvl="0">
      <w:lvlJc w:val="left"/>
      <w:lvlText w:val="%1."/>
      <w:numFmt w:val="decimal"/>
      <w:start w:val="8"/>
    </w:lvl>
  </w:abstractNum>
  <w:abstractNum w:abstractNumId="133">
    <w:nsid w:val="4AB26E78"/>
    <w:multiLevelType w:val="hybridMultilevel"/>
    <w:lvl w:ilvl="0">
      <w:lvlJc w:val="left"/>
      <w:lvlText w:val="%1."/>
      <w:numFmt w:val="decimal"/>
      <w:start w:val="9"/>
    </w:lvl>
  </w:abstractNum>
  <w:abstractNum w:abstractNumId="134">
    <w:nsid w:val="21FAA2FA"/>
    <w:multiLevelType w:val="hybridMultilevel"/>
    <w:lvl w:ilvl="0">
      <w:lvlJc w:val="left"/>
      <w:lvlText w:val="%1."/>
      <w:numFmt w:val="decimal"/>
      <w:start w:val="10"/>
    </w:lvl>
  </w:abstractNum>
  <w:abstractNum w:abstractNumId="135">
    <w:nsid w:val="5451CF49"/>
    <w:multiLevelType w:val="hybridMultilevel"/>
    <w:lvl w:ilvl="0">
      <w:lvlJc w:val="left"/>
      <w:lvlText w:val="%1."/>
      <w:numFmt w:val="decimal"/>
      <w:start w:val="11"/>
    </w:lvl>
  </w:abstractNum>
  <w:abstractNum w:abstractNumId="136">
    <w:nsid w:val="6181EF69"/>
    <w:multiLevelType w:val="hybridMultilevel"/>
    <w:lvl w:ilvl="0">
      <w:lvlJc w:val="left"/>
      <w:lvlText w:val="%1."/>
      <w:numFmt w:val="decimal"/>
      <w:start w:val="12"/>
    </w:lvl>
  </w:abstractNum>
  <w:abstractNum w:abstractNumId="137">
    <w:nsid w:val="3E6400E6"/>
    <w:multiLevelType w:val="hybridMultilevel"/>
    <w:lvl w:ilvl="0">
      <w:lvlJc w:val="left"/>
      <w:lvlText w:val="%1."/>
      <w:numFmt w:val="decimal"/>
      <w:start w:val="13"/>
    </w:lvl>
  </w:abstractNum>
  <w:abstractNum w:abstractNumId="138">
    <w:nsid w:val="14217E23"/>
    <w:multiLevelType w:val="hybridMultilevel"/>
    <w:lvl w:ilvl="0">
      <w:lvlJc w:val="left"/>
      <w:lvlText w:val="%1."/>
      <w:numFmt w:val="decimal"/>
      <w:start w:val="14"/>
    </w:lvl>
  </w:abstractNum>
  <w:abstractNum w:abstractNumId="139">
    <w:nsid w:val="710757D0"/>
    <w:multiLevelType w:val="hybridMultilevel"/>
    <w:lvl w:ilvl="0">
      <w:lvlJc w:val="left"/>
      <w:lvlText w:val="%1."/>
      <w:numFmt w:val="decimal"/>
      <w:start w:val="15"/>
    </w:lvl>
  </w:abstractNum>
  <w:abstractNum w:abstractNumId="140">
    <w:nsid w:val="5015CD1A"/>
    <w:multiLevelType w:val="hybridMultilevel"/>
    <w:lvl w:ilvl="0">
      <w:lvlJc w:val="left"/>
      <w:lvlText w:val="*"/>
      <w:numFmt w:val="bullet"/>
      <w:start w:val="1"/>
    </w:lvl>
  </w:abstractNum>
  <w:abstractNum w:abstractNumId="141">
    <w:nsid w:val="424479DA"/>
    <w:multiLevelType w:val="hybridMultilevel"/>
    <w:lvl w:ilvl="0">
      <w:lvlJc w:val="left"/>
      <w:lvlText w:val="•"/>
      <w:numFmt w:val="bullet"/>
      <w:start w:val="1"/>
    </w:lvl>
  </w:abstractNum>
  <w:abstractNum w:abstractNumId="142">
    <w:nsid w:val="1A9A9E69"/>
    <w:multiLevelType w:val="hybridMultilevel"/>
    <w:lvl w:ilvl="0">
      <w:lvlJc w:val="left"/>
      <w:lvlText w:val="•"/>
      <w:numFmt w:val="bullet"/>
      <w:start w:val="1"/>
    </w:lvl>
  </w:abstractNum>
  <w:abstractNum w:abstractNumId="143">
    <w:nsid w:val="475E256A"/>
    <w:multiLevelType w:val="hybridMultilevel"/>
    <w:lvl w:ilvl="0">
      <w:lvlJc w:val="left"/>
      <w:lvlText w:val="•"/>
      <w:numFmt w:val="bullet"/>
      <w:start w:val="1"/>
    </w:lvl>
  </w:abstractNum>
  <w:abstractNum w:abstractNumId="144">
    <w:nsid w:val="368DB37E"/>
    <w:multiLevelType w:val="hybridMultilevel"/>
    <w:lvl w:ilvl="0">
      <w:lvlJc w:val="left"/>
      <w:lvlText w:val="(%1)"/>
      <w:numFmt w:val="lowerLetter"/>
      <w:start w:val="1"/>
    </w:lvl>
  </w:abstractNum>
  <w:abstractNum w:abstractNumId="145">
    <w:nsid w:val="6A3B714C"/>
    <w:multiLevelType w:val="hybridMultilevel"/>
    <w:lvl w:ilvl="0">
      <w:lvlJc w:val="left"/>
      <w:lvlText w:val="(%1)"/>
      <w:numFmt w:val="lowerLetter"/>
      <w:start w:val="2"/>
    </w:lvl>
  </w:abstractNum>
  <w:abstractNum w:abstractNumId="146">
    <w:nsid w:val="327B517E"/>
    <w:multiLevelType w:val="hybridMultilevel"/>
    <w:lvl w:ilvl="0">
      <w:lvlJc w:val="left"/>
      <w:lvlText w:val="(%1)"/>
      <w:numFmt w:val="decimal"/>
      <w:start w:val="1"/>
    </w:lvl>
  </w:abstractNum>
  <w:abstractNum w:abstractNumId="147">
    <w:nsid w:val="1F461B51"/>
    <w:multiLevelType w:val="hybridMultilevel"/>
    <w:lvl w:ilvl="0">
      <w:lvlJc w:val="left"/>
      <w:lvlText w:val="*"/>
      <w:numFmt w:val="bullet"/>
      <w:start w:val="1"/>
    </w:lvl>
  </w:abstractNum>
  <w:abstractNum w:abstractNumId="148">
    <w:nsid w:val="29BACF25"/>
    <w:multiLevelType w:val="hybridMultilevel"/>
    <w:lvl w:ilvl="0">
      <w:lvlJc w:val="left"/>
      <w:lvlText w:val="%1."/>
      <w:numFmt w:val="upperLetter"/>
      <w:start w:val="1"/>
    </w:lvl>
  </w:abstractNum>
  <w:abstractNum w:abstractNumId="149">
    <w:nsid w:val="5D5BABB3"/>
    <w:multiLevelType w:val="hybridMultilevel"/>
    <w:lvl w:ilvl="0">
      <w:lvlJc w:val="left"/>
      <w:lvlText w:val="%1."/>
      <w:numFmt w:val="decimal"/>
      <w:start w:val="1"/>
    </w:lvl>
    <w:lvl w:ilvl="1">
      <w:lvlJc w:val="left"/>
      <w:lvlText w:val="(%2)"/>
      <w:numFmt w:val="lowerLetter"/>
      <w:start w:val="1"/>
    </w:lvl>
  </w:abstractNum>
  <w:abstractNum w:abstractNumId="150">
    <w:nsid w:val="51BF6B48"/>
    <w:multiLevelType w:val="hybridMultilevel"/>
    <w:lvl w:ilvl="0">
      <w:lvlJc w:val="left"/>
      <w:lvlText w:val="(%1)"/>
      <w:numFmt w:val="lowerRoman"/>
      <w:start w:val="1"/>
    </w:lvl>
  </w:abstractNum>
  <w:abstractNum w:abstractNumId="151">
    <w:nsid w:val="7E0F6384"/>
    <w:multiLevelType w:val="hybridMultilevel"/>
    <w:lvl w:ilvl="0">
      <w:lvlJc w:val="left"/>
      <w:lvlText w:val="(%1)"/>
      <w:numFmt w:val="decimal"/>
      <w:start w:val="1"/>
    </w:lvl>
  </w:abstractNum>
  <w:abstractNum w:abstractNumId="152">
    <w:nsid w:val="2B4B8B53"/>
    <w:multiLevelType w:val="hybridMultilevel"/>
    <w:lvl w:ilvl="0">
      <w:lvlJc w:val="left"/>
      <w:lvlText w:val="(%1)"/>
      <w:numFmt w:val="lowerLetter"/>
      <w:start w:val="2"/>
    </w:lvl>
  </w:abstractNum>
  <w:abstractNum w:abstractNumId="153">
    <w:nsid w:val="72E3413A"/>
    <w:multiLevelType w:val="hybridMultilevel"/>
    <w:lvl w:ilvl="0">
      <w:lvlJc w:val="left"/>
      <w:lvlText w:val="%1"/>
      <w:numFmt w:val="decimal"/>
      <w:start w:val="1"/>
    </w:lvl>
    <w:lvl w:ilvl="1">
      <w:lvlJc w:val="left"/>
      <w:lvlText w:val="(%2)"/>
      <w:numFmt w:val="lowerLetter"/>
      <w:start w:val="8"/>
    </w:lvl>
  </w:abstractNum>
  <w:abstractNum w:abstractNumId="154">
    <w:nsid w:val="116AE494"/>
    <w:multiLevelType w:val="hybridMultilevel"/>
    <w:lvl w:ilvl="0">
      <w:lvlJc w:val="left"/>
      <w:lvlText w:val="%1."/>
      <w:numFmt w:val="decimal"/>
      <w:start w:val="2"/>
    </w:lvl>
    <w:lvl w:ilvl="1">
      <w:lvlJc w:val="left"/>
      <w:lvlText w:val="%2"/>
      <w:numFmt w:val="lowerLetter"/>
      <w:start w:val="1"/>
    </w:lvl>
  </w:abstractNum>
  <w:abstractNum w:abstractNumId="155">
    <w:nsid w:val="3494B2FB"/>
    <w:multiLevelType w:val="hybridMultilevel"/>
    <w:lvl w:ilvl="0">
      <w:lvlJc w:val="left"/>
      <w:lvlText w:val="%1."/>
      <w:numFmt w:val="decimal"/>
      <w:start w:val="4"/>
    </w:lvl>
    <w:lvl w:ilvl="1">
      <w:lvlJc w:val="left"/>
      <w:lvlText w:val="(%2)"/>
      <w:numFmt w:val="lowerLetter"/>
      <w:start w:val="1"/>
    </w:lvl>
  </w:abstractNum>
  <w:abstractNum w:abstractNumId="156">
    <w:nsid w:val="B13A3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57">
    <w:nsid w:val="64429599"/>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158">
    <w:nsid w:val="631F1690"/>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5"/>
    </w:lvl>
    <w:lvl w:ilvl="3">
      <w:lvlJc w:val="left"/>
      <w:lvlText w:val="%4"/>
      <w:numFmt w:val="lowerRoman"/>
      <w:start w:val="1"/>
    </w:lvl>
  </w:abstractNum>
  <w:abstractNum w:abstractNumId="159">
    <w:nsid w:val="25973E3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0">
    <w:nsid w:val="EAD6F57"/>
    <w:multiLevelType w:val="hybridMultilevel"/>
    <w:lvl w:ilvl="0">
      <w:lvlJc w:val="left"/>
      <w:lvlText w:val="%1."/>
      <w:numFmt w:val="decimal"/>
      <w:start w:val="10"/>
    </w:lvl>
    <w:lvl w:ilvl="1">
      <w:lvlJc w:val="left"/>
      <w:lvlText w:val="(%2)"/>
      <w:numFmt w:val="lowerLetter"/>
      <w:start w:val="1"/>
    </w:lvl>
  </w:abstractNum>
  <w:abstractNum w:abstractNumId="161">
    <w:nsid w:val="6EC9D844"/>
    <w:multiLevelType w:val="hybridMultilevel"/>
    <w:lvl w:ilvl="0">
      <w:lvlJc w:val="left"/>
      <w:lvlText w:val="%1"/>
      <w:numFmt w:val="decimal"/>
      <w:start w:val="1"/>
    </w:lvl>
    <w:lvl w:ilvl="1">
      <w:lvlJc w:val="left"/>
      <w:lvlText w:val="(%2)"/>
      <w:numFmt w:val="lowerLetter"/>
      <w:start w:val="4"/>
    </w:lvl>
  </w:abstractNum>
  <w:abstractNum w:abstractNumId="162">
    <w:nsid w:val="5C49EAEE"/>
    <w:multiLevelType w:val="hybridMultilevel"/>
    <w:lvl w:ilvl="0">
      <w:lvlJc w:val="left"/>
      <w:lvlText w:val="%1."/>
      <w:numFmt w:val="decimal"/>
      <w:start w:val="11"/>
    </w:lvl>
    <w:lvl w:ilvl="1">
      <w:lvlJc w:val="left"/>
      <w:lvlText w:val="(%2)"/>
      <w:numFmt w:val="lowerLetter"/>
      <w:start w:val="1"/>
    </w:lvl>
  </w:abstractNum>
  <w:abstractNum w:abstractNumId="163">
    <w:nsid w:val="64AF4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64">
    <w:nsid w:val="397C46BC"/>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165">
    <w:nsid w:val="7E448DE9"/>
    <w:multiLevelType w:val="hybridMultilevel"/>
    <w:lvl w:ilvl="0">
      <w:lvlJc w:val="left"/>
      <w:lvlText w:val="%1"/>
      <w:numFmt w:val="decimal"/>
      <w:start w:val="1"/>
    </w:lvl>
    <w:lvl w:ilvl="1">
      <w:lvlJc w:val="left"/>
      <w:lvlText w:val="(%2)"/>
      <w:numFmt w:val="lowerLetter"/>
      <w:start w:val="3"/>
    </w:lvl>
  </w:abstractNum>
  <w:abstractNum w:abstractNumId="166">
    <w:nsid w:val="5A9CC3E5"/>
    <w:multiLevelType w:val="hybridMultilevel"/>
    <w:lvl w:ilvl="0">
      <w:lvlJc w:val="left"/>
      <w:lvlText w:val="%1."/>
      <w:numFmt w:val="decimal"/>
      <w:start w:val="13"/>
    </w:lvl>
    <w:lvl w:ilvl="1">
      <w:lvlJc w:val="left"/>
      <w:lvlText w:val="(%2)"/>
      <w:numFmt w:val="lowerLetter"/>
      <w:start w:val="1"/>
    </w:lvl>
  </w:abstractNum>
  <w:abstractNum w:abstractNumId="167">
    <w:nsid w:val="1AFE3625"/>
    <w:multiLevelType w:val="hybridMultilevel"/>
    <w:lvl w:ilvl="0">
      <w:lvlJc w:val="left"/>
      <w:lvlText w:val="%1"/>
      <w:numFmt w:val="decimal"/>
      <w:start w:val="1"/>
    </w:lvl>
    <w:lvl w:ilvl="1">
      <w:lvlJc w:val="left"/>
      <w:lvlText w:val="(%2)"/>
      <w:numFmt w:val="lowerLetter"/>
      <w:start w:val="3"/>
    </w:lvl>
  </w:abstractNum>
  <w:abstractNum w:abstractNumId="168">
    <w:nsid w:val="3CA88ECF"/>
    <w:multiLevelType w:val="hybridMultilevel"/>
    <w:lvl w:ilvl="0">
      <w:lvlJc w:val="left"/>
      <w:lvlText w:val="%1."/>
      <w:numFmt w:val="decimal"/>
      <w:start w:val="14"/>
    </w:lvl>
    <w:lvl w:ilvl="1">
      <w:lvlJc w:val="left"/>
      <w:lvlText w:val="%2"/>
      <w:numFmt w:val="lowerLetter"/>
      <w:start w:val="1"/>
    </w:lvl>
  </w:abstractNum>
  <w:abstractNum w:abstractNumId="169">
    <w:nsid w:val="6EBE4208"/>
    <w:multiLevelType w:val="hybridMultilevel"/>
    <w:lvl w:ilvl="0">
      <w:lvlJc w:val="left"/>
      <w:lvlText w:val="%1."/>
      <w:numFmt w:val="decimal"/>
      <w:start w:val="15"/>
    </w:lvl>
  </w:abstractNum>
  <w:abstractNum w:abstractNumId="170">
    <w:nsid w:val="C058DF5"/>
    <w:multiLevelType w:val="hybridMultilevel"/>
    <w:lvl w:ilvl="0">
      <w:lvlJc w:val="left"/>
      <w:lvlText w:val="%1."/>
      <w:numFmt w:val="decimal"/>
      <w:start w:val="18"/>
    </w:lvl>
  </w:abstractNum>
  <w:abstractNum w:abstractNumId="171">
    <w:nsid w:val="CBE5BE9"/>
    <w:multiLevelType w:val="hybridMultilevel"/>
    <w:lvl w:ilvl="0">
      <w:lvlJc w:val="left"/>
      <w:lvlText w:val="%1."/>
      <w:numFmt w:val="decimal"/>
      <w:start w:val="23"/>
    </w:lvl>
  </w:abstractNum>
  <w:abstractNum w:abstractNumId="172">
    <w:nsid w:val="3102BBE2"/>
    <w:multiLevelType w:val="hybridMultilevel"/>
    <w:lvl w:ilvl="0">
      <w:lvlJc w:val="left"/>
      <w:lvlText w:val="%1."/>
      <w:numFmt w:val="decimal"/>
      <w:start w:val="27"/>
    </w:lvl>
    <w:lvl w:ilvl="1">
      <w:lvlJc w:val="left"/>
      <w:lvlText w:val="(%2)"/>
      <w:numFmt w:val="lowerLetter"/>
      <w:start w:val="1"/>
    </w:lvl>
  </w:abstractNum>
  <w:abstractNum w:abstractNumId="173">
    <w:nsid w:val="26A02C5E"/>
    <w:multiLevelType w:val="hybridMultilevel"/>
    <w:lvl w:ilvl="0">
      <w:lvlJc w:val="left"/>
      <w:lvlText w:val="%1"/>
      <w:numFmt w:val="lowerRoman"/>
      <w:start w:val="1"/>
    </w:lvl>
    <w:lvl w:ilvl="1">
      <w:lvlJc w:val="left"/>
      <w:lvlText w:val="%2."/>
      <w:numFmt w:val="decimal"/>
      <w:start w:val="28"/>
    </w:lvl>
  </w:abstractNum>
  <w:abstractNum w:abstractNumId="174">
    <w:nsid w:val="541C8153"/>
    <w:multiLevelType w:val="hybridMultilevel"/>
    <w:lvl w:ilvl="0">
      <w:lvlJc w:val="left"/>
      <w:lvlText w:val="(%1)"/>
      <w:numFmt w:val="lowerRoman"/>
      <w:start w:val="1"/>
    </w:lvl>
    <w:lvl w:ilvl="1">
      <w:lvlJc w:val="left"/>
      <w:lvlText w:val="%2."/>
      <w:numFmt w:val="decimal"/>
      <w:start w:val="29"/>
    </w:lvl>
  </w:abstractNum>
  <w:abstractNum w:abstractNumId="175">
    <w:nsid w:val="67906F60"/>
    <w:multiLevelType w:val="hybridMultilevel"/>
    <w:lvl w:ilvl="0">
      <w:lvlJc w:val="left"/>
      <w:lvlText w:val="%1."/>
      <w:numFmt w:val="decimal"/>
      <w:start w:val="30"/>
    </w:lvl>
  </w:abstractNum>
  <w:abstractNum w:abstractNumId="176">
    <w:nsid w:val="10DB9DAA"/>
    <w:multiLevelType w:val="hybridMultilevel"/>
    <w:lvl w:ilvl="0">
      <w:lvlJc w:val="left"/>
      <w:lvlText w:val="[***]"/>
      <w:numFmt w:val="bullet"/>
      <w:start w:val="1"/>
    </w:lvl>
  </w:abstractNum>
  <w:abstractNum w:abstractNumId="177">
    <w:nsid w:val="697D2D2"/>
    <w:multiLevelType w:val="hybridMultilevel"/>
    <w:lvl w:ilvl="0">
      <w:lvlJc w:val="left"/>
      <w:lvlText w:val="%1."/>
      <w:numFmt w:val="decimal"/>
      <w:start w:val="1"/>
    </w:lvl>
  </w:abstractNum>
  <w:abstractNum w:abstractNumId="178">
    <w:nsid w:val="6D68A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9">
    <w:nsid w:val="3A966CD0"/>
    <w:multiLevelType w:val="hybridMultilevel"/>
    <w:lvl w:ilvl="0">
      <w:lvlJc w:val="left"/>
      <w:lvlText w:val="%1."/>
      <w:numFmt w:val="decimal"/>
      <w:start w:val="2"/>
    </w:lvl>
  </w:abstractNum>
  <w:abstractNum w:abstractNumId="180">
    <w:nsid w:val="63F37E85"/>
    <w:multiLevelType w:val="hybridMultilevel"/>
    <w:lvl w:ilvl="0">
      <w:lvlJc w:val="left"/>
      <w:lvlText w:val="%1"/>
      <w:numFmt w:val="lowerLetter"/>
      <w:start w:val="1"/>
    </w:lvl>
    <w:lvl w:ilvl="1">
      <w:lvlJc w:val="left"/>
      <w:lvlText w:val="(%2)"/>
      <w:numFmt w:val="upperLetter"/>
      <w:start w:val="2"/>
    </w:lvl>
  </w:abstractNum>
  <w:abstractNum w:abstractNumId="181">
    <w:nsid w:val="5895F5FA"/>
    <w:multiLevelType w:val="hybridMultilevel"/>
    <w:lvl w:ilvl="0">
      <w:lvlJc w:val="left"/>
      <w:lvlText w:val="(%1)"/>
      <w:numFmt w:val="lowerLetter"/>
      <w:start w:val="2"/>
    </w:lvl>
    <w:lvl w:ilvl="1">
      <w:lvlJc w:val="left"/>
      <w:lvlText w:val="%2"/>
      <w:numFmt w:val="upperLetter"/>
      <w:start w:val="1"/>
    </w:lvl>
  </w:abstractNum>
  <w:abstractNum w:abstractNumId="182">
    <w:nsid w:val="38A5D054"/>
    <w:multiLevelType w:val="hybridMultilevel"/>
    <w:lvl w:ilvl="0">
      <w:lvlJc w:val="left"/>
      <w:lvlText w:val="%1."/>
      <w:numFmt w:val="decimal"/>
      <w:start w:val="2"/>
    </w:lvl>
  </w:abstractNum>
  <w:abstractNum w:abstractNumId="183">
    <w:nsid w:val="F3F09D8"/>
    <w:multiLevelType w:val="hybridMultilevel"/>
    <w:lvl w:ilvl="0">
      <w:lvlJc w:val="left"/>
      <w:lvlText w:val="(%1)"/>
      <w:numFmt w:val="lowerLetter"/>
      <w:start w:val="1"/>
    </w:lvl>
    <w:lvl w:ilvl="1">
      <w:lvlJc w:val="left"/>
      <w:lvlText w:val="(%2)"/>
      <w:numFmt w:val="lowerRoman"/>
      <w:start w:val="1"/>
    </w:lvl>
  </w:abstractNum>
  <w:abstractNum w:abstractNumId="184">
    <w:nsid w:val="4B793735"/>
    <w:multiLevelType w:val="hybridMultilevel"/>
    <w:lvl w:ilvl="0">
      <w:lvlJc w:val="left"/>
      <w:lvlText w:val="%1"/>
      <w:numFmt w:val="lowerLetter"/>
      <w:start w:val="1"/>
    </w:lvl>
    <w:lvl w:ilvl="1">
      <w:lvlJc w:val="left"/>
      <w:lvlText w:val="(%2)"/>
      <w:numFmt w:val="lowerRoman"/>
      <w:start w:val="1"/>
    </w:lvl>
  </w:abstractNum>
  <w:abstractNum w:abstractNumId="185">
    <w:nsid w:val="4A10B4E8"/>
    <w:multiLevelType w:val="hybridMultilevel"/>
    <w:lvl w:ilvl="0">
      <w:lvlJc w:val="left"/>
      <w:lvlText w:val="(%1)"/>
      <w:numFmt w:val="lowerLetter"/>
      <w:start w:val="3"/>
    </w:lvl>
    <w:lvl w:ilvl="1">
      <w:lvlJc w:val="left"/>
      <w:lvlText w:val="%2"/>
      <w:numFmt w:val="lowerRoman"/>
      <w:start w:val="1"/>
    </w:lvl>
  </w:abstractNum>
  <w:abstractNum w:abstractNumId="186">
    <w:nsid w:val="43D3BCD4"/>
    <w:multiLevelType w:val="hybridMultilevel"/>
    <w:lvl w:ilvl="0">
      <w:lvlJc w:val="left"/>
      <w:lvlText w:val="(%1)"/>
      <w:numFmt w:val="lowerLetter"/>
      <w:start w:val="1"/>
    </w:lvl>
  </w:abstractNum>
  <w:abstractNum w:abstractNumId="187">
    <w:nsid w:val="4C2A7166"/>
    <w:multiLevelType w:val="hybridMultilevel"/>
    <w:lvl w:ilvl="0">
      <w:lvlJc w:val="left"/>
      <w:lvlText w:val="(%1)"/>
      <w:numFmt w:val="lowerLetter"/>
      <w:start w:val="4"/>
    </w:lvl>
  </w:abstractNum>
  <w:abstractNum w:abstractNumId="188">
    <w:nsid w:val="2E534A82"/>
    <w:multiLevelType w:val="hybridMultilevel"/>
    <w:lvl w:ilvl="0">
      <w:lvlJc w:val="left"/>
      <w:lvlText w:val="(%1)"/>
      <w:numFmt w:val="lowerLetter"/>
      <w:start w:val="1"/>
    </w:lvl>
    <w:lvl w:ilvl="1">
      <w:lvlJc w:val="left"/>
      <w:lvlText w:val="(%2)"/>
      <w:numFmt w:val="lowerRoman"/>
      <w:start w:val="1"/>
    </w:lvl>
  </w:abstractNum>
  <w:abstractNum w:abstractNumId="189">
    <w:nsid w:val="26F2D364"/>
    <w:multiLevelType w:val="hybridMultilevel"/>
    <w:lvl w:ilvl="0">
      <w:lvlJc w:val="left"/>
      <w:lvlText w:val="%1."/>
      <w:numFmt w:val="decimal"/>
      <w:start w:val="3"/>
    </w:lvl>
  </w:abstractNum>
  <w:abstractNum w:abstractNumId="190">
    <w:nsid w:val="71C1AF98"/>
    <w:multiLevelType w:val="hybridMultilevel"/>
    <w:lvl w:ilvl="0">
      <w:lvlJc w:val="left"/>
      <w:lvlText w:val="(%1)"/>
      <w:numFmt w:val="lowerLetter"/>
      <w:start w:val="1"/>
    </w:lvl>
  </w:abstractNum>
  <w:abstractNum w:abstractNumId="191">
    <w:nsid w:val="3D00B9D9"/>
    <w:multiLevelType w:val="hybridMultilevel"/>
    <w:lvl w:ilvl="0">
      <w:lvlJc w:val="left"/>
      <w:lvlText w:val="%1."/>
      <w:numFmt w:val="decimal"/>
      <w:start w:val="4"/>
    </w:lvl>
  </w:abstractNum>
  <w:abstractNum w:abstractNumId="192">
    <w:nsid w:val="15BCABA8"/>
    <w:multiLevelType w:val="hybridMultilevel"/>
    <w:lvl w:ilvl="0">
      <w:lvlJc w:val="left"/>
      <w:lvlText w:val="(%1)"/>
      <w:numFmt w:val="lowerLetter"/>
      <w:start w:val="1"/>
    </w:lvl>
  </w:abstractNum>
  <w:abstractNum w:abstractNumId="193">
    <w:nsid w:val="4E0B9A87"/>
    <w:multiLevelType w:val="hybridMultilevel"/>
    <w:lvl w:ilvl="0">
      <w:lvlJc w:val="left"/>
      <w:lvlText w:val="(%1)"/>
      <w:numFmt w:val="lowerLetter"/>
      <w:start w:val="1"/>
    </w:lvl>
  </w:abstractNum>
  <w:abstractNum w:abstractNumId="194">
    <w:nsid w:val="434BAE75"/>
    <w:multiLevelType w:val="hybridMultilevel"/>
    <w:lvl w:ilvl="0">
      <w:lvlJc w:val="left"/>
      <w:lvlText w:val="%1"/>
      <w:numFmt w:val="lowerLetter"/>
      <w:start w:val="1"/>
    </w:lvl>
    <w:lvl w:ilvl="1">
      <w:lvlJc w:val="left"/>
      <w:lvlText w:val="(%2)"/>
      <w:numFmt w:val="lowerRoman"/>
      <w:start w:val="1"/>
    </w:lvl>
  </w:abstractNum>
  <w:abstractNum w:abstractNumId="195">
    <w:nsid w:val="4F38F265"/>
    <w:multiLevelType w:val="hybridMultilevel"/>
    <w:lvl w:ilvl="0">
      <w:lvlJc w:val="left"/>
      <w:lvlText w:val="(%1)"/>
      <w:numFmt w:val="lowerLetter"/>
      <w:start w:val="2"/>
    </w:lvl>
    <w:lvl w:ilvl="1">
      <w:lvlJc w:val="left"/>
      <w:lvlText w:val="%2"/>
      <w:numFmt w:val="lowerRoman"/>
      <w:start w:val="1"/>
    </w:lvl>
  </w:abstractNum>
  <w:abstractNum w:abstractNumId="196">
    <w:nsid w:val="4C502870"/>
    <w:multiLevelType w:val="hybridMultilevel"/>
    <w:lvl w:ilvl="0">
      <w:lvlJc w:val="left"/>
      <w:lvlText w:val="(%1)"/>
      <w:numFmt w:val="lowerLetter"/>
      <w:start w:val="1"/>
    </w:lvl>
  </w:abstractNum>
  <w:abstractNum w:abstractNumId="197">
    <w:nsid w:val="1DE8725A"/>
    <w:multiLevelType w:val="hybridMultilevel"/>
    <w:lvl w:ilvl="0">
      <w:lvlJc w:val="left"/>
      <w:lvlText w:val="(%1)"/>
      <w:numFmt w:val="lowerLetter"/>
      <w:start w:val="1"/>
    </w:lvl>
  </w:abstractNum>
  <w:abstractNum w:abstractNumId="198">
    <w:nsid w:val="6A37288A"/>
    <w:multiLevelType w:val="hybridMultilevel"/>
    <w:lvl w:ilvl="0">
      <w:lvlJc w:val="left"/>
      <w:lvlText w:val="(%1)"/>
      <w:numFmt w:val="lowerLetter"/>
      <w:start w:val="3"/>
    </w:lvl>
  </w:abstractNum>
  <w:abstractNum w:abstractNumId="199">
    <w:nsid w:val="8F8B73F"/>
    <w:multiLevelType w:val="hybridMultilevel"/>
    <w:lvl w:ilvl="0">
      <w:lvlJc w:val="left"/>
      <w:lvlText w:val="%1."/>
      <w:numFmt w:val="decimal"/>
      <w:start w:val="5"/>
    </w:lvl>
  </w:abstractNum>
  <w:abstractNum w:abstractNumId="200">
    <w:nsid w:val="CA6B462"/>
    <w:multiLevelType w:val="hybridMultilevel"/>
    <w:lvl w:ilvl="0">
      <w:lvlJc w:val="left"/>
      <w:lvlText w:val="(%1)"/>
      <w:numFmt w:val="lowerLetter"/>
      <w:start w:val="1"/>
    </w:lvl>
  </w:abstractNum>
  <w:abstractNum w:abstractNumId="201">
    <w:nsid w:val="763CB680"/>
    <w:multiLevelType w:val="hybridMultilevel"/>
    <w:lvl w:ilvl="0">
      <w:lvlJc w:val="left"/>
      <w:lvlText w:val="%1."/>
      <w:numFmt w:val="decimal"/>
      <w:start w:val="6"/>
    </w:lvl>
  </w:abstractNum>
  <w:abstractNum w:abstractNumId="202">
    <w:nsid w:val="15B71329"/>
    <w:multiLevelType w:val="hybridMultilevel"/>
    <w:lvl w:ilvl="0">
      <w:lvlJc w:val="left"/>
      <w:lvlText w:val="%1."/>
      <w:numFmt w:val="decimal"/>
      <w:start w:val="7"/>
    </w:lvl>
  </w:abstractNum>
  <w:abstractNum w:abstractNumId="203">
    <w:nsid w:val="3DA97044"/>
    <w:multiLevelType w:val="hybridMultilevel"/>
    <w:lvl w:ilvl="0">
      <w:lvlJc w:val="left"/>
      <w:lvlText w:val="(%1)"/>
      <w:numFmt w:val="lowerLetter"/>
      <w:start w:val="1"/>
    </w:lvl>
  </w:abstractNum>
  <w:abstractNum w:abstractNumId="204">
    <w:nsid w:val="1CDCE2DE"/>
    <w:multiLevelType w:val="hybridMultilevel"/>
    <w:lvl w:ilvl="0">
      <w:lvlJc w:val="left"/>
      <w:lvlText w:val="%1."/>
      <w:numFmt w:val="decimal"/>
      <w:start w:val="8"/>
    </w:lvl>
  </w:abstractNum>
  <w:abstractNum w:abstractNumId="205">
    <w:nsid w:val="69D3947C"/>
    <w:multiLevelType w:val="hybridMultilevel"/>
    <w:lvl w:ilvl="0">
      <w:lvlJc w:val="left"/>
      <w:lvlText w:val="(%1)"/>
      <w:numFmt w:val="lowerLetter"/>
      <w:start w:val="1"/>
    </w:lvl>
  </w:abstractNum>
  <w:abstractNum w:abstractNumId="206">
    <w:nsid w:val="2539DFA5"/>
    <w:multiLevelType w:val="hybridMultilevel"/>
    <w:lvl w:ilvl="0">
      <w:lvlJc w:val="left"/>
      <w:lvlText w:val="(%1)"/>
      <w:numFmt w:val="lowerLetter"/>
      <w:start w:val="3"/>
    </w:lvl>
  </w:abstractNum>
  <w:abstractNum w:abstractNumId="207">
    <w:nsid w:val="2DB88089"/>
    <w:multiLevelType w:val="hybridMultilevel"/>
    <w:lvl w:ilvl="0">
      <w:lvlJc w:val="left"/>
      <w:lvlText w:val="(%1)"/>
      <w:numFmt w:val="lowerLetter"/>
      <w:start w:val="1"/>
    </w:lvl>
    <w:lvl w:ilvl="1">
      <w:lvlJc w:val="left"/>
      <w:lvlText w:val="%2."/>
      <w:numFmt w:val="decimal"/>
      <w:start w:val="9"/>
    </w:lvl>
  </w:abstractNum>
  <w:abstractNum w:abstractNumId="208">
    <w:nsid w:val="706B674E"/>
    <w:multiLevelType w:val="hybridMultilevel"/>
    <w:lvl w:ilvl="0">
      <w:lvlJc w:val="left"/>
      <w:lvlText w:val="(%1)"/>
      <w:numFmt w:val="lowerLetter"/>
      <w:start w:val="1"/>
    </w:lvl>
  </w:abstractNum>
  <w:abstractNum w:abstractNumId="209">
    <w:nsid w:val="2C106A57"/>
    <w:multiLevelType w:val="hybridMultilevel"/>
    <w:lvl w:ilvl="0">
      <w:lvlJc w:val="left"/>
      <w:lvlText w:val="%1."/>
      <w:numFmt w:val="decimal"/>
      <w:start w:val="10"/>
    </w:lvl>
  </w:abstractNum>
  <w:abstractNum w:abstractNumId="210">
    <w:nsid w:val="684EED59"/>
    <w:multiLevelType w:val="hybridMultilevel"/>
    <w:lvl w:ilvl="0">
      <w:lvlJc w:val="left"/>
      <w:lvlText w:val="(%1)"/>
      <w:numFmt w:val="lowerLetter"/>
      <w:start w:val="1"/>
    </w:lvl>
  </w:abstractNum>
  <w:abstractNum w:abstractNumId="211">
    <w:nsid w:val="545EE5D3"/>
    <w:multiLevelType w:val="hybridMultilevel"/>
    <w:lvl w:ilvl="0">
      <w:lvlJc w:val="left"/>
      <w:lvlText w:val="%1."/>
      <w:numFmt w:val="decimal"/>
      <w:start w:val="11"/>
    </w:lvl>
  </w:abstractNum>
  <w:abstractNum w:abstractNumId="212">
    <w:nsid w:val="4A66051"/>
    <w:multiLevelType w:val="hybridMultilevel"/>
    <w:lvl w:ilvl="0">
      <w:lvlJc w:val="left"/>
      <w:lvlText w:val="%1."/>
      <w:numFmt w:val="decimal"/>
      <w:start w:val="12"/>
    </w:lvl>
  </w:abstractNum>
  <w:abstractNum w:abstractNumId="213">
    <w:nsid w:val="20F4BDAD"/>
    <w:multiLevelType w:val="hybridMultilevel"/>
    <w:lvl w:ilvl="0">
      <w:lvlJc w:val="left"/>
      <w:lvlText w:val="%1."/>
      <w:numFmt w:val="decimal"/>
      <w:start w:val="1"/>
    </w:lvl>
  </w:abstractNum>
  <w:abstractNum w:abstractNumId="214">
    <w:nsid w:val="639DEFAC"/>
    <w:multiLevelType w:val="hybridMultilevel"/>
    <w:lvl w:ilvl="0">
      <w:lvlJc w:val="left"/>
      <w:lvlText w:val="%1."/>
      <w:numFmt w:val="decimal"/>
      <w:start w:val="1"/>
    </w:lvl>
  </w:abstractNum>
  <w:abstractNum w:abstractNumId="215">
    <w:nsid w:val="501F9786"/>
    <w:multiLevelType w:val="hybridMultilevel"/>
    <w:lvl w:ilvl="0">
      <w:lvlJc w:val="left"/>
      <w:lvlText w:val="%1."/>
      <w:numFmt w:val="decimal"/>
      <w:start w:val="1"/>
    </w:lvl>
  </w:abstractNum>
  <w:abstractNum w:abstractNumId="216">
    <w:nsid w:val="6B057295"/>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2020-11-12T23:08:24Z</dcterms:created>
  <dcterms:modified xsi:type="dcterms:W3CDTF">2020-11-12T23:08:24Z</dcterms:modified>
</cp:coreProperties>
</file>