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8-A</w:t>
      </w:r>
    </w:p>
    <w:p>
      <w:pPr>
        <w:spacing w:after="0" w:line="229" w:lineRule="exact"/>
        <w:rPr>
          <w:sz w:val="24"/>
          <w:szCs w:val="24"/>
          <w:color w:val="auto"/>
        </w:rPr>
      </w:pPr>
    </w:p>
    <w:p>
      <w:pPr>
        <w:jc w:val="center"/>
        <w:ind w:left="340" w:right="1940"/>
        <w:spacing w:after="0" w:line="265" w:lineRule="auto"/>
        <w:rPr>
          <w:sz w:val="20"/>
          <w:szCs w:val="20"/>
          <w:color w:val="auto"/>
        </w:rPr>
      </w:pPr>
      <w:r>
        <w:rPr>
          <w:rFonts w:ascii="Arial" w:cs="Arial" w:eastAsia="Arial" w:hAnsi="Arial"/>
          <w:sz w:val="25"/>
          <w:szCs w:val="25"/>
          <w:b w:val="1"/>
          <w:bCs w:val="1"/>
          <w:color w:val="auto"/>
        </w:rPr>
        <w:t>FOR REGISTRATION OF CERTAIN CLASSES OF SECURITIES PURSUANT TO SECTION 12(b) OR (g) OF THE SECURITIES EXCHANGE ACT OF 1934</w:t>
      </w:r>
    </w:p>
    <w:p>
      <w:pPr>
        <w:spacing w:after="0" w:line="14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6980" w:type="dxa"/>
            <w:vAlign w:val="bottom"/>
          </w:tcPr>
          <w:p>
            <w:pPr>
              <w:jc w:val="center"/>
              <w:ind w:right="1321"/>
              <w:spacing w:after="0"/>
              <w:rPr>
                <w:sz w:val="20"/>
                <w:szCs w:val="20"/>
                <w:color w:val="auto"/>
              </w:rPr>
            </w:pPr>
            <w:r>
              <w:rPr>
                <w:rFonts w:ascii="Arial" w:cs="Arial" w:eastAsia="Arial" w:hAnsi="Arial"/>
                <w:sz w:val="20"/>
                <w:szCs w:val="20"/>
                <w:b w:val="1"/>
                <w:bCs w:val="1"/>
                <w:color w:val="auto"/>
                <w:w w:val="91"/>
              </w:rPr>
              <w:t>Delaware</w:t>
            </w:r>
          </w:p>
        </w:tc>
        <w:tc>
          <w:tcPr>
            <w:tcW w:w="4240" w:type="dxa"/>
            <w:vAlign w:val="bottom"/>
          </w:tcPr>
          <w:p>
            <w:pPr>
              <w:jc w:val="center"/>
              <w:ind w:right="1241"/>
              <w:spacing w:after="0"/>
              <w:rPr>
                <w:sz w:val="20"/>
                <w:szCs w:val="20"/>
                <w:color w:val="auto"/>
              </w:rPr>
            </w:pPr>
            <w:r>
              <w:rPr>
                <w:rFonts w:ascii="Arial" w:cs="Arial" w:eastAsia="Arial" w:hAnsi="Arial"/>
                <w:sz w:val="20"/>
                <w:szCs w:val="20"/>
                <w:b w:val="1"/>
                <w:bCs w:val="1"/>
                <w:color w:val="auto"/>
                <w:w w:val="88"/>
              </w:rPr>
              <w:t>82-1153150</w:t>
            </w:r>
          </w:p>
        </w:tc>
      </w:tr>
      <w:tr>
        <w:trPr>
          <w:trHeight w:val="77"/>
        </w:trPr>
        <w:tc>
          <w:tcPr>
            <w:tcW w:w="6980" w:type="dxa"/>
            <w:vAlign w:val="bottom"/>
            <w:tcBorders>
              <w:bottom w:val="single" w:sz="8" w:color="auto"/>
            </w:tcBorders>
          </w:tcPr>
          <w:p>
            <w:pPr>
              <w:spacing w:after="0"/>
              <w:rPr>
                <w:sz w:val="6"/>
                <w:szCs w:val="6"/>
                <w:color w:val="auto"/>
              </w:rPr>
            </w:pPr>
          </w:p>
        </w:tc>
        <w:tc>
          <w:tcPr>
            <w:tcW w:w="4240" w:type="dxa"/>
            <w:vAlign w:val="bottom"/>
            <w:tcBorders>
              <w:bottom w:val="single" w:sz="8" w:color="auto"/>
            </w:tcBorders>
          </w:tcPr>
          <w:p>
            <w:pPr>
              <w:spacing w:after="0"/>
              <w:rPr>
                <w:sz w:val="6"/>
                <w:szCs w:val="6"/>
                <w:color w:val="auto"/>
              </w:rPr>
            </w:pPr>
          </w:p>
        </w:tc>
      </w:tr>
      <w:tr>
        <w:trPr>
          <w:trHeight w:val="295"/>
        </w:trPr>
        <w:tc>
          <w:tcPr>
            <w:tcW w:w="6980" w:type="dxa"/>
            <w:vAlign w:val="bottom"/>
          </w:tcPr>
          <w:p>
            <w:pPr>
              <w:jc w:val="center"/>
              <w:ind w:right="1341"/>
              <w:spacing w:after="0"/>
              <w:rPr>
                <w:sz w:val="20"/>
                <w:szCs w:val="20"/>
                <w:color w:val="auto"/>
              </w:rPr>
            </w:pPr>
            <w:r>
              <w:rPr>
                <w:rFonts w:ascii="Arial" w:cs="Arial" w:eastAsia="Arial" w:hAnsi="Arial"/>
                <w:sz w:val="20"/>
                <w:szCs w:val="20"/>
                <w:color w:val="auto"/>
                <w:w w:val="90"/>
              </w:rPr>
              <w:t>(State of incorporation or organization)</w:t>
            </w:r>
          </w:p>
        </w:tc>
        <w:tc>
          <w:tcPr>
            <w:tcW w:w="4240" w:type="dxa"/>
            <w:vAlign w:val="bottom"/>
          </w:tcPr>
          <w:p>
            <w:pPr>
              <w:jc w:val="center"/>
              <w:ind w:right="1241"/>
              <w:spacing w:after="0"/>
              <w:rPr>
                <w:sz w:val="20"/>
                <w:szCs w:val="20"/>
                <w:color w:val="auto"/>
              </w:rPr>
            </w:pPr>
            <w:r>
              <w:rPr>
                <w:rFonts w:ascii="Arial" w:cs="Arial" w:eastAsia="Arial" w:hAnsi="Arial"/>
                <w:sz w:val="20"/>
                <w:szCs w:val="20"/>
                <w:color w:val="auto"/>
                <w:w w:val="92"/>
              </w:rPr>
              <w:t>(I.R.S. Employer Identification No.)</w:t>
            </w:r>
          </w:p>
        </w:tc>
      </w:tr>
      <w:tr>
        <w:trPr>
          <w:trHeight w:val="212"/>
        </w:trPr>
        <w:tc>
          <w:tcPr>
            <w:tcW w:w="6980" w:type="dxa"/>
            <w:vAlign w:val="bottom"/>
          </w:tcPr>
          <w:p>
            <w:pPr>
              <w:jc w:val="center"/>
              <w:ind w:left="4141"/>
              <w:spacing w:after="0" w:line="212" w:lineRule="exact"/>
              <w:rPr>
                <w:sz w:val="20"/>
                <w:szCs w:val="20"/>
                <w:color w:val="auto"/>
              </w:rPr>
            </w:pPr>
            <w:r>
              <w:rPr>
                <w:rFonts w:ascii="Arial" w:cs="Arial" w:eastAsia="Arial" w:hAnsi="Arial"/>
                <w:sz w:val="20"/>
                <w:szCs w:val="20"/>
                <w:b w:val="1"/>
                <w:bCs w:val="1"/>
                <w:color w:val="auto"/>
                <w:w w:val="90"/>
              </w:rPr>
              <w:t>3800 Bridge Parkway, Suite 102</w:t>
            </w:r>
          </w:p>
        </w:tc>
        <w:tc>
          <w:tcPr>
            <w:tcW w:w="4240" w:type="dxa"/>
            <w:vAlign w:val="bottom"/>
          </w:tcPr>
          <w:p>
            <w:pPr>
              <w:spacing w:after="0"/>
              <w:rPr>
                <w:sz w:val="18"/>
                <w:szCs w:val="18"/>
                <w:color w:val="auto"/>
              </w:rPr>
            </w:pPr>
          </w:p>
        </w:tc>
      </w:tr>
      <w:tr>
        <w:trPr>
          <w:trHeight w:val="256"/>
        </w:trPr>
        <w:tc>
          <w:tcPr>
            <w:tcW w:w="6980" w:type="dxa"/>
            <w:vAlign w:val="bottom"/>
          </w:tcPr>
          <w:p>
            <w:pPr>
              <w:jc w:val="center"/>
              <w:ind w:left="4141"/>
              <w:spacing w:after="0"/>
              <w:rPr>
                <w:sz w:val="20"/>
                <w:szCs w:val="20"/>
                <w:color w:val="auto"/>
              </w:rPr>
            </w:pPr>
            <w:r>
              <w:rPr>
                <w:rFonts w:ascii="Arial" w:cs="Arial" w:eastAsia="Arial" w:hAnsi="Arial"/>
                <w:sz w:val="20"/>
                <w:szCs w:val="20"/>
                <w:b w:val="1"/>
                <w:bCs w:val="1"/>
                <w:color w:val="auto"/>
                <w:w w:val="90"/>
              </w:rPr>
              <w:t>Redwood City, California 94065</w:t>
            </w:r>
          </w:p>
        </w:tc>
        <w:tc>
          <w:tcPr>
            <w:tcW w:w="4240" w:type="dxa"/>
            <w:vAlign w:val="bottom"/>
          </w:tcPr>
          <w:p>
            <w:pPr>
              <w:spacing w:after="0"/>
              <w:rPr>
                <w:sz w:val="22"/>
                <w:szCs w:val="22"/>
                <w:color w:val="auto"/>
              </w:rPr>
            </w:pPr>
          </w:p>
        </w:tc>
      </w:tr>
      <w:tr>
        <w:trPr>
          <w:trHeight w:val="41"/>
        </w:trPr>
        <w:tc>
          <w:tcPr>
            <w:tcW w:w="11220" w:type="dxa"/>
            <w:vAlign w:val="bottom"/>
            <w:tcBorders>
              <w:bottom w:val="single" w:sz="8" w:color="auto"/>
            </w:tcBorders>
            <w:gridSpan w:val="2"/>
          </w:tcPr>
          <w:p>
            <w:pPr>
              <w:spacing w:after="0"/>
              <w:rPr>
                <w:sz w:val="3"/>
                <w:szCs w:val="3"/>
                <w:color w:val="auto"/>
              </w:rPr>
            </w:pPr>
          </w:p>
        </w:tc>
      </w:tr>
      <w:tr>
        <w:trPr>
          <w:trHeight w:val="295"/>
        </w:trPr>
        <w:tc>
          <w:tcPr>
            <w:tcW w:w="11220" w:type="dxa"/>
            <w:vAlign w:val="bottom"/>
            <w:gridSpan w:val="2"/>
          </w:tcPr>
          <w:p>
            <w:pPr>
              <w:jc w:val="center"/>
              <w:spacing w:after="0"/>
              <w:rPr>
                <w:sz w:val="20"/>
                <w:szCs w:val="20"/>
                <w:color w:val="auto"/>
              </w:rPr>
            </w:pPr>
            <w:r>
              <w:rPr>
                <w:rFonts w:ascii="Arial" w:cs="Arial" w:eastAsia="Arial" w:hAnsi="Arial"/>
                <w:sz w:val="20"/>
                <w:szCs w:val="20"/>
                <w:color w:val="auto"/>
                <w:w w:val="91"/>
              </w:rPr>
              <w:t>(Address of principal executive offices including zip code)</w:t>
            </w:r>
          </w:p>
        </w:tc>
      </w:tr>
      <w:tr>
        <w:trPr>
          <w:trHeight w:val="473"/>
        </w:trPr>
        <w:tc>
          <w:tcPr>
            <w:tcW w:w="6980" w:type="dxa"/>
            <w:vAlign w:val="bottom"/>
          </w:tcPr>
          <w:p>
            <w:pPr>
              <w:spacing w:after="0"/>
              <w:rPr>
                <w:sz w:val="20"/>
                <w:szCs w:val="20"/>
                <w:color w:val="auto"/>
              </w:rPr>
            </w:pPr>
            <w:r>
              <w:rPr>
                <w:rFonts w:ascii="Arial" w:cs="Arial" w:eastAsia="Arial" w:hAnsi="Arial"/>
                <w:sz w:val="20"/>
                <w:szCs w:val="20"/>
                <w:color w:val="auto"/>
              </w:rPr>
              <w:t>Securities to be registered pursuant to Section 12(b) of the Act:</w:t>
            </w:r>
          </w:p>
        </w:tc>
        <w:tc>
          <w:tcPr>
            <w:tcW w:w="4240" w:type="dxa"/>
            <w:vAlign w:val="bottom"/>
          </w:tcPr>
          <w:p>
            <w:pPr>
              <w:spacing w:after="0"/>
              <w:rPr>
                <w:sz w:val="24"/>
                <w:szCs w:val="24"/>
                <w:color w:val="auto"/>
              </w:rPr>
            </w:pPr>
          </w:p>
        </w:tc>
      </w:tr>
      <w:tr>
        <w:trPr>
          <w:trHeight w:val="411"/>
        </w:trPr>
        <w:tc>
          <w:tcPr>
            <w:tcW w:w="6980" w:type="dxa"/>
            <w:vAlign w:val="bottom"/>
          </w:tcPr>
          <w:p>
            <w:pPr>
              <w:jc w:val="center"/>
              <w:ind w:right="1241"/>
              <w:spacing w:after="0"/>
              <w:rPr>
                <w:sz w:val="20"/>
                <w:szCs w:val="20"/>
                <w:color w:val="auto"/>
              </w:rPr>
            </w:pPr>
            <w:r>
              <w:rPr>
                <w:rFonts w:ascii="Arial" w:cs="Arial" w:eastAsia="Arial" w:hAnsi="Arial"/>
                <w:sz w:val="20"/>
                <w:szCs w:val="20"/>
                <w:color w:val="auto"/>
                <w:w w:val="89"/>
              </w:rPr>
              <w:t>Title of each class</w:t>
            </w:r>
          </w:p>
        </w:tc>
        <w:tc>
          <w:tcPr>
            <w:tcW w:w="4240" w:type="dxa"/>
            <w:vAlign w:val="bottom"/>
          </w:tcPr>
          <w:p>
            <w:pPr>
              <w:jc w:val="center"/>
              <w:ind w:right="1221"/>
              <w:spacing w:after="0"/>
              <w:rPr>
                <w:sz w:val="20"/>
                <w:szCs w:val="20"/>
                <w:color w:val="auto"/>
              </w:rPr>
            </w:pPr>
            <w:r>
              <w:rPr>
                <w:rFonts w:ascii="Arial" w:cs="Arial" w:eastAsia="Arial" w:hAnsi="Arial"/>
                <w:sz w:val="20"/>
                <w:szCs w:val="20"/>
                <w:color w:val="auto"/>
                <w:w w:val="88"/>
              </w:rPr>
              <w:t>Name of each exchange on which</w:t>
            </w:r>
          </w:p>
        </w:tc>
      </w:tr>
      <w:tr>
        <w:trPr>
          <w:trHeight w:val="250"/>
        </w:trPr>
        <w:tc>
          <w:tcPr>
            <w:tcW w:w="6980" w:type="dxa"/>
            <w:vAlign w:val="bottom"/>
          </w:tcPr>
          <w:p>
            <w:pPr>
              <w:jc w:val="center"/>
              <w:ind w:right="1241"/>
              <w:spacing w:after="0"/>
              <w:rPr>
                <w:sz w:val="20"/>
                <w:szCs w:val="20"/>
                <w:color w:val="auto"/>
              </w:rPr>
            </w:pPr>
            <w:r>
              <w:rPr>
                <w:rFonts w:ascii="Arial" w:cs="Arial" w:eastAsia="Arial" w:hAnsi="Arial"/>
                <w:sz w:val="20"/>
                <w:szCs w:val="20"/>
                <w:color w:val="auto"/>
                <w:w w:val="86"/>
              </w:rPr>
              <w:t>to be so registered</w:t>
            </w:r>
          </w:p>
        </w:tc>
        <w:tc>
          <w:tcPr>
            <w:tcW w:w="4240" w:type="dxa"/>
            <w:vAlign w:val="bottom"/>
          </w:tcPr>
          <w:p>
            <w:pPr>
              <w:jc w:val="center"/>
              <w:ind w:right="1221"/>
              <w:spacing w:after="0"/>
              <w:rPr>
                <w:sz w:val="20"/>
                <w:szCs w:val="20"/>
                <w:color w:val="auto"/>
              </w:rPr>
            </w:pPr>
            <w:r>
              <w:rPr>
                <w:rFonts w:ascii="Arial" w:cs="Arial" w:eastAsia="Arial" w:hAnsi="Arial"/>
                <w:sz w:val="20"/>
                <w:szCs w:val="20"/>
                <w:color w:val="auto"/>
                <w:w w:val="86"/>
              </w:rPr>
              <w:t>each class is to be registered</w:t>
            </w:r>
          </w:p>
        </w:tc>
      </w:tr>
      <w:tr>
        <w:trPr>
          <w:trHeight w:val="554"/>
        </w:trPr>
        <w:tc>
          <w:tcPr>
            <w:tcW w:w="6980" w:type="dxa"/>
            <w:vAlign w:val="bottom"/>
          </w:tcPr>
          <w:p>
            <w:pPr>
              <w:jc w:val="center"/>
              <w:ind w:right="1241"/>
              <w:spacing w:after="0"/>
              <w:rPr>
                <w:sz w:val="20"/>
                <w:szCs w:val="20"/>
                <w:color w:val="auto"/>
              </w:rPr>
            </w:pPr>
            <w:r>
              <w:rPr>
                <w:rFonts w:ascii="Arial" w:cs="Arial" w:eastAsia="Arial" w:hAnsi="Arial"/>
                <w:sz w:val="20"/>
                <w:szCs w:val="20"/>
                <w:b w:val="1"/>
                <w:bCs w:val="1"/>
                <w:color w:val="auto"/>
                <w:w w:val="88"/>
              </w:rPr>
              <w:t>Class A Common Stock, $0.00001 par value per share</w:t>
            </w:r>
          </w:p>
        </w:tc>
        <w:tc>
          <w:tcPr>
            <w:tcW w:w="4240" w:type="dxa"/>
            <w:vAlign w:val="bottom"/>
          </w:tcPr>
          <w:p>
            <w:pPr>
              <w:jc w:val="center"/>
              <w:ind w:right="1221"/>
              <w:spacing w:after="0"/>
              <w:rPr>
                <w:sz w:val="20"/>
                <w:szCs w:val="20"/>
                <w:color w:val="auto"/>
              </w:rPr>
            </w:pPr>
            <w:r>
              <w:rPr>
                <w:rFonts w:ascii="Arial" w:cs="Arial" w:eastAsia="Arial" w:hAnsi="Arial"/>
                <w:sz w:val="20"/>
                <w:szCs w:val="20"/>
                <w:b w:val="1"/>
                <w:bCs w:val="1"/>
                <w:color w:val="auto"/>
                <w:w w:val="93"/>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right="580"/>
        <w:spacing w:after="0" w:line="260" w:lineRule="auto"/>
        <w:rPr>
          <w:sz w:val="20"/>
          <w:szCs w:val="20"/>
          <w:color w:val="auto"/>
        </w:rPr>
      </w:pPr>
      <w:r>
        <w:rPr>
          <w:rFonts w:ascii="Arial" w:cs="Arial" w:eastAsia="Arial" w:hAnsi="Arial"/>
          <w:sz w:val="20"/>
          <w:szCs w:val="20"/>
          <w:color w:val="auto"/>
        </w:rPr>
        <w:t>If this form relates to the registration of a class of securities pursuant to Section 12(b) of the Exchange Act and is effective pursuant to General Instruction A.(c), check the following box. [X]</w:t>
      </w:r>
    </w:p>
    <w:p>
      <w:pPr>
        <w:spacing w:after="0" w:line="177" w:lineRule="exact"/>
        <w:rPr>
          <w:sz w:val="24"/>
          <w:szCs w:val="24"/>
          <w:color w:val="auto"/>
        </w:rPr>
      </w:pPr>
    </w:p>
    <w:p>
      <w:pPr>
        <w:ind w:right="580"/>
        <w:spacing w:after="0" w:line="260" w:lineRule="auto"/>
        <w:rPr>
          <w:sz w:val="20"/>
          <w:szCs w:val="20"/>
          <w:color w:val="auto"/>
        </w:rPr>
      </w:pPr>
      <w:r>
        <w:rPr>
          <w:rFonts w:ascii="Arial" w:cs="Arial" w:eastAsia="Arial" w:hAnsi="Arial"/>
          <w:sz w:val="20"/>
          <w:szCs w:val="20"/>
          <w:color w:val="auto"/>
        </w:rPr>
        <w:t>If this form relates to the registration of a class of securities pursuant to Section 12(g) of the Exchange Act and is effective pursuant to General Instruction A.(d), check the following box. [ ]</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Securities Act registration statement file number to which this form relates: </w:t>
      </w:r>
      <w:r>
        <w:rPr>
          <w:rFonts w:ascii="Arial" w:cs="Arial" w:eastAsia="Arial" w:hAnsi="Arial"/>
          <w:sz w:val="20"/>
          <w:szCs w:val="20"/>
          <w:b w:val="1"/>
          <w:bCs w:val="1"/>
          <w:color w:val="auto"/>
        </w:rPr>
        <w:t>333-250035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Securities to be registered pursuant to Section 12(g) of the Act: </w:t>
      </w:r>
      <w:r>
        <w:rPr>
          <w:rFonts w:ascii="Arial" w:cs="Arial" w:eastAsia="Arial" w:hAnsi="Arial"/>
          <w:sz w:val="20"/>
          <w:szCs w:val="20"/>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left="20"/>
        <w:spacing w:after="0"/>
        <w:rPr>
          <w:sz w:val="20"/>
          <w:szCs w:val="20"/>
          <w:color w:val="auto"/>
        </w:rPr>
      </w:pPr>
      <w:r>
        <w:rPr>
          <w:rFonts w:ascii="Arial" w:cs="Arial" w:eastAsia="Arial" w:hAnsi="Arial"/>
          <w:sz w:val="20"/>
          <w:szCs w:val="20"/>
          <w:b w:val="1"/>
          <w:bCs w:val="1"/>
          <w:color w:val="auto"/>
        </w:rPr>
        <w:t>Item 1. Description of Registrant’s Securities to be Registered</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a description of the securities of Seer, Inc. (the “Registrant”) being registered hereunder, reference is made to the information set forth under the heading “Description of Capital Stock” contained in the Registrant’s Registration Statement on Form S-1 (File No. 333-250035), as initially filed with the Securities and Exchange Commission (the “Commission”) on November 12, 2020, as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Exhibits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“Instructions as to Exhibits” section of Form 8-A, no exhibits are required to be filed because no other securities of the Registrant are to be registered on T</w:t>
      </w:r>
      <w:r>
        <w:rPr>
          <w:rFonts w:ascii="Arial" w:cs="Arial" w:eastAsia="Arial" w:hAnsi="Arial"/>
          <w:sz w:val="17"/>
          <w:szCs w:val="17"/>
          <w:color w:val="auto"/>
        </w:rPr>
        <w:t>he</w:t>
      </w:r>
      <w:r>
        <w:rPr>
          <w:rFonts w:ascii="Arial" w:cs="Arial" w:eastAsia="Arial" w:hAnsi="Arial"/>
          <w:sz w:val="20"/>
          <w:szCs w:val="20"/>
          <w:color w:val="auto"/>
        </w:rPr>
        <w:t xml:space="preserve"> Nasdaq Stock Market LLC and the securities to be registered hereby are not being registered pursuant to Section 12(g) of the Securities Exchange Act of 1934, as amended.</w:t>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Section 12 of the Securities Exchange Act of 1934, the registrant has duly caused this registration statement to be signed on its behalf by the undersigned, thereto duly authorized.</w:t>
      </w:r>
    </w:p>
    <w:p>
      <w:pPr>
        <w:spacing w:after="0" w:line="171" w:lineRule="exact"/>
        <w:rPr>
          <w:sz w:val="20"/>
          <w:szCs w:val="20"/>
          <w:color w:val="auto"/>
        </w:rPr>
      </w:pPr>
    </w:p>
    <w:p>
      <w:pPr>
        <w:ind w:left="680"/>
        <w:spacing w:after="0"/>
        <w:tabs>
          <w:tab w:leader="none" w:pos="4820" w:val="left"/>
        </w:tabs>
        <w:rPr>
          <w:sz w:val="20"/>
          <w:szCs w:val="20"/>
          <w:color w:val="auto"/>
        </w:rPr>
      </w:pPr>
      <w:r>
        <w:rPr>
          <w:rFonts w:ascii="Arial" w:cs="Arial" w:eastAsia="Arial" w:hAnsi="Arial"/>
          <w:sz w:val="20"/>
          <w:szCs w:val="20"/>
          <w:color w:val="auto"/>
        </w:rPr>
        <w:t>Date: November 30, 2020</w:t>
      </w:r>
      <w:r>
        <w:rPr>
          <w:sz w:val="20"/>
          <w:szCs w:val="20"/>
          <w:color w:val="auto"/>
        </w:rPr>
        <w:tab/>
      </w:r>
      <w:r>
        <w:rPr>
          <w:rFonts w:ascii="Arial" w:cs="Arial" w:eastAsia="Arial" w:hAnsi="Arial"/>
          <w:sz w:val="19"/>
          <w:szCs w:val="19"/>
          <w:b w:val="1"/>
          <w:bCs w:val="1"/>
          <w:color w:val="auto"/>
        </w:rPr>
        <w:t>SEER, INC.</w:t>
      </w:r>
    </w:p>
    <w:p>
      <w:pPr>
        <w:spacing w:after="0" w:line="200" w:lineRule="exact"/>
        <w:rPr>
          <w:sz w:val="20"/>
          <w:szCs w:val="20"/>
          <w:color w:val="auto"/>
        </w:rPr>
      </w:pPr>
    </w:p>
    <w:p>
      <w:pPr>
        <w:spacing w:after="0" w:line="373"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3265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7"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Omid Farokhzad, M.D.</w:t>
      </w:r>
    </w:p>
    <w:p>
      <w:pPr>
        <w:spacing w:after="0" w:line="54"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Chief Executive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2020-11-30T15:06:37Z</dcterms:created>
  <dcterms:modified xsi:type="dcterms:W3CDTF">2020-11-30T15:06:37Z</dcterms:modified>
</cp:coreProperties>
</file>