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jc w:val="both"/>
        <w:ind w:left="320" w:right="340" w:hanging="246"/>
        <w:spacing w:after="0" w:line="181" w:lineRule="auto"/>
        <w:tabs>
          <w:tab w:leader="none" w:pos="320" w:val="left"/>
        </w:tabs>
        <w:numPr>
          <w:ilvl w:val="0"/>
          <w:numId w:val="1"/>
        </w:numPr>
        <w:rPr>
          <w:rFonts w:ascii="Arial" w:cs="Arial" w:eastAsia="Arial" w:hAnsi="Arial"/>
          <w:sz w:val="24"/>
          <w:szCs w:val="24"/>
          <w:color w:val="0000FF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-240665</wp:posOffset>
            </wp:positionV>
            <wp:extent cx="110490" cy="1581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" cy="158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2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9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9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5256530</wp:posOffset>
            </wp:positionH>
            <wp:positionV relativeFrom="paragraph">
              <wp:posOffset>-584200</wp:posOffset>
            </wp:positionV>
            <wp:extent cx="7620" cy="5848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8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3943985</wp:posOffset>
            </wp:positionH>
            <wp:positionV relativeFrom="paragraph">
              <wp:posOffset>-592455</wp:posOffset>
            </wp:positionV>
            <wp:extent cx="7620" cy="5930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-568325</wp:posOffset>
            </wp:positionV>
            <wp:extent cx="1272540" cy="545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54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-1675765</wp:posOffset>
            </wp:positionH>
            <wp:positionV relativeFrom="paragraph">
              <wp:posOffset>31115</wp:posOffset>
            </wp:positionV>
            <wp:extent cx="6972935" cy="1810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935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480"/>
            <w:col w:w="8440"/>
          </w:cols>
          <w:pgMar w:left="460" w:top="220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18"/>
          <w:szCs w:val="18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aMoon 2 Fund Limited Partnership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 YERUSHALAIM ROAD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BEIT GAMLA, 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56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175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6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20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RA-ANANA,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L3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4350110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jc w:val="center"/>
              <w:ind w:left="63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12/08/2020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4,121,064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4,121,064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1"/>
              <w:spacing w:after="0" w:line="2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w w:val="86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6"/>
              </w:rPr>
              <w:t>(3)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12/08/2020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100,000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4,221,064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1"/>
              <w:spacing w:after="0" w:line="2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w w:val="86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6"/>
              </w:rPr>
              <w:t>(3)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12/09/2020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726,449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4,947,513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1"/>
              <w:spacing w:after="0" w:line="2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w w:val="86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6"/>
              </w:rPr>
              <w:t>(3)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12/08/2020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912,659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912,659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12/09/2020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63,024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975,683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 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Convertible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2,875,628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41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5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5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12/08/2020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1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2,875,628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 D-1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Convertible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1,245,436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41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5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5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12/08/2020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1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1,245,436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 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Convertible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787,380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12/08/2020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16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787,380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41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Preferred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 D-1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Convertible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125,279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12/08/2020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16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125,279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41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Preferred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aMoon 2 Fund Limited Partnership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-5721985</wp:posOffset>
            </wp:positionV>
            <wp:extent cx="7035800" cy="76130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7613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 YERUSHALAIM ROAD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BEIT GAMLA, 6TH FLOOR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ind w:left="120"/>
        <w:spacing w:after="0" w:line="209" w:lineRule="auto"/>
        <w:tabs>
          <w:tab w:leader="none" w:pos="1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RA-ANANA,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4"/>
          <w:szCs w:val="24"/>
          <w:color w:val="0000FF"/>
          <w:vertAlign w:val="subscript"/>
        </w:rPr>
        <w:t>L3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4350110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480" w:val="left"/>
          <w:tab w:leader="none" w:pos="2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7620</wp:posOffset>
            </wp:positionH>
            <wp:positionV relativeFrom="paragraph">
              <wp:posOffset>62865</wp:posOffset>
            </wp:positionV>
            <wp:extent cx="2766695" cy="6959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69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7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Schindel Yair Chaim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480" w:val="left"/>
          <w:tab w:leader="none" w:pos="2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ind w:left="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 YERUSHALAIM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-22860</wp:posOffset>
            </wp:positionH>
            <wp:positionV relativeFrom="paragraph">
              <wp:posOffset>-110490</wp:posOffset>
            </wp:positionV>
            <wp:extent cx="2782570" cy="11620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570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BEIT GAMLA, 6TH FLOOR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ind w:left="83"/>
        <w:spacing w:after="0" w:line="209" w:lineRule="auto"/>
        <w:tabs>
          <w:tab w:leader="none" w:pos="144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RA-ANANA,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4"/>
          <w:szCs w:val="24"/>
          <w:color w:val="0000FF"/>
          <w:vertAlign w:val="subscript"/>
        </w:rPr>
        <w:t>L3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4350110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83"/>
        <w:spacing w:after="0"/>
        <w:tabs>
          <w:tab w:leader="none" w:pos="1443" w:val="left"/>
          <w:tab w:leader="none" w:pos="28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3" w:right="200" w:hanging="3"/>
        <w:spacing w:after="0" w:line="271" w:lineRule="auto"/>
        <w:tabs>
          <w:tab w:leader="none" w:pos="12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share of Series D Convertible Preferred Stock automatically converted into Class A Common Stock on a one-to-one basis immediately prior to the completion of the Issuer's initial public offering of Class A Common Stock and had no expiration date.</w:t>
      </w:r>
    </w:p>
    <w:p>
      <w:pPr>
        <w:spacing w:after="0" w:line="1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3" w:right="100" w:hanging="3"/>
        <w:spacing w:after="0" w:line="271" w:lineRule="auto"/>
        <w:tabs>
          <w:tab w:leader="none" w:pos="12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share of Series D-1 Convertible Preferred Stock automatically converted into Class A Common Stock on a one-to-one basis immediately prior to the completion of the Issuer's initial public offering of Class A Common Stock and had no expiration date.</w:t>
      </w:r>
    </w:p>
    <w:p>
      <w:pPr>
        <w:spacing w:after="0" w:line="1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3" w:hanging="3"/>
        <w:spacing w:after="0" w:line="249" w:lineRule="auto"/>
        <w:tabs>
          <w:tab w:leader="none" w:pos="12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reported shares are held of record by aMoon 2 Fund, Limited Partnership ("aMoon 2 Fund"). aMoon 2 Fund G.P. Limited Partnership ("aMoon 2 Fund G.P.") is the sole General Partner of aMoon 2 Fund and aMoon General Partner Ltd. ("aMoon General Partner") is the sole General Partner of aMoon 2 Fund G.P. Dr. Yair Schindel is the sole shareholder of aMoon General Partner. By virtue of such relationships, aMoon 2 Fund G.P., aMoon General Partner and Dr. Schindel may be deemed to have shared voting and investment power with respect to the shares held of record by aMoon 2 Fund. Each of aMoon 2 Fund G.P., aMoon General Partner and Dr. Schindel disclaims beneficial ownership of the shares held by aMoon 2 Fund except to the extent of its or his pecuniary interest therein, if any.</w:t>
      </w:r>
    </w:p>
    <w:p>
      <w:pPr>
        <w:spacing w:after="0" w:line="2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3" w:hanging="3"/>
        <w:spacing w:after="0" w:line="249" w:lineRule="auto"/>
        <w:tabs>
          <w:tab w:leader="none" w:pos="12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reported shares are held of record by aMoon Co-Investment SPV I, L.P. ("aMoon Co-Investment"). aMoon 2 Fund G.P. is the sole General Partner of aMoon Co-Investment and aMoon General Partner is the sole General Partner of aMoon 2 Fund G.P. Dr. Schindel is the sole shareholder of aMoon General Partner. By virtue of such relationships, aMoon 2 Fund G.P., aMoon General Partner and Dr. Schindel may be deemed to have shared voting and investment power with respect to the shares held of record by aMoon Co-Investment. Each of aMoon 2 Fund G.P., aMoon General Partner and Dr. Schindel disclaims beneficial ownership of the shares held by aMoon Co-Investment except to the extent of its or his pecuniary interest therein, if any.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656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Yair Schindel, the sole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shareholder of aMoon General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9"/>
        </w:trPr>
        <w:tc>
          <w:tcPr>
            <w:tcW w:w="2100" w:type="dxa"/>
            <w:vAlign w:val="bottom"/>
            <w:gridSpan w:val="8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Partner Ltd., the sole General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100" w:type="dxa"/>
            <w:vAlign w:val="bottom"/>
            <w:gridSpan w:val="8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Partner of aMoon 2 Fund G.P.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12/10/2020</w:t>
            </w:r>
          </w:p>
        </w:tc>
      </w:tr>
      <w:tr>
        <w:trPr>
          <w:trHeight w:val="179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Limited Partnership, the sole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9"/>
        </w:trPr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General Partner of aMoon 2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9"/>
        </w:trPr>
        <w:tc>
          <w:tcPr>
            <w:tcW w:w="2100" w:type="dxa"/>
            <w:vAlign w:val="bottom"/>
            <w:gridSpan w:val="8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Fund, Limited Partnership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17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Yair Schindel</w:t>
            </w:r>
          </w:p>
        </w:tc>
        <w:tc>
          <w:tcPr>
            <w:tcW w:w="400" w:type="dxa"/>
            <w:vAlign w:val="bottom"/>
            <w:gridSpan w:val="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12/10/2020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3" w:right="3680" w:hanging="3"/>
        <w:spacing w:after="0" w:line="323" w:lineRule="auto"/>
        <w:tabs>
          <w:tab w:leader="none" w:pos="134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3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3"/>
      </w:cols>
      <w:pgMar w:left="497" w:top="131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8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44099" TargetMode="External"/><Relationship Id="rId14" Type="http://schemas.openxmlformats.org/officeDocument/2006/relationships/hyperlink" Target="http://www.sec.gov/cgi-bin/browse-edgar?action=getcompany&amp;CIK=0001726445" TargetMode="External"/><Relationship Id="rId17" Type="http://schemas.openxmlformats.org/officeDocument/2006/relationships/hyperlink" Target="http://www.sec.gov/cgi-bin/browse-edgar?action=getcompany&amp;CIK=0001823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2020-12-10T15:20:05Z</dcterms:created>
  <dcterms:modified xsi:type="dcterms:W3CDTF">2020-12-10T15:20:05Z</dcterms:modified>
</cp:coreProperties>
</file>