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6.5701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1,168 shares acquired under the Issuer's 2020 Employee Stock Purchase Plan on November 15, 2022.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-2687320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2022-12-08T20:49:00Z</dcterms:created>
  <dcterms:modified xsi:type="dcterms:W3CDTF">2022-12-08T20:49:00Z</dcterms:modified>
</cp:coreProperties>
</file>