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Seer,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the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left="50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Seer Board of Directors Issues Letter to Shareholders Highlighting the Company’s Significant Scientific Progress and Addressing Radoff and Torok’s Short-Sighted Campaign</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Urges Stockholders to Vote “FOR” ONLY Seer’s Director Nominees on the BLUE Proxy Card</w:t>
      </w:r>
    </w:p>
    <w:p>
      <w:pPr>
        <w:spacing w:after="0" w:line="22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REDWOOD CITY, Calif., June 15, 2026 </w:t>
      </w:r>
      <w:r>
        <w:rPr>
          <w:rFonts w:ascii="Times New Roman" w:cs="Times New Roman" w:eastAsia="Times New Roman" w:hAnsi="Times New Roman"/>
          <w:sz w:val="18"/>
          <w:szCs w:val="18"/>
          <w:color w:val="auto"/>
        </w:rPr>
        <w:t>– Seer, Inc. (Nasdaq: SEER) (“Seer” or the “Company”) today issued a letter to stockholders containing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information for shareholders to consider in connection with the Company’s upcoming Annual Meeting of Stockholders (the “Annual Meeting”) to be held on July 28, 2026. Stockholders as of May 29, 2026 will be entitled to vote at the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recommends that stockholders vote “FOR” the election of Seer’s seven highly qualified nominees on the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color w:val="auto"/>
        </w:rPr>
        <w:t xml:space="preserve"> proxy card.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Dear Fellow Seer Stockholders,</w:t>
      </w:r>
    </w:p>
    <w:p>
      <w:pPr>
        <w:spacing w:after="0" w:line="117" w:lineRule="exact"/>
        <w:rPr>
          <w:sz w:val="20"/>
          <w:szCs w:val="20"/>
          <w:color w:val="auto"/>
        </w:rPr>
      </w:pPr>
    </w:p>
    <w:p>
      <w:pPr>
        <w:ind w:left="440" w:right="440"/>
        <w:spacing w:after="0" w:line="282" w:lineRule="auto"/>
        <w:rPr>
          <w:sz w:val="20"/>
          <w:szCs w:val="20"/>
          <w:color w:val="auto"/>
        </w:rPr>
      </w:pPr>
      <w:r>
        <w:rPr>
          <w:rFonts w:ascii="Times New Roman" w:cs="Times New Roman" w:eastAsia="Times New Roman" w:hAnsi="Times New Roman"/>
          <w:sz w:val="18"/>
          <w:szCs w:val="18"/>
          <w:color w:val="auto"/>
        </w:rPr>
        <w:t>You have an important choice to make regarding the future of Seer at our upcoming Annual Meeting of Stockholders, which will be held on July 28, 2026 (the “Annual Meeting”), and we are asking for your support.</w:t>
      </w:r>
    </w:p>
    <w:p>
      <w:pPr>
        <w:spacing w:after="0" w:line="54"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Two activist stockholders, Bradley Radoff and Michael Torok, have submitted unqualified director nominations and three unsolicited proposals to acquire Seer, each priced below the value of the cash, cash equivalents and investments on our balance sheet. We are asking for your support for our Board at the Annual Meeting. Seer has a clear strategy in place to build the market for deep, unbiased proteomics and create meaningful value from our first-of-its-kind technology.</w:t>
      </w:r>
    </w:p>
    <w:p>
      <w:pPr>
        <w:spacing w:after="0" w:line="68" w:lineRule="exact"/>
        <w:rPr>
          <w:sz w:val="20"/>
          <w:szCs w:val="20"/>
          <w:color w:val="auto"/>
        </w:rPr>
      </w:pPr>
    </w:p>
    <w:p>
      <w:pPr>
        <w:jc w:val="both"/>
        <w:ind w:left="440" w:right="20"/>
        <w:spacing w:after="0" w:line="268" w:lineRule="auto"/>
        <w:rPr>
          <w:sz w:val="20"/>
          <w:szCs w:val="20"/>
          <w:color w:val="auto"/>
        </w:rPr>
      </w:pPr>
      <w:r>
        <w:rPr>
          <w:rFonts w:ascii="Times New Roman" w:cs="Times New Roman" w:eastAsia="Times New Roman" w:hAnsi="Times New Roman"/>
          <w:sz w:val="18"/>
          <w:szCs w:val="18"/>
          <w:b w:val="1"/>
          <w:bCs w:val="1"/>
          <w:color w:val="auto"/>
        </w:rPr>
        <w:t>We unanimously recommend that you vote today using the BLUE proxy card “FOR” the election of each of Seer’s seven highly qualified director nominees: Omid Farokhzad, M.D., Meeta Gulyani, Robert Langer, Sc.D., Terrance McGuire, Dipchand (Deep) Nishar, Isaac Ro, and Nicolas Roelofs, Ph.D.</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vote for Seer’s nominees is a vote for:</w:t>
      </w:r>
    </w:p>
    <w:p>
      <w:pPr>
        <w:spacing w:after="0" w:line="329" w:lineRule="exact"/>
        <w:rPr>
          <w:sz w:val="20"/>
          <w:szCs w:val="20"/>
          <w:color w:val="auto"/>
        </w:rPr>
      </w:pPr>
    </w:p>
    <w:p>
      <w:pPr>
        <w:ind w:left="620" w:hanging="184"/>
        <w:spacing w:after="0"/>
        <w:tabs>
          <w:tab w:leader="none" w:pos="62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Pioneering a New Market in Proteomics</w:t>
      </w:r>
    </w:p>
    <w:p>
      <w:pPr>
        <w:spacing w:after="0" w:line="134"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Proteograph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Suite is the only commercial solution capable of standardized, deep, unbiased proteomics at population scale</w:t>
      </w:r>
    </w:p>
    <w:p>
      <w:pPr>
        <w:spacing w:after="0" w:line="5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patent applications and issued patents, including 80+ issued patents worldwide</w:t>
      </w:r>
    </w:p>
    <w:p>
      <w:pPr>
        <w:spacing w:after="0" w:line="110"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Seer is uniquely positioned to define, lead, and scale the deep, unbiased proteomics market, which we believe has the potential to substantially mirror the trajectory of genomics over the past 20 years</w:t>
      </w:r>
    </w:p>
    <w:p>
      <w:pPr>
        <w:spacing w:after="0" w:line="26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Rapidly Growing Scientific Validation and Population-Scale Studies</w:t>
      </w:r>
    </w:p>
    <w:p>
      <w:pPr>
        <w:spacing w:after="0" w:line="134"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Featured in 84 peer-reviewed publications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 doubling in number over the past year</w:t>
      </w:r>
    </w:p>
    <w:p>
      <w:pPr>
        <w:spacing w:after="0" w:line="106" w:lineRule="exact"/>
        <w:rPr>
          <w:rFonts w:ascii="Times New Roman" w:cs="Times New Roman" w:eastAsia="Times New Roman" w:hAnsi="Times New Roman"/>
          <w:sz w:val="18"/>
          <w:szCs w:val="18"/>
          <w:color w:val="auto"/>
        </w:rPr>
      </w:pPr>
    </w:p>
    <w:p>
      <w:pPr>
        <w:ind w:left="420" w:right="12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Seer, Inc., “Seer Reports First Quarter 2026 Financial Results and Reaffirms Full Year 2026 Outlook,” press release (May 13, 2026), available at </w:t>
      </w:r>
      <w:r>
        <w:rPr>
          <w:rFonts w:ascii="Times New Roman" w:cs="Times New Roman" w:eastAsia="Times New Roman" w:hAnsi="Times New Roman"/>
          <w:sz w:val="18"/>
          <w:szCs w:val="18"/>
          <w:u w:val="single" w:color="auto"/>
          <w:color w:val="auto"/>
        </w:rPr>
        <w:t>https://investor.seer.bio/news-releases/news-release-details/seer-reports-first-quarter-2026-financial-results-and-reaffirms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-322580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2" w:name="page3"/>
    <w:bookmarkEnd w:id="2"/>
    <w:p>
      <w:pPr>
        <w:ind w:left="964" w:right="300" w:hanging="424"/>
        <w:spacing w:after="0" w:line="198"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Landmark population-scale studies are underway with Korea University (20,000-sample cancer diagnostics study),</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Discovery Life Sciences, and an NIH-funded multi-omics program</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reflecting the scale and depth of proteomics research that was simply not possible prior to Seer</w:t>
      </w:r>
    </w:p>
    <w:p>
      <w:pPr>
        <w:spacing w:after="0" w:line="30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Accelerating Commercial Momentum</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base expanded 67% over the past year, with consumable kit sample volumes growing 69%</w:t>
      </w:r>
      <w:r>
        <w:rPr>
          <w:rFonts w:ascii="Times New Roman" w:cs="Times New Roman" w:eastAsia="Times New Roman" w:hAnsi="Times New Roman"/>
          <w:sz w:val="26"/>
          <w:szCs w:val="26"/>
          <w:color w:val="auto"/>
          <w:vertAlign w:val="superscript"/>
        </w:rPr>
        <w:t>4</w:t>
      </w:r>
    </w:p>
    <w:p>
      <w:pPr>
        <w:spacing w:after="0" w:line="58"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utilization by existing customers alongside new customer adoption signals durable, recurring revenue growth</w:t>
      </w:r>
    </w:p>
    <w:p>
      <w:pPr>
        <w:spacing w:after="0" w:line="30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Disciplined Financial Management and Capital Allocation</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declined approximately 4.3%</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in 2024 and 19.3%</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in 2025 year-over-year, even as product launches accelerated</w:t>
      </w:r>
    </w:p>
    <w:p>
      <w:pPr>
        <w:spacing w:after="0" w:line="58" w:lineRule="exact"/>
        <w:rPr>
          <w:rFonts w:ascii="Times New Roman" w:cs="Times New Roman" w:eastAsia="Times New Roman" w:hAnsi="Times New Roman"/>
          <w:sz w:val="18"/>
          <w:szCs w:val="18"/>
          <w:color w:val="auto"/>
        </w:rPr>
      </w:pPr>
    </w:p>
    <w:p>
      <w:pPr>
        <w:ind w:left="964" w:right="120" w:hanging="424"/>
        <w:spacing w:after="0" w:line="204"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2026 operating expenses of $18.2M represent a meaningful reduction from $22.8M in Q1 2025,</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with Seer well-funded to execute on our long-term strategy</w:t>
      </w:r>
    </w:p>
    <w:p>
      <w:pPr>
        <w:spacing w:after="0" w:line="103" w:lineRule="exact"/>
        <w:rPr>
          <w:rFonts w:ascii="Times New Roman" w:cs="Times New Roman" w:eastAsia="Times New Roman" w:hAnsi="Times New Roman"/>
          <w:sz w:val="18"/>
          <w:szCs w:val="18"/>
          <w:color w:val="auto"/>
        </w:rPr>
      </w:pPr>
    </w:p>
    <w:p>
      <w:pPr>
        <w:ind w:left="964" w:hanging="424"/>
        <w:spacing w:after="0" w:line="296"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2024, Seer has repurchased approximately 13.2M shares at a volume-weighted average price of $1.86 (~$24.5M deployed), reducing net diluted shares by ~15%,</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with a new $25M buyback announced in February 2026</w:t>
      </w:r>
    </w:p>
    <w:p>
      <w:pPr>
        <w:spacing w:after="0" w:line="12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Robust Innovation Pipeline</w:t>
      </w:r>
    </w:p>
    <w:p>
      <w:pPr>
        <w:spacing w:after="0" w:line="134" w:lineRule="exact"/>
        <w:rPr>
          <w:rFonts w:ascii="Times New Roman" w:cs="Times New Roman" w:eastAsia="Times New Roman" w:hAnsi="Times New Roman"/>
          <w:sz w:val="18"/>
          <w:szCs w:val="18"/>
          <w:b w:val="1"/>
          <w:bCs w:val="1"/>
          <w:color w:val="auto"/>
        </w:rPr>
      </w:pPr>
    </w:p>
    <w:p>
      <w:pPr>
        <w:ind w:left="964" w:right="40" w:hanging="424"/>
        <w:spacing w:after="0" w:line="213"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May 2025 launch of the SP200 Automation Instrument and Proteograph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ONE Assay advanced next-generation proteomics detection and its performance has enabled landmark population-scale studies</w:t>
      </w:r>
    </w:p>
    <w:p>
      <w:pPr>
        <w:spacing w:after="0" w:line="104" w:lineRule="exact"/>
        <w:rPr>
          <w:rFonts w:ascii="Times New Roman" w:cs="Times New Roman" w:eastAsia="Times New Roman" w:hAnsi="Times New Roman"/>
          <w:sz w:val="18"/>
          <w:szCs w:val="18"/>
          <w:color w:val="auto"/>
        </w:rPr>
      </w:pPr>
    </w:p>
    <w:p>
      <w:pPr>
        <w:ind w:left="964" w:right="56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next-generation proteomics detector in development will create an end-to-end sample-to-data proteomics solution, expanding the addressable market well beyond existing mass spectrometry users</w:t>
      </w:r>
    </w:p>
    <w:p>
      <w:pPr>
        <w:spacing w:after="0" w:line="26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 Experienced and Dedicated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71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4" w:lineRule="exact"/>
        <w:rPr>
          <w:sz w:val="20"/>
          <w:szCs w:val="20"/>
          <w:color w:val="auto"/>
        </w:rPr>
      </w:pPr>
    </w:p>
    <w:p>
      <w:pPr>
        <w:ind w:left="424" w:right="160" w:hanging="424"/>
        <w:spacing w:after="0" w:line="218" w:lineRule="auto"/>
        <w:tabs>
          <w:tab w:leader="none" w:pos="424"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Seer, Inc., “Seer’s Proteograph Platform Enables Unprecedented 20,000-Sample Proteomics Study with Korea University to Develop AI-Driven Diagnostics for Cancers in Young Adults,” press release (June 1, 2025), available at </w:t>
      </w:r>
      <w:r>
        <w:rPr>
          <w:rFonts w:ascii="Times New Roman" w:cs="Times New Roman" w:eastAsia="Times New Roman" w:hAnsi="Times New Roman"/>
          <w:sz w:val="17"/>
          <w:szCs w:val="17"/>
          <w:u w:val="single" w:color="auto"/>
          <w:color w:val="auto"/>
        </w:rPr>
        <w:t>https://investor.seer.bio/news-releases/news-release-</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u w:val="single" w:color="auto"/>
          <w:color w:val="auto"/>
        </w:rPr>
        <w:t>details/seers-proteograph-platform-enables-unprecedented-20000-sample</w:t>
      </w:r>
      <w:r>
        <w:rPr>
          <w:rFonts w:ascii="Times New Roman" w:cs="Times New Roman" w:eastAsia="Times New Roman" w:hAnsi="Times New Roman"/>
          <w:sz w:val="18"/>
          <w:szCs w:val="18"/>
          <w:color w:val="auto"/>
        </w:rPr>
        <w:t>.</w:t>
      </w:r>
    </w:p>
    <w:p>
      <w:pPr>
        <w:ind w:left="424" w:hanging="424"/>
        <w:spacing w:after="0" w:line="180" w:lineRule="auto"/>
        <w:tabs>
          <w:tab w:leader="none" w:pos="424"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Seer, Inc. Q4 and FY 2025 Earnings Conference Call webcast (February 26, 2026), available at </w:t>
      </w:r>
      <w:r>
        <w:rPr>
          <w:rFonts w:ascii="Times New Roman" w:cs="Times New Roman" w:eastAsia="Times New Roman" w:hAnsi="Times New Roman"/>
          <w:sz w:val="17"/>
          <w:szCs w:val="17"/>
          <w:u w:val="single" w:color="auto"/>
          <w:color w:val="auto"/>
        </w:rPr>
        <w:t>https://edge.media-server.com/mmc/p/7qayq4eh</w:t>
      </w:r>
      <w:r>
        <w:rPr>
          <w:rFonts w:ascii="Times New Roman" w:cs="Times New Roman" w:eastAsia="Times New Roman" w:hAnsi="Times New Roman"/>
          <w:sz w:val="17"/>
          <w:szCs w:val="17"/>
          <w:color w:val="auto"/>
        </w:rPr>
        <w:t>.</w:t>
      </w:r>
    </w:p>
    <w:p>
      <w:pPr>
        <w:ind w:left="424" w:hanging="424"/>
        <w:spacing w:after="0" w:line="180" w:lineRule="auto"/>
        <w:tabs>
          <w:tab w:leader="none" w:pos="424"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 xml:space="preserve">Seer, Inc. Fourth Quarter and Full Year 2025 Earnings Conference Call webcast (February 26, 2026), available at </w:t>
      </w:r>
      <w:r>
        <w:rPr>
          <w:rFonts w:ascii="Times New Roman" w:cs="Times New Roman" w:eastAsia="Times New Roman" w:hAnsi="Times New Roman"/>
          <w:sz w:val="17"/>
          <w:szCs w:val="17"/>
          <w:u w:val="single" w:color="auto"/>
          <w:color w:val="auto"/>
        </w:rPr>
        <w:t>https://edge.media-</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u w:val="single" w:color="auto"/>
          <w:color w:val="auto"/>
        </w:rPr>
        <w:t>server.com/mmc/p/7qayq4eh</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424" w:right="120" w:hanging="424"/>
        <w:spacing w:after="0" w:line="209" w:lineRule="auto"/>
        <w:tabs>
          <w:tab w:leader="none" w:pos="424"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Seer, Inc., “Seer Reports Fourth Quarter and Full Year 2024 Financial Results and Provides Full Year 2025 Outlook,” press release (February 27, 2025), available at </w:t>
      </w:r>
      <w:r>
        <w:rPr>
          <w:rFonts w:ascii="Times New Roman" w:cs="Times New Roman" w:eastAsia="Times New Roman" w:hAnsi="Times New Roman"/>
          <w:sz w:val="17"/>
          <w:szCs w:val="17"/>
          <w:u w:val="single" w:color="auto"/>
          <w:color w:val="auto"/>
        </w:rPr>
        <w:t>https://investor.seer.bio/news-releases/news-release-details/seer-reports-fourth-quarter-and-full-year-2024-financial-results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24" w:right="120" w:hanging="424"/>
        <w:spacing w:after="0" w:line="209" w:lineRule="auto"/>
        <w:tabs>
          <w:tab w:leader="none" w:pos="424"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Seer, Inc., “Seer Reports Fourth Quarter and Full Year 2025 Financial Results and Provides Full Year 2026 Outlook,” press release (February 26, 2026), available at </w:t>
      </w:r>
      <w:r>
        <w:rPr>
          <w:rFonts w:ascii="Times New Roman" w:cs="Times New Roman" w:eastAsia="Times New Roman" w:hAnsi="Times New Roman"/>
          <w:sz w:val="17"/>
          <w:szCs w:val="17"/>
          <w:u w:val="single" w:color="auto"/>
          <w:color w:val="auto"/>
        </w:rPr>
        <w:t>https://investor.seer.bio/news-releases/news-release-details/seer-reports-fourth-quarter-and-full-year-2025-financial-results</w:t>
      </w:r>
      <w:r>
        <w:rPr>
          <w:rFonts w:ascii="Times New Roman" w:cs="Times New Roman" w:eastAsia="Times New Roman" w:hAnsi="Times New Roman"/>
          <w:sz w:val="17"/>
          <w:szCs w:val="17"/>
          <w:color w:val="auto"/>
        </w:rPr>
        <w:t>.</w:t>
      </w:r>
    </w:p>
    <w:p>
      <w:pPr>
        <w:ind w:left="424" w:hanging="424"/>
        <w:spacing w:after="0" w:line="181" w:lineRule="auto"/>
        <w:tabs>
          <w:tab w:leader="none" w:pos="424"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Seer, Inc., “Seer Reports First Quarter 2026 Financial Results and Reaffirms Full Year 2026 Outlook,” press release (May 13, 2026), available at</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u w:val="single" w:color="auto"/>
          <w:color w:val="auto"/>
        </w:rPr>
        <w:t>https://investor.seer.bio/news-releases/news-release-details/seer-reports-first-quarter-2026-financial-results-and-reaffirms</w:t>
      </w:r>
      <w:r>
        <w:rPr>
          <w:rFonts w:ascii="Times New Roman" w:cs="Times New Roman" w:eastAsia="Times New Roman" w:hAnsi="Times New Roman"/>
          <w:sz w:val="18"/>
          <w:szCs w:val="18"/>
          <w:color w:val="auto"/>
        </w:rPr>
        <w:t>.</w:t>
      </w:r>
    </w:p>
    <w:p>
      <w:pPr>
        <w:ind w:left="424" w:hanging="424"/>
        <w:spacing w:after="0" w:line="186" w:lineRule="auto"/>
        <w:tabs>
          <w:tab w:leader="none" w:pos="424"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 xml:space="preserve">Seer, Inc. Q1 2026 Earnings Conference Call webcast (May 13, 2026), available at </w:t>
      </w:r>
      <w:r>
        <w:rPr>
          <w:rFonts w:ascii="Times New Roman" w:cs="Times New Roman" w:eastAsia="Times New Roman" w:hAnsi="Times New Roman"/>
          <w:sz w:val="17"/>
          <w:szCs w:val="17"/>
          <w:u w:val="single" w:color="auto"/>
          <w:color w:val="auto"/>
        </w:rPr>
        <w:t>https://edge.media-server.com/mmc/p/krwrnxpf/.</w:t>
      </w:r>
    </w:p>
    <w:p>
      <w:pPr>
        <w:sectPr>
          <w:pgSz w:w="11900" w:h="16838" w:orient="portrait"/>
          <w:cols w:equalWidth="0" w:num="1">
            <w:col w:w="10984"/>
          </w:cols>
          <w:pgMar w:left="436" w:top="270" w:right="479" w:bottom="1440" w:gutter="0" w:footer="0" w:header="0"/>
        </w:sectPr>
      </w:pPr>
    </w:p>
    <w:bookmarkStart w:id="3" w:name="page4"/>
    <w:bookmarkEnd w:id="3"/>
    <w:p>
      <w:pPr>
        <w:ind w:left="964" w:right="260" w:hanging="424"/>
        <w:spacing w:after="0" w:line="282"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Seer benefits from an independent and highly engaged Board that is purpose-built to oversee our strategy as we continue pioneering the nascent space of proteomics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on the BLUE proxy card supports the three highly qualified directors Radoff and Torok are specifically seeking to replace:</w:t>
      </w:r>
    </w:p>
    <w:p>
      <w:pPr>
        <w:spacing w:after="0" w:line="126" w:lineRule="exact"/>
        <w:rPr>
          <w:rFonts w:ascii="Times New Roman" w:cs="Times New Roman" w:eastAsia="Times New Roman" w:hAnsi="Times New Roman"/>
          <w:sz w:val="18"/>
          <w:szCs w:val="18"/>
          <w:color w:val="auto"/>
        </w:rPr>
      </w:pPr>
    </w:p>
    <w:p>
      <w:pPr>
        <w:ind w:left="1424" w:hanging="331"/>
        <w:spacing w:after="0" w:line="236" w:lineRule="auto"/>
        <w:tabs>
          <w:tab w:leader="none" w:pos="14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Omid Farokhzad, M.D. </w:t>
      </w:r>
      <w:r>
        <w:rPr>
          <w:rFonts w:ascii="Times New Roman" w:cs="Times New Roman" w:eastAsia="Times New Roman" w:hAnsi="Times New Roman"/>
          <w:sz w:val="18"/>
          <w:szCs w:val="18"/>
          <w:color w:val="auto"/>
        </w:rPr>
        <w:t>— Co-founder and CEO of Seer; the scientific architect of the Proteograph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author of 200+ scientific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papers and inventor on 250+ patents; founder of multiple life sciences platform companies; and, together with his family entities, is a long-term stockholder and Seer’s largest stockholder.</w:t>
      </w:r>
      <w:r>
        <w:rPr>
          <w:rFonts w:ascii="Times New Roman" w:cs="Times New Roman" w:eastAsia="Times New Roman" w:hAnsi="Times New Roman"/>
          <w:sz w:val="26"/>
          <w:szCs w:val="26"/>
          <w:color w:val="auto"/>
          <w:vertAlign w:val="superscript"/>
        </w:rPr>
        <w:t>9</w:t>
      </w:r>
    </w:p>
    <w:p>
      <w:pPr>
        <w:spacing w:after="0" w:line="1" w:lineRule="exact"/>
        <w:rPr>
          <w:rFonts w:ascii="Times New Roman" w:cs="Times New Roman" w:eastAsia="Times New Roman" w:hAnsi="Times New Roman"/>
          <w:sz w:val="18"/>
          <w:szCs w:val="18"/>
          <w:color w:val="auto"/>
        </w:rPr>
      </w:pPr>
    </w:p>
    <w:p>
      <w:pPr>
        <w:ind w:left="1424" w:right="20" w:hanging="331"/>
        <w:spacing w:after="0" w:line="262" w:lineRule="auto"/>
        <w:tabs>
          <w:tab w:leader="none" w:pos="14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Terrance McGuire </w:t>
      </w:r>
      <w:r>
        <w:rPr>
          <w:rFonts w:ascii="Times New Roman" w:cs="Times New Roman" w:eastAsia="Times New Roman" w:hAnsi="Times New Roman"/>
          <w:sz w:val="18"/>
          <w:szCs w:val="18"/>
          <w:color w:val="auto"/>
        </w:rPr>
        <w:t>— Founding Partner of Polaris Partners; decades of capital-allocation and governance judgment; and invested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Seer at inception and again at Seer’s IPO, making him one of our longest-term stockholders.</w:t>
      </w:r>
      <w:r>
        <w:rPr>
          <w:rFonts w:ascii="Times New Roman" w:cs="Times New Roman" w:eastAsia="Times New Roman" w:hAnsi="Times New Roman"/>
          <w:sz w:val="26"/>
          <w:szCs w:val="26"/>
          <w:color w:val="auto"/>
          <w:vertAlign w:val="superscript"/>
        </w:rPr>
        <w:t>10</w:t>
      </w:r>
    </w:p>
    <w:p>
      <w:pPr>
        <w:spacing w:after="0" w:line="1" w:lineRule="exact"/>
        <w:rPr>
          <w:rFonts w:ascii="Times New Roman" w:cs="Times New Roman" w:eastAsia="Times New Roman" w:hAnsi="Times New Roman"/>
          <w:sz w:val="18"/>
          <w:szCs w:val="18"/>
          <w:color w:val="auto"/>
        </w:rPr>
      </w:pPr>
    </w:p>
    <w:p>
      <w:pPr>
        <w:ind w:left="1424" w:right="40" w:hanging="331"/>
        <w:spacing w:after="0" w:line="254" w:lineRule="auto"/>
        <w:tabs>
          <w:tab w:leader="none" w:pos="14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Dipchand (Deep) Nishar </w:t>
      </w:r>
      <w:r>
        <w:rPr>
          <w:rFonts w:ascii="Times New Roman" w:cs="Times New Roman" w:eastAsia="Times New Roman" w:hAnsi="Times New Roman"/>
          <w:sz w:val="18"/>
          <w:szCs w:val="18"/>
          <w:color w:val="auto"/>
        </w:rPr>
        <w:t>— Former Senior Managing Partner at SoftBank Vision Fund and Managing Director at General Catalyst;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deep capital-markets, growth-investing, and corporate-strategy expertise; and invested in Seer while at Softbank, which remains Seer’s second largest stockholder.</w:t>
      </w:r>
      <w:r>
        <w:rPr>
          <w:rFonts w:ascii="Times New Roman" w:cs="Times New Roman" w:eastAsia="Times New Roman" w:hAnsi="Times New Roman"/>
          <w:sz w:val="26"/>
          <w:szCs w:val="26"/>
          <w:color w:val="auto"/>
          <w:vertAlign w:val="superscript"/>
        </w:rPr>
        <w:t>11</w:t>
      </w:r>
    </w:p>
    <w:p>
      <w:pPr>
        <w:spacing w:after="0" w:line="1" w:lineRule="exact"/>
        <w:rPr>
          <w:sz w:val="20"/>
          <w:szCs w:val="20"/>
          <w:color w:val="auto"/>
        </w:rPr>
      </w:pPr>
    </w:p>
    <w:p>
      <w:pPr>
        <w:ind w:left="444" w:right="80"/>
        <w:spacing w:after="0" w:line="252" w:lineRule="auto"/>
        <w:rPr>
          <w:sz w:val="20"/>
          <w:szCs w:val="20"/>
          <w:color w:val="auto"/>
        </w:rPr>
      </w:pPr>
      <w:r>
        <w:rPr>
          <w:rFonts w:ascii="Times New Roman" w:cs="Times New Roman" w:eastAsia="Times New Roman" w:hAnsi="Times New Roman"/>
          <w:sz w:val="18"/>
          <w:szCs w:val="18"/>
          <w:color w:val="auto"/>
        </w:rPr>
        <w:t>In contrast, we believe Bradley Radoff and Michael Torok are looking to thwart our progress through a short-term and self-interested campaign that risks disrupting Seer’s momentum at a critical stage of execution and value creation. Radoff and Torok have offered no plan to build Seer; their only plan is to sell Seer and capture, for their own benefit, our long-term value that belongs to all stockholders, before that compelling value can be realized. Radoff and Torok’s three nominees bring no proteomics, life sciences tools, or platform operating experience at a time when Seer is at a critical stage of execution.</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Your vote is very important. Vote the BLUE proxy card today “FOR” ONLY Seer’s highly qualified nominees.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Thank you for your continued support of Seer.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Sincerely, The Seer Board of Directors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If you have any questions or require any assistance with voting your shares,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please call:</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Stockholders may call toll free: (877) 456-3524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Seer, Inc., Definitive Proxy Statement on Schedule 14A, filed with the U.S. Securities and Exchange Commission (June 3, 2026), available at</w:t>
      </w:r>
    </w:p>
    <w:p>
      <w:pPr>
        <w:spacing w:after="0" w:line="2" w:lineRule="exact"/>
        <w:rPr>
          <w:sz w:val="20"/>
          <w:szCs w:val="20"/>
          <w:color w:val="auto"/>
        </w:rPr>
      </w:pPr>
    </w:p>
    <w:p>
      <w:pPr>
        <w:ind w:left="424"/>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https://www.sec.gov/ix?doc=/Archives/edgar/data/0001726445/000119312526255770/d28912ddefc14a.htm</w:t>
        </w:r>
      </w:hyperlink>
      <w:r>
        <w:rPr>
          <w:rFonts w:ascii="Times New Roman" w:cs="Times New Roman" w:eastAsia="Times New Roman" w:hAnsi="Times New Roman"/>
          <w:sz w:val="18"/>
          <w:szCs w:val="18"/>
          <w:color w:val="000000"/>
        </w:rPr>
        <w:t>.</w:t>
      </w:r>
    </w:p>
    <w:p>
      <w:pPr>
        <w:ind w:left="424" w:hanging="424"/>
        <w:spacing w:after="0" w:line="186" w:lineRule="auto"/>
        <w:tabs>
          <w:tab w:leader="none" w:pos="424"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Ibid.</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Ibid.</w:t>
      </w:r>
    </w:p>
    <w:p>
      <w:pPr>
        <w:sectPr>
          <w:pgSz w:w="11900" w:h="16838" w:orient="portrait"/>
          <w:cols w:equalWidth="0" w:num="1">
            <w:col w:w="11004"/>
          </w:cols>
          <w:pgMar w:left="436"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Advisors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Perella Weinberg Partners LP is serving as financial advisor to Seer and Wilson Sonsini Goodrich &amp; Rosati, Professional Corporation is serving as legal counsel.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Seer, Inc.</w:t>
      </w:r>
    </w:p>
    <w:p>
      <w:pPr>
        <w:spacing w:after="0" w:line="12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Seer, Inc. (Nasdaq: SEER) sets the standard in deep, unbiased proteomics, delivering insights with a scale, speed, precision and reproducibility previously unattainable. Seer’s Proteograph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t>
      </w:r>
      <w:r>
        <w:rPr>
          <w:rFonts w:ascii="Times New Roman" w:cs="Times New Roman" w:eastAsia="Times New Roman" w:hAnsi="Times New Roman"/>
          <w:sz w:val="18"/>
          <w:szCs w:val="18"/>
          <w:u w:val="single" w:color="auto"/>
          <w:color w:val="auto"/>
        </w:rPr>
        <w:t>www.seer.bio</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email us at </w:t>
      </w:r>
      <w:r>
        <w:rPr>
          <w:rFonts w:ascii="Times New Roman" w:cs="Times New Roman" w:eastAsia="Times New Roman" w:hAnsi="Times New Roman"/>
          <w:sz w:val="18"/>
          <w:szCs w:val="18"/>
          <w:u w:val="single" w:color="auto"/>
          <w:color w:val="auto"/>
        </w:rPr>
        <w:t>pr@seer.bio</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expectations, strategic opportunities, research and development initiatives,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Schmidt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pr@seer.bio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Brielmann /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Marissa Bych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investor@seer.bio</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6">
    <w:nsid w:val="66EF438D"/>
    <w:multiLevelType w:val="hybridMultilevel"/>
    <w:lvl w:ilvl="0">
      <w:lvlJc w:val="left"/>
      <w:lvlText w:val="%1."/>
      <w:numFmt w:val="decimal"/>
      <w:start w:val="2"/>
    </w:lvl>
    <w:lvl w:ilvl="1">
      <w:lvlJc w:val="left"/>
      <w:lvlText w:val="•"/>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4"/>
      <w:numFmt w:val="bullet"/>
      <w:start w:val="1"/>
    </w:lvl>
  </w:abstractNum>
  <w:abstractNum w:abstractNumId="10">
    <w:nsid w:val="DED7263"/>
    <w:multiLevelType w:val="hybridMultilevel"/>
    <w:lvl w:ilvl="0">
      <w:lvlJc w:val="left"/>
      <w:lvlText w:val="5"/>
      <w:numFmt w:val="bullet"/>
      <w:start w:val="1"/>
    </w:lvl>
  </w:abstractNum>
  <w:abstractNum w:abstractNumId="11">
    <w:nsid w:val="7FDCC233"/>
    <w:multiLevelType w:val="hybridMultilevel"/>
    <w:lvl w:ilvl="0">
      <w:lvlJc w:val="left"/>
      <w:lvlText w:val="6"/>
      <w:numFmt w:val="bullet"/>
      <w:start w:val="1"/>
    </w:lvl>
  </w:abstractNum>
  <w:abstractNum w:abstractNumId="12">
    <w:nsid w:val="1BEFD79F"/>
    <w:multiLevelType w:val="hybridMultilevel"/>
    <w:lvl w:ilvl="0">
      <w:lvlJc w:val="left"/>
      <w:lvlText w:val="7"/>
      <w:numFmt w:val="bullet"/>
      <w:start w:val="1"/>
    </w:lvl>
  </w:abstractNum>
  <w:abstractNum w:abstractNumId="13">
    <w:nsid w:val="41A7C4C9"/>
    <w:multiLevelType w:val="hybridMultilevel"/>
    <w:lvl w:ilvl="0">
      <w:lvlJc w:val="left"/>
      <w:lvlText w:val="8"/>
      <w:numFmt w:val="bullet"/>
      <w:start w:val="1"/>
    </w:lvl>
  </w:abstractNum>
  <w:abstractNum w:abstractNumId="14">
    <w:nsid w:val="6B68079A"/>
    <w:multiLevelType w:val="hybridMultilevel"/>
    <w:lvl w:ilvl="0">
      <w:lvlJc w:val="left"/>
      <w:lvlText w:val="•"/>
      <w:numFmt w:val="bullet"/>
      <w:start w:val="1"/>
    </w:lvl>
    <w:lvl w:ilvl="1">
      <w:lvlJc w:val="left"/>
      <w:lvlText w:val="•"/>
      <w:numFmt w:val="bullet"/>
      <w:start w:val="1"/>
    </w:lvl>
  </w:abstractNum>
  <w:abstractNum w:abstractNumId="15">
    <w:nsid w:val="4E6AFB66"/>
    <w:multiLevelType w:val="hybridMultilevel"/>
    <w:lvl w:ilvl="0">
      <w:lvlJc w:val="left"/>
      <w:lvlText w:val="9"/>
      <w:numFmt w:val="bullet"/>
      <w:start w:val="1"/>
    </w:lvl>
  </w:abstractNum>
  <w:abstractNum w:abstractNumId="16">
    <w:nsid w:val="25E45D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0" Type="http://schemas.openxmlformats.org/officeDocument/2006/relationships/hyperlink" Target="http://www.sec.gov/ix?doc=/Archives/edgar/data/0001726445/000119312526255770/d28912ddefc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2026-06-15T15:59:09Z</dcterms:created>
  <dcterms:modified xsi:type="dcterms:W3CDTF">2026-06-15T15:59:09Z</dcterms:modified>
</cp:coreProperties>
</file>