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3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81578P 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Mark Gurevich</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Maverick Capital, Ltd.</w:t>
      </w:r>
    </w:p>
    <w:p>
      <w:pPr>
        <w:spacing w:after="0" w:line="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1900 N. Pearl Street, 20</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(214) 880-4000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January 4, 2021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9" w:lineRule="exact"/>
        <w:rPr>
          <w:sz w:val="24"/>
          <w:szCs w:val="24"/>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Section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MCV Management Company,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6"/>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2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5,489,063</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5,489,063</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5,489,063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10.3%</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6"/>
              </w:rPr>
              <w:t>IA, OO</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Maverick Capital Management,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Texas</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5,589,063</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5,589,063</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5,589,063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10.4%</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Maverick Ventures Investment Fund,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3,492,320</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3,492,320</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3,492,320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Maverick Advisors Fund,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1,996,743</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1,996,743</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1,996,743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Maverick Capital Ventures,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5,489,063</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5,489,063</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5,489,063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10.3%</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Maverick Capital Advisors,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5,489,063</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5,489,063</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5,489,063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10.3%</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Maverick Capital, Ltd.</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Texas</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Lee S. Ainslie III</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5,589,063</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5,589,063</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5,589,063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10.4%</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David B. Singer</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5,489,063</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5,489,063</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5,489,063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10.3%</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 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Andrew H. Warford</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121" w:lineRule="exact"/>
        <w:rPr>
          <w:sz w:val="20"/>
          <w:szCs w:val="20"/>
          <w:color w:val="auto"/>
        </w:rPr>
      </w:pPr>
    </w:p>
    <w:p>
      <w:pPr>
        <w:jc w:val="both"/>
        <w:ind w:left="440" w:right="460"/>
        <w:spacing w:after="0" w:line="266" w:lineRule="auto"/>
        <w:rPr>
          <w:sz w:val="20"/>
          <w:szCs w:val="20"/>
          <w:color w:val="auto"/>
        </w:rPr>
      </w:pPr>
      <w:r>
        <w:rPr>
          <w:rFonts w:ascii="Times New Roman" w:cs="Times New Roman" w:eastAsia="Times New Roman" w:hAnsi="Times New Roman"/>
          <w:sz w:val="18"/>
          <w:szCs w:val="18"/>
          <w:color w:val="auto"/>
        </w:rPr>
        <w:t>This Schedule 13D relates to the shares of Class A common stock, $0.00001 par value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Seer,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has its principal executive offices at 3800 Bridge Parkway, Suite 102, Redwood City, California, 94065.</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135" w:lineRule="exact"/>
        <w:rPr>
          <w:sz w:val="20"/>
          <w:szCs w:val="20"/>
          <w:color w:val="auto"/>
        </w:rPr>
      </w:pPr>
    </w:p>
    <w:p>
      <w:pPr>
        <w:ind w:left="960" w:hanging="532"/>
        <w:spacing w:after="0" w:line="255"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MCV Management Company, LLC, (“</w:t>
      </w:r>
      <w:r>
        <w:rPr>
          <w:rFonts w:ascii="Times New Roman" w:cs="Times New Roman" w:eastAsia="Times New Roman" w:hAnsi="Times New Roman"/>
          <w:sz w:val="18"/>
          <w:szCs w:val="18"/>
          <w:u w:val="single" w:color="auto"/>
          <w:color w:val="auto"/>
        </w:rPr>
        <w:t>MCV</w:t>
      </w:r>
      <w:r>
        <w:rPr>
          <w:rFonts w:ascii="Times New Roman" w:cs="Times New Roman" w:eastAsia="Times New Roman" w:hAnsi="Times New Roman"/>
          <w:sz w:val="18"/>
          <w:szCs w:val="18"/>
          <w:color w:val="auto"/>
        </w:rPr>
        <w:t>”), Maverick Capital Management, LLC (“</w:t>
      </w:r>
      <w:r>
        <w:rPr>
          <w:rFonts w:ascii="Times New Roman" w:cs="Times New Roman" w:eastAsia="Times New Roman" w:hAnsi="Times New Roman"/>
          <w:sz w:val="18"/>
          <w:szCs w:val="18"/>
          <w:u w:val="single" w:color="auto"/>
          <w:color w:val="auto"/>
        </w:rPr>
        <w:t>Maverick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 Management</w:t>
      </w:r>
      <w:r>
        <w:rPr>
          <w:rFonts w:ascii="Times New Roman" w:cs="Times New Roman" w:eastAsia="Times New Roman" w:hAnsi="Times New Roman"/>
          <w:sz w:val="18"/>
          <w:szCs w:val="18"/>
          <w:color w:val="auto"/>
        </w:rPr>
        <w:t>”), Maverick Ventures Investment Fund, L.P. (“</w:t>
      </w:r>
      <w:r>
        <w:rPr>
          <w:rFonts w:ascii="Times New Roman" w:cs="Times New Roman" w:eastAsia="Times New Roman" w:hAnsi="Times New Roman"/>
          <w:sz w:val="18"/>
          <w:szCs w:val="18"/>
          <w:u w:val="single" w:color="auto"/>
          <w:color w:val="auto"/>
        </w:rPr>
        <w:t>Maverick Ventures Fund</w:t>
      </w:r>
      <w:r>
        <w:rPr>
          <w:rFonts w:ascii="Times New Roman" w:cs="Times New Roman" w:eastAsia="Times New Roman" w:hAnsi="Times New Roman"/>
          <w:sz w:val="18"/>
          <w:szCs w:val="18"/>
          <w:color w:val="auto"/>
        </w:rPr>
        <w:t>”), Maverick Advisors Fund, L.P. (“</w:t>
      </w:r>
      <w:r>
        <w:rPr>
          <w:rFonts w:ascii="Times New Roman" w:cs="Times New Roman" w:eastAsia="Times New Roman" w:hAnsi="Times New Roman"/>
          <w:sz w:val="18"/>
          <w:szCs w:val="18"/>
          <w:u w:val="single" w:color="auto"/>
          <w:color w:val="auto"/>
        </w:rPr>
        <w:t>Maverick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Advisors Fund</w:t>
      </w:r>
      <w:r>
        <w:rPr>
          <w:rFonts w:ascii="Times New Roman" w:cs="Times New Roman" w:eastAsia="Times New Roman" w:hAnsi="Times New Roman"/>
          <w:sz w:val="18"/>
          <w:szCs w:val="18"/>
          <w:color w:val="auto"/>
        </w:rPr>
        <w:t>”), Maverick Capital Ventures, LLC (“</w:t>
      </w:r>
      <w:r>
        <w:rPr>
          <w:rFonts w:ascii="Times New Roman" w:cs="Times New Roman" w:eastAsia="Times New Roman" w:hAnsi="Times New Roman"/>
          <w:sz w:val="18"/>
          <w:szCs w:val="18"/>
          <w:u w:val="single" w:color="auto"/>
          <w:color w:val="auto"/>
        </w:rPr>
        <w:t>Maverick Ventures</w:t>
      </w:r>
      <w:r>
        <w:rPr>
          <w:rFonts w:ascii="Times New Roman" w:cs="Times New Roman" w:eastAsia="Times New Roman" w:hAnsi="Times New Roman"/>
          <w:sz w:val="18"/>
          <w:szCs w:val="18"/>
          <w:color w:val="auto"/>
        </w:rPr>
        <w:t>”), Maverick Capital Advisors, L.P. (“</w:t>
      </w:r>
      <w:r>
        <w:rPr>
          <w:rFonts w:ascii="Times New Roman" w:cs="Times New Roman" w:eastAsia="Times New Roman" w:hAnsi="Times New Roman"/>
          <w:sz w:val="18"/>
          <w:szCs w:val="18"/>
          <w:u w:val="single" w:color="auto"/>
          <w:color w:val="auto"/>
        </w:rPr>
        <w:t>Maverick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Advisors</w:t>
      </w:r>
      <w:r>
        <w:rPr>
          <w:rFonts w:ascii="Times New Roman" w:cs="Times New Roman" w:eastAsia="Times New Roman" w:hAnsi="Times New Roman"/>
          <w:sz w:val="18"/>
          <w:szCs w:val="18"/>
          <w:color w:val="auto"/>
        </w:rPr>
        <w:t>”), Maverick Capital, Ltd. (“</w:t>
      </w:r>
      <w:r>
        <w:rPr>
          <w:rFonts w:ascii="Times New Roman" w:cs="Times New Roman" w:eastAsia="Times New Roman" w:hAnsi="Times New Roman"/>
          <w:sz w:val="18"/>
          <w:szCs w:val="18"/>
          <w:u w:val="single" w:color="auto"/>
          <w:color w:val="auto"/>
        </w:rPr>
        <w:t>Maverick Capital</w:t>
      </w:r>
      <w:r>
        <w:rPr>
          <w:rFonts w:ascii="Times New Roman" w:cs="Times New Roman" w:eastAsia="Times New Roman" w:hAnsi="Times New Roman"/>
          <w:sz w:val="18"/>
          <w:szCs w:val="18"/>
          <w:color w:val="auto"/>
        </w:rPr>
        <w:t>”), Lee S. Ainslie III (“</w:t>
      </w:r>
      <w:r>
        <w:rPr>
          <w:rFonts w:ascii="Times New Roman" w:cs="Times New Roman" w:eastAsia="Times New Roman" w:hAnsi="Times New Roman"/>
          <w:sz w:val="18"/>
          <w:szCs w:val="18"/>
          <w:u w:val="single" w:color="auto"/>
          <w:color w:val="auto"/>
        </w:rPr>
        <w:t>Mr. Ainslie</w:t>
      </w:r>
      <w:r>
        <w:rPr>
          <w:rFonts w:ascii="Times New Roman" w:cs="Times New Roman" w:eastAsia="Times New Roman" w:hAnsi="Times New Roman"/>
          <w:sz w:val="18"/>
          <w:szCs w:val="18"/>
          <w:color w:val="auto"/>
        </w:rPr>
        <w:t>”), Andrew H. Warford (“</w:t>
      </w:r>
      <w:r>
        <w:rPr>
          <w:rFonts w:ascii="Times New Roman" w:cs="Times New Roman" w:eastAsia="Times New Roman" w:hAnsi="Times New Roman"/>
          <w:sz w:val="18"/>
          <w:szCs w:val="18"/>
          <w:u w:val="single" w:color="auto"/>
          <w:color w:val="auto"/>
        </w:rPr>
        <w:t>Mr. Warford</w:t>
      </w:r>
      <w:r>
        <w:rPr>
          <w:rFonts w:ascii="Times New Roman" w:cs="Times New Roman" w:eastAsia="Times New Roman" w:hAnsi="Times New Roman"/>
          <w:sz w:val="18"/>
          <w:szCs w:val="18"/>
          <w:color w:val="auto"/>
        </w:rPr>
        <w:t>”), and David B. Singer (“</w:t>
      </w:r>
      <w:r>
        <w:rPr>
          <w:rFonts w:ascii="Times New Roman" w:cs="Times New Roman" w:eastAsia="Times New Roman" w:hAnsi="Times New Roman"/>
          <w:sz w:val="18"/>
          <w:szCs w:val="18"/>
          <w:u w:val="single" w:color="auto"/>
          <w:color w:val="auto"/>
        </w:rPr>
        <w:t>Mr. Singer</w:t>
      </w:r>
      <w:r>
        <w:rPr>
          <w:rFonts w:ascii="Times New Roman" w:cs="Times New Roman" w:eastAsia="Times New Roman" w:hAnsi="Times New Roman"/>
          <w:sz w:val="18"/>
          <w:szCs w:val="18"/>
          <w:color w:val="auto"/>
        </w:rPr>
        <w:t>”, and together with each of the foregoing,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The agreement among the Reporting Persons to file this Schedule 13D jointly in accordance with Rule 13d-1(k) of the Securities Exchange Act of 1934, as amended, is attached hereto as Exhibit 1.</w:t>
      </w:r>
    </w:p>
    <w:p>
      <w:pPr>
        <w:spacing w:after="0" w:line="94" w:lineRule="exact"/>
        <w:rPr>
          <w:rFonts w:ascii="Times New Roman" w:cs="Times New Roman" w:eastAsia="Times New Roman" w:hAnsi="Times New Roman"/>
          <w:sz w:val="18"/>
          <w:szCs w:val="18"/>
          <w:color w:val="auto"/>
        </w:rPr>
      </w:pPr>
    </w:p>
    <w:p>
      <w:pPr>
        <w:ind w:left="960" w:right="16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(i) MCV, Maverick Capital Management, Maverick Ventures Fund, Maverick Advisors Fund, Maverick Ventures, Maverick Capital Advisors, and Maverick Capital is 1900 N. Pearl Street, 20th Floor, Dallas, Texas 75201, (ii) Messrs. Ainslie and Warford and Singer is 767 Fifth Avenue, 11th Floor, New York, New York 10153, and (iii) Mr. Singer is One Letterman Drive, Building D, Suite DM100, San Francisco, CA 94129.</w:t>
      </w:r>
    </w:p>
    <w:p>
      <w:pPr>
        <w:spacing w:after="0" w:line="85" w:lineRule="exact"/>
        <w:rPr>
          <w:rFonts w:ascii="Times New Roman" w:cs="Times New Roman" w:eastAsia="Times New Roman" w:hAnsi="Times New Roman"/>
          <w:sz w:val="18"/>
          <w:szCs w:val="18"/>
          <w:color w:val="auto"/>
        </w:rPr>
      </w:pPr>
    </w:p>
    <w:p>
      <w:pPr>
        <w:ind w:left="960" w:right="140" w:hanging="532"/>
        <w:spacing w:after="0" w:line="25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Maverick Ventures Fund and Maverick Advisors Fund is to invest in securities. The principal business of Maverick Ventures is to serve as the general partner of Maverick Ventures Fund and Maverick Advisors Fund. The principal business of MCV and Maverick Capital is to act as investment adviser for certain funds. The principal business of Maverick Capital Advisors is to serve as the general partner for certain funds and the controlling member of Maverick Ventures. The principal business of Maverick Capital Management is to serve as the general partner of Maverick Capital Advisors and Maverick Capital. The principal business of Mr. Singer is to serve as Managing Partner of Maverick Ventures, the principal business of Mr. Warford is to serve as Chairman of the Stock Committee and Managing Partner of Maverick Capital, and the principal business of Mr. Ainslie is to serve as Managing Partner of Maverick Ventures, Managing Partner of Maverick Capital and the manager of Maverick Capital Management.</w:t>
      </w:r>
    </w:p>
    <w:p>
      <w:pPr>
        <w:spacing w:after="0" w:line="97"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67" w:lineRule="exact"/>
        <w:rPr>
          <w:rFonts w:ascii="Times New Roman" w:cs="Times New Roman" w:eastAsia="Times New Roman" w:hAnsi="Times New Roman"/>
          <w:sz w:val="18"/>
          <w:szCs w:val="18"/>
          <w:color w:val="auto"/>
        </w:rPr>
      </w:pPr>
    </w:p>
    <w:p>
      <w:pPr>
        <w:ind w:left="960" w:right="160" w:hanging="532"/>
        <w:spacing w:after="0" w:line="289"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63" w:lineRule="exact"/>
        <w:rPr>
          <w:rFonts w:ascii="Times New Roman" w:cs="Times New Roman" w:eastAsia="Times New Roman" w:hAnsi="Times New Roman"/>
          <w:sz w:val="17"/>
          <w:szCs w:val="17"/>
          <w:color w:val="auto"/>
        </w:rPr>
      </w:pPr>
    </w:p>
    <w:p>
      <w:pPr>
        <w:ind w:left="960" w:right="20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MCV is a Delaware limited liability company. Maverick Capital Management is a Texas limited liability company. Maverick Ventures Fund is a Delaware limited partnership. Maverick Advisors Fund is a Delaware limited partnership. Maverick Ventures is a Delaware limited liability company. Maverick Capital Advisors is a Delaware limited partnership. Maverick Capital is a Texas limited partnership. Messrs. Ainslie, Warford and Singer are citizens of the United States.</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121" w:lineRule="exact"/>
        <w:rPr>
          <w:sz w:val="20"/>
          <w:szCs w:val="20"/>
          <w:color w:val="auto"/>
        </w:rPr>
      </w:pPr>
    </w:p>
    <w:p>
      <w:pPr>
        <w:ind w:left="440" w:right="280"/>
        <w:spacing w:after="0" w:line="261" w:lineRule="auto"/>
        <w:rPr>
          <w:sz w:val="20"/>
          <w:szCs w:val="20"/>
          <w:color w:val="auto"/>
        </w:rPr>
      </w:pPr>
      <w:r>
        <w:rPr>
          <w:rFonts w:ascii="Times New Roman" w:cs="Times New Roman" w:eastAsia="Times New Roman" w:hAnsi="Times New Roman"/>
          <w:sz w:val="18"/>
          <w:szCs w:val="18"/>
          <w:color w:val="auto"/>
        </w:rPr>
        <w:t>Prior to the Issuer’s initial public offering, Maverick Ventures Investment Fund, L.P. and Maverick Advisors Fund, L.P. acquired equity in the Issuer in private placements, which converted to shares of Class A common stock upon the completion of the Issuer’s initial public offering. Certain funds managed by Maverick Capital, Ltd. acquired 100,000 shares of Class A common stock in the initial public offering at a purchase price of $19.00 per share. All purchases were funded by working capital of the funds.</w:t>
      </w:r>
    </w:p>
    <w:p>
      <w:pPr>
        <w:sectPr>
          <w:pgSz w:w="11900" w:h="16838" w:orient="portrait"/>
          <w:cols w:equalWidth="0" w:num="1">
            <w:col w:w="11000"/>
          </w:cols>
          <w:pgMar w:left="440" w:top="266" w:right="459" w:bottom="1440" w:gutter="0" w:footer="0" w:header="0"/>
        </w:sectPr>
      </w:pPr>
    </w:p>
    <w:bookmarkStart w:id="12" w:name="page13"/>
    <w:bookmarkEnd w:id="1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21" w:lineRule="exact"/>
        <w:rPr>
          <w:sz w:val="20"/>
          <w:szCs w:val="20"/>
          <w:color w:val="auto"/>
        </w:rPr>
      </w:pPr>
    </w:p>
    <w:p>
      <w:pPr>
        <w:ind w:left="440" w:right="700"/>
        <w:spacing w:after="0" w:line="282" w:lineRule="auto"/>
        <w:rPr>
          <w:sz w:val="20"/>
          <w:szCs w:val="20"/>
          <w:color w:val="auto"/>
        </w:rPr>
      </w:pPr>
      <w:r>
        <w:rPr>
          <w:rFonts w:ascii="Times New Roman" w:cs="Times New Roman" w:eastAsia="Times New Roman" w:hAnsi="Times New Roman"/>
          <w:sz w:val="18"/>
          <w:szCs w:val="18"/>
          <w:color w:val="auto"/>
        </w:rPr>
        <w:t>The Reporting Persons acquired and hold beneficial ownership of the shares of Class A common stock reported on this Schedule 13D for investment purposes. Mr. Singer is a member of the board of directors of the Issuer.</w:t>
      </w:r>
    </w:p>
    <w:p>
      <w:pPr>
        <w:spacing w:after="0" w:line="54"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Each Reporting Person expects to continuously review such person’s investment in the Issuer and, depending on various factors including but not limited to, the price of the shares of Common Stock, the terms and conditions of the transaction, prevailing market conditions, their legal or other restrictions and such other considerations as such Reporting Person deems relevant, may at any time or from time to time, and subject to any required regulatory approvals, acquire additional shares of Common Stock, preferred stock or other securities convertible into or exercisable or exchangeable for Common Stock from time to time on the open market, in privately-negotiated transactions, directly from the Issuer, or upon the exercise or conversion of securities convertible into or exercisable or exchangeable for Common Stock.</w:t>
      </w:r>
    </w:p>
    <w:p>
      <w:pPr>
        <w:spacing w:after="0" w:line="79"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Each Reporting Person also may, at any time, subject to compliance with applicable securities laws and regulatory requirements dispose or distribute some or all of its of his Common Stock or such other securities as it or he owns or may subsequently acquire depending on various factors, including but not limited to, the price of the shares, the terms and conditions of the transaction and prevailing market conditions, as well as the liquidity and diversification objectives.</w:t>
      </w:r>
    </w:p>
    <w:p>
      <w:pPr>
        <w:spacing w:after="0" w:line="72" w:lineRule="exact"/>
        <w:rPr>
          <w:sz w:val="20"/>
          <w:szCs w:val="20"/>
          <w:color w:val="auto"/>
        </w:rPr>
      </w:pPr>
    </w:p>
    <w:p>
      <w:pPr>
        <w:ind w:left="440" w:right="320"/>
        <w:spacing w:after="0" w:line="266" w:lineRule="auto"/>
        <w:rPr>
          <w:sz w:val="20"/>
          <w:szCs w:val="20"/>
          <w:color w:val="auto"/>
        </w:rPr>
      </w:pPr>
      <w:r>
        <w:rPr>
          <w:rFonts w:ascii="Times New Roman" w:cs="Times New Roman" w:eastAsia="Times New Roman" w:hAnsi="Times New Roman"/>
          <w:sz w:val="18"/>
          <w:szCs w:val="18"/>
          <w:color w:val="auto"/>
        </w:rPr>
        <w:t>Consistent with their investment intent, each Reporting Person may from time to time discuss with the Issuer’s management, directors, other shareholders and others, the Issuer’s performance, business, strategic direction, capital structure, product development program, prospects and management, as well as various ways of maximizing stockholder value, which may or may not include extraordinary transactions.</w:t>
      </w:r>
    </w:p>
    <w:p>
      <w:pPr>
        <w:spacing w:after="0" w:line="68" w:lineRule="exact"/>
        <w:rPr>
          <w:sz w:val="20"/>
          <w:szCs w:val="20"/>
          <w:color w:val="auto"/>
        </w:rPr>
      </w:pPr>
    </w:p>
    <w:p>
      <w:pPr>
        <w:jc w:val="both"/>
        <w:ind w:left="440" w:right="20"/>
        <w:spacing w:after="0" w:line="266" w:lineRule="auto"/>
        <w:rPr>
          <w:sz w:val="20"/>
          <w:szCs w:val="20"/>
          <w:color w:val="auto"/>
        </w:rPr>
      </w:pPr>
      <w:r>
        <w:rPr>
          <w:rFonts w:ascii="Times New Roman" w:cs="Times New Roman" w:eastAsia="Times New Roman" w:hAnsi="Times New Roman"/>
          <w:sz w:val="18"/>
          <w:szCs w:val="18"/>
          <w:color w:val="auto"/>
        </w:rPr>
        <w:t>Except as indicated herein, no Reporting Person, as a stockholder of the Issuer, has any plans or proposals that relates or would result in any of the transactions or other matters specified in clauses (a) though (j) of Item 4 of Schedule 13D. Each Reporting Person may, at any time and from time to time, review or reconsider its or his position and/or change its or his purpose and/or formulate plans or proposals with respect thereto.</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included in Item 6 of this Schedule 13D is incorporated by reference into this Item 4.</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35" w:lineRule="exact"/>
        <w:rPr>
          <w:sz w:val="20"/>
          <w:szCs w:val="20"/>
          <w:color w:val="auto"/>
        </w:rPr>
      </w:pPr>
    </w:p>
    <w:p>
      <w:pPr>
        <w:ind w:left="960" w:right="10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11 and 13 of the cover pages to this Schedule 13D is incorporated by reference. The percentage set forth in row 13 is based on 53,350,763 outstanding shares of Class A common stock as reported by the Issuer.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7 through 10 of the cover pages to this Schedule 13D is incorporated by reference.</w:t>
      </w:r>
    </w:p>
    <w:p>
      <w:pPr>
        <w:spacing w:after="0" w:line="117" w:lineRule="exact"/>
        <w:rPr>
          <w:rFonts w:ascii="Times New Roman" w:cs="Times New Roman" w:eastAsia="Times New Roman" w:hAnsi="Times New Roman"/>
          <w:sz w:val="18"/>
          <w:szCs w:val="18"/>
          <w:color w:val="auto"/>
        </w:rPr>
      </w:pPr>
    </w:p>
    <w:p>
      <w:pPr>
        <w:ind w:left="98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reported on this Schedule 13D include (i) 3,390,559 shares of Class A common stock and 101,761 shares of Class B common stock held of record by Maverick Ventures Fund, (ii) 1,934,954 shares of Class A common stock and 61,789 shares of Class B common stock held of record by Maverick Advisors Fund, and (iii) 100,000 shares of Class A common stock held by funds managed by Maverick Capital. Each share of Class B common stock is convertible at any time into shares of Class A common stock at the option of the holder. The percentages reported on the cover pages of this Schedule 13D are based on 53,350,763 outstanding shares of Class A common stock as reported by the Issuer.</w:t>
      </w:r>
    </w:p>
    <w:p>
      <w:pPr>
        <w:spacing w:after="0" w:line="79" w:lineRule="exact"/>
        <w:rPr>
          <w:rFonts w:ascii="Times New Roman" w:cs="Times New Roman" w:eastAsia="Times New Roman" w:hAnsi="Times New Roman"/>
          <w:sz w:val="18"/>
          <w:szCs w:val="18"/>
          <w:color w:val="auto"/>
        </w:rPr>
      </w:pPr>
    </w:p>
    <w:p>
      <w:pPr>
        <w:ind w:left="98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Ventures is the general partner of Maverick Ventures Fund and Maverick Advisors Fund. Mr. Ainslie and Mr. Singer are the Managing Partners of Maverick Ventures.</w:t>
      </w:r>
    </w:p>
    <w:p>
      <w:pPr>
        <w:spacing w:after="0" w:line="53" w:lineRule="exact"/>
        <w:rPr>
          <w:rFonts w:ascii="Times New Roman" w:cs="Times New Roman" w:eastAsia="Times New Roman" w:hAnsi="Times New Roman"/>
          <w:sz w:val="18"/>
          <w:szCs w:val="18"/>
          <w:color w:val="auto"/>
        </w:rPr>
      </w:pPr>
    </w:p>
    <w:p>
      <w:pPr>
        <w:ind w:left="98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MCV is the investment manager of Maverick Ventures Fund and Maverick Advisors Fund. Maverick Capital Management is the general partner of Maverick Capital Advisors (the controlling member of Maverick Capital Ventures, LLC) and Maverick Capital (the controlling member of MCV). Mr. Ainslie is the manager of Maverick Capital Management. Mr. Warford serves as the Chairman of the Stock Committee of Maverick Capital.</w:t>
      </w:r>
    </w:p>
    <w:p>
      <w:pPr>
        <w:spacing w:after="0" w:line="85" w:lineRule="exact"/>
        <w:rPr>
          <w:rFonts w:ascii="Times New Roman" w:cs="Times New Roman" w:eastAsia="Times New Roman" w:hAnsi="Times New Roman"/>
          <w:sz w:val="18"/>
          <w:szCs w:val="18"/>
          <w:color w:val="auto"/>
        </w:rPr>
      </w:pPr>
    </w:p>
    <w:p>
      <w:pPr>
        <w:ind w:left="960" w:right="18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Issuer’s initial public offering on December 8, 2020, Maverick Ventures Fund acquired 3,390,559 shares of Class A common stock and Maverick Advisors Fund acquired 1,934,954 shares of Class A common stock, each upon the conversion of shares of preferred stock held by such funds. Also on December 8, 2020, certain funds managed by Maverick Capital purchased 100,000 shares of Class A common stock in the Issuer’s initial public offering at a purchase price of $19.00 per share.</w:t>
      </w:r>
    </w:p>
    <w:p>
      <w:pPr>
        <w:sectPr>
          <w:pgSz w:w="11900" w:h="16838" w:orient="portrait"/>
          <w:cols w:equalWidth="0" w:num="1">
            <w:col w:w="11000"/>
          </w:cols>
          <w:pgMar w:left="440" w:top="266" w:right="459" w:bottom="1440" w:gutter="0" w:footer="0" w:header="0"/>
        </w:sectPr>
      </w:pPr>
    </w:p>
    <w:bookmarkStart w:id="13" w:name="page14"/>
    <w:bookmarkEnd w:id="13"/>
    <w:p>
      <w:pPr>
        <w:ind w:left="960" w:right="10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person (other than the Reporting Persons) is known to have the right to receive or the power to direct the receipt of dividends from, or the proceeds from the sale of, the shares of Common Stock subject to this Schedule 13D.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ind w:left="440" w:right="260"/>
        <w:spacing w:after="0" w:line="261" w:lineRule="auto"/>
        <w:rPr>
          <w:sz w:val="20"/>
          <w:szCs w:val="20"/>
          <w:color w:val="auto"/>
        </w:rPr>
      </w:pPr>
      <w:r>
        <w:rPr>
          <w:rFonts w:ascii="Times New Roman" w:cs="Times New Roman" w:eastAsia="Times New Roman" w:hAnsi="Times New Roman"/>
          <w:sz w:val="18"/>
          <w:szCs w:val="18"/>
          <w:color w:val="auto"/>
        </w:rPr>
        <w:t>Maverick Ventures Fund and Maverick Advisors Fund and certain of the Issuer’s other investors have entered into an amended and restated Investors’ Rights Agreement with the Issuer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After the closing of the Issuer’s initial public offering, the stockholders party to the Rights Agreement are entitled to certain registration rights with respect to the Issuer’s Class A common shares, including Demand Registration Rights, Piggyback Registration Rights, and S-3 Registration Rights, each as defined in the Rights Agreement.</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Lock-up Agreement and Market Standoff Agreement</w:t>
      </w:r>
    </w:p>
    <w:p>
      <w:pPr>
        <w:spacing w:after="0" w:line="121" w:lineRule="exact"/>
        <w:rPr>
          <w:sz w:val="20"/>
          <w:szCs w:val="20"/>
          <w:color w:val="auto"/>
        </w:rPr>
      </w:pPr>
    </w:p>
    <w:p>
      <w:pPr>
        <w:ind w:left="440" w:right="40"/>
        <w:spacing w:after="0" w:line="254" w:lineRule="auto"/>
        <w:rPr>
          <w:sz w:val="20"/>
          <w:szCs w:val="20"/>
          <w:color w:val="auto"/>
        </w:rPr>
      </w:pPr>
      <w:r>
        <w:rPr>
          <w:rFonts w:ascii="Times New Roman" w:cs="Times New Roman" w:eastAsia="Times New Roman" w:hAnsi="Times New Roman"/>
          <w:sz w:val="18"/>
          <w:szCs w:val="18"/>
          <w:color w:val="auto"/>
        </w:rPr>
        <w:t>In connection with the Issuer’s initial public offering, Maverick Ventures Fund, Maverick Advisors Fund and Mr. Singer entered into a lock-up agreement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with the representatives of the several underwriters. Pursuant to the Lock-up Agreement, subject to certain exceptions, Maverick Ventures Fund, Maverick Advisors Fund and Mr. Singer agreed not to sell or otherwise transfer any shares of Common Stock or securities convertible into, exchangeable for or exercisable for Common Stock, for 180 days after the date of the prospectus relating to the initial public offering without the prior consent of the representatives. In addition, Maverick Ventures Fund and Maverick Advisors Fund entered into a market standoff agreement with the Issuer (the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contained within the Investors’ Rights Agreement. Pursuant to the Market Standoff Agreement, Maverick Ventures Fund and Maverick Advisors Fund have agreed, subject to certain exceptions, for a period of 180 days after the date of the prospectus relating to the initial public offering, not to dispose of or hedge shares or any securities convertible or exchangeable for shares of the Issuer’s capital stock.</w:t>
      </w:r>
    </w:p>
    <w:p>
      <w:pPr>
        <w:spacing w:after="0" w:line="80"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The foregoing summaries of the Rights Agreement and the Lock-up Agreement do not purport to be complete and are qualified in their entirety by reference to the form of amended and restated Investors’ Rights Agreement and the Lock-up Agreement, each of which is filed as an exhibit hereto and incorporated by reference herein.</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56" w:lineRule="exact"/>
        <w:rPr>
          <w:sz w:val="20"/>
          <w:szCs w:val="20"/>
          <w:color w:val="auto"/>
        </w:rPr>
      </w:pPr>
    </w:p>
    <w:p>
      <w:pPr>
        <w:ind w:left="440"/>
        <w:spacing w:after="0"/>
        <w:tabs>
          <w:tab w:leader="none" w:pos="148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Joint Filing Agreement</w:t>
      </w:r>
    </w:p>
    <w:p>
      <w:pPr>
        <w:spacing w:after="0" w:line="117" w:lineRule="exact"/>
        <w:rPr>
          <w:sz w:val="20"/>
          <w:szCs w:val="20"/>
          <w:color w:val="auto"/>
        </w:rPr>
      </w:pPr>
    </w:p>
    <w:p>
      <w:pPr>
        <w:ind w:left="440"/>
        <w:spacing w:after="0"/>
        <w:tabs>
          <w:tab w:leader="none" w:pos="1480" w:val="left"/>
        </w:tabs>
        <w:rPr>
          <w:sz w:val="20"/>
          <w:szCs w:val="20"/>
          <w:color w:val="auto"/>
        </w:rPr>
      </w:pPr>
      <w:r>
        <w:rPr>
          <w:rFonts w:ascii="Times New Roman" w:cs="Times New Roman" w:eastAsia="Times New Roman" w:hAnsi="Times New Roman"/>
          <w:sz w:val="18"/>
          <w:szCs w:val="18"/>
          <w:color w:val="auto"/>
        </w:rPr>
        <w:t>Exhibit 2</w:t>
      </w:r>
      <w:r>
        <w:rPr>
          <w:sz w:val="20"/>
          <w:szCs w:val="20"/>
          <w:color w:val="auto"/>
        </w:rPr>
        <w:tab/>
      </w:r>
      <w:r>
        <w:rPr>
          <w:rFonts w:ascii="Times New Roman" w:cs="Times New Roman" w:eastAsia="Times New Roman" w:hAnsi="Times New Roman"/>
          <w:sz w:val="17"/>
          <w:szCs w:val="17"/>
          <w:color w:val="auto"/>
        </w:rPr>
        <w:t>Power of Attorney, Lee S. Ainslie III, dated March 15, 2018</w:t>
      </w:r>
    </w:p>
    <w:p>
      <w:pPr>
        <w:spacing w:after="0" w:line="117" w:lineRule="exact"/>
        <w:rPr>
          <w:sz w:val="20"/>
          <w:szCs w:val="20"/>
          <w:color w:val="auto"/>
        </w:rPr>
      </w:pPr>
    </w:p>
    <w:p>
      <w:pPr>
        <w:ind w:left="440"/>
        <w:spacing w:after="0"/>
        <w:tabs>
          <w:tab w:leader="none" w:pos="1480" w:val="left"/>
        </w:tabs>
        <w:rPr>
          <w:sz w:val="20"/>
          <w:szCs w:val="20"/>
          <w:color w:val="auto"/>
        </w:rPr>
      </w:pPr>
      <w:r>
        <w:rPr>
          <w:rFonts w:ascii="Times New Roman" w:cs="Times New Roman" w:eastAsia="Times New Roman" w:hAnsi="Times New Roman"/>
          <w:sz w:val="18"/>
          <w:szCs w:val="18"/>
          <w:color w:val="auto"/>
        </w:rPr>
        <w:t>Exhibit 3</w:t>
      </w:r>
      <w:r>
        <w:rPr>
          <w:sz w:val="20"/>
          <w:szCs w:val="20"/>
          <w:color w:val="auto"/>
        </w:rPr>
        <w:tab/>
      </w:r>
      <w:r>
        <w:rPr>
          <w:rFonts w:ascii="Times New Roman" w:cs="Times New Roman" w:eastAsia="Times New Roman" w:hAnsi="Times New Roman"/>
          <w:sz w:val="17"/>
          <w:szCs w:val="17"/>
          <w:color w:val="auto"/>
        </w:rPr>
        <w:t>Power of Attorney, Andrew H. Warford, dated March 16, 2018</w:t>
      </w:r>
    </w:p>
    <w:p>
      <w:pPr>
        <w:spacing w:after="0" w:line="117" w:lineRule="exact"/>
        <w:rPr>
          <w:sz w:val="20"/>
          <w:szCs w:val="20"/>
          <w:color w:val="auto"/>
        </w:rPr>
      </w:pPr>
    </w:p>
    <w:p>
      <w:pPr>
        <w:ind w:left="440"/>
        <w:spacing w:after="0"/>
        <w:tabs>
          <w:tab w:leader="none" w:pos="1480" w:val="left"/>
        </w:tabs>
        <w:rPr>
          <w:sz w:val="20"/>
          <w:szCs w:val="20"/>
          <w:color w:val="auto"/>
        </w:rPr>
      </w:pPr>
      <w:r>
        <w:rPr>
          <w:rFonts w:ascii="Times New Roman" w:cs="Times New Roman" w:eastAsia="Times New Roman" w:hAnsi="Times New Roman"/>
          <w:sz w:val="18"/>
          <w:szCs w:val="18"/>
          <w:color w:val="auto"/>
        </w:rPr>
        <w:t>Exhibit 4</w:t>
      </w:r>
      <w:r>
        <w:rPr>
          <w:sz w:val="20"/>
          <w:szCs w:val="20"/>
          <w:color w:val="auto"/>
        </w:rPr>
        <w:tab/>
      </w:r>
      <w:r>
        <w:rPr>
          <w:rFonts w:ascii="Times New Roman" w:cs="Times New Roman" w:eastAsia="Times New Roman" w:hAnsi="Times New Roman"/>
          <w:sz w:val="17"/>
          <w:szCs w:val="17"/>
          <w:color w:val="auto"/>
        </w:rPr>
        <w:t>Power of Attorney, David B. Singer, dated January 7, 2021</w:t>
      </w:r>
    </w:p>
    <w:p>
      <w:pPr>
        <w:spacing w:after="0" w:line="117" w:lineRule="exact"/>
        <w:rPr>
          <w:sz w:val="20"/>
          <w:szCs w:val="20"/>
          <w:color w:val="auto"/>
        </w:rPr>
      </w:pPr>
    </w:p>
    <w:p>
      <w:pPr>
        <w:ind w:left="1500" w:right="100" w:hanging="1066"/>
        <w:spacing w:after="0" w:line="282" w:lineRule="auto"/>
        <w:tabs>
          <w:tab w:leader="none" w:pos="1480" w:val="left"/>
        </w:tabs>
        <w:rPr>
          <w:sz w:val="20"/>
          <w:szCs w:val="20"/>
          <w:color w:val="auto"/>
        </w:rPr>
      </w:pPr>
      <w:r>
        <w:rPr>
          <w:rFonts w:ascii="Times New Roman" w:cs="Times New Roman" w:eastAsia="Times New Roman" w:hAnsi="Times New Roman"/>
          <w:sz w:val="18"/>
          <w:szCs w:val="18"/>
          <w:color w:val="auto"/>
        </w:rPr>
        <w:t>Exhibit 5</w:t>
      </w:r>
      <w:r>
        <w:rPr>
          <w:sz w:val="20"/>
          <w:szCs w:val="20"/>
          <w:color w:val="auto"/>
        </w:rPr>
        <w:tab/>
      </w:r>
      <w:r>
        <w:rPr>
          <w:rFonts w:ascii="Times New Roman" w:cs="Times New Roman" w:eastAsia="Times New Roman" w:hAnsi="Times New Roman"/>
          <w:sz w:val="18"/>
          <w:szCs w:val="18"/>
          <w:color w:val="auto"/>
        </w:rPr>
        <w:t>Form of Amended and Restated Investors’ Rights Agreement (incorporated by reference to Exhibit 4.3 to the Issuer’s Registration Statement on Form S-1 (File No. 250035)</w:t>
      </w:r>
    </w:p>
    <w:p>
      <w:pPr>
        <w:spacing w:after="0" w:line="54" w:lineRule="exact"/>
        <w:rPr>
          <w:sz w:val="20"/>
          <w:szCs w:val="20"/>
          <w:color w:val="auto"/>
        </w:rPr>
      </w:pPr>
    </w:p>
    <w:p>
      <w:pPr>
        <w:ind w:left="1500" w:right="80" w:hanging="1066"/>
        <w:spacing w:after="0" w:line="282" w:lineRule="auto"/>
        <w:tabs>
          <w:tab w:leader="none" w:pos="1480" w:val="left"/>
        </w:tabs>
        <w:rPr>
          <w:sz w:val="20"/>
          <w:szCs w:val="20"/>
          <w:color w:val="auto"/>
        </w:rPr>
      </w:pPr>
      <w:r>
        <w:rPr>
          <w:rFonts w:ascii="Times New Roman" w:cs="Times New Roman" w:eastAsia="Times New Roman" w:hAnsi="Times New Roman"/>
          <w:sz w:val="18"/>
          <w:szCs w:val="18"/>
          <w:color w:val="auto"/>
        </w:rPr>
        <w:t>Exhibit 6</w:t>
      </w:r>
      <w:r>
        <w:rPr>
          <w:sz w:val="20"/>
          <w:szCs w:val="20"/>
          <w:color w:val="auto"/>
        </w:rPr>
        <w:tab/>
      </w:r>
      <w:r>
        <w:rPr>
          <w:rFonts w:ascii="Times New Roman" w:cs="Times New Roman" w:eastAsia="Times New Roman" w:hAnsi="Times New Roman"/>
          <w:sz w:val="18"/>
          <w:szCs w:val="18"/>
          <w:color w:val="auto"/>
        </w:rPr>
        <w:t>Form of Lock-up Agreement (incorporated by reference to Exhibit D to Exhibit 1.1 to the Issuer’s Registration Statement on Form S-1 (File No. 333-250035)</w:t>
      </w:r>
    </w:p>
    <w:p>
      <w:pPr>
        <w:sectPr>
          <w:pgSz w:w="11900" w:h="16838" w:orient="portrait"/>
          <w:cols w:equalWidth="0" w:num="1">
            <w:col w:w="10980"/>
          </w:cols>
          <w:pgMar w:left="440" w:top="270" w:right="479" w:bottom="1440" w:gutter="0" w:footer="0" w:header="0"/>
        </w:sectPr>
      </w:pPr>
    </w:p>
    <w:bookmarkStart w:id="14" w:name="page15"/>
    <w:bookmarkEnd w:id="14"/>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January 11,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MCV MANAGEMENT COMPANY, LLC</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Lee S. Ainslie III, Manager</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451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Lee S. Ainslie III, Manager</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451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VENTURES INVESTMENT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Maverick Capital Ventures, LLC, its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Lee S. Ainslie III, Manager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Gurevich</w:t>
            </w:r>
          </w:p>
        </w:tc>
      </w:tr>
      <w:tr>
        <w:trPr>
          <w:trHeight w:val="205"/>
        </w:trPr>
        <w:tc>
          <w:tcPr>
            <w:tcW w:w="540" w:type="dxa"/>
            <w:vAlign w:val="bottom"/>
          </w:tcPr>
          <w:p>
            <w:pPr>
              <w:spacing w:after="0"/>
              <w:rPr>
                <w:sz w:val="17"/>
                <w:szCs w:val="17"/>
                <w:color w:val="auto"/>
              </w:rPr>
            </w:pPr>
          </w:p>
        </w:tc>
        <w:tc>
          <w:tcPr>
            <w:tcW w:w="3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Mark Gurevich</w:t>
            </w:r>
          </w:p>
        </w:tc>
      </w:tr>
      <w:tr>
        <w:trPr>
          <w:trHeight w:val="234"/>
        </w:trPr>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Under Power of Attorney dated March 15, 2018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ADVISORS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Maverick Capital Ventures, LLC, its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Lee S. Ainslie III, Manager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Gurevich</w:t>
            </w:r>
          </w:p>
        </w:tc>
      </w:tr>
      <w:tr>
        <w:trPr>
          <w:trHeight w:val="205"/>
        </w:trPr>
        <w:tc>
          <w:tcPr>
            <w:tcW w:w="540" w:type="dxa"/>
            <w:vAlign w:val="bottom"/>
          </w:tcPr>
          <w:p>
            <w:pPr>
              <w:spacing w:after="0"/>
              <w:rPr>
                <w:sz w:val="17"/>
                <w:szCs w:val="17"/>
                <w:color w:val="auto"/>
              </w:rPr>
            </w:pPr>
          </w:p>
        </w:tc>
        <w:tc>
          <w:tcPr>
            <w:tcW w:w="3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Mark Gurevich</w:t>
            </w:r>
          </w:p>
        </w:tc>
      </w:tr>
      <w:tr>
        <w:trPr>
          <w:trHeight w:val="234"/>
        </w:trPr>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Under Power of Attorney dated March 15, 2018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VENTURES, LLC</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Lee S. Ainslie III, Manager</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451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ADVISORS, L.P.</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4517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 Gurevich</w:t>
      </w:r>
    </w:p>
    <w:p>
      <w:pPr>
        <w:sectPr>
          <w:pgSz w:w="11900" w:h="16838" w:orient="portrait"/>
          <w:cols w:equalWidth="0" w:num="1">
            <w:col w:w="10320"/>
          </w:cols>
          <w:pgMar w:left="440" w:top="266" w:right="11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MAVERICK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SINGER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January 7,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H. WARFORD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16, 2018</w:t>
      </w:r>
    </w:p>
    <w:p>
      <w:pPr>
        <w:sectPr>
          <w:pgSz w:w="11900" w:h="16838" w:orient="portrait"/>
          <w:cols w:equalWidth="0" w:num="1">
            <w:col w:w="10019"/>
          </w:cols>
          <w:pgMar w:left="440" w:top="270"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13D with respect to the Class A common stock, par value $0.00001 of Seer, Inc., dated as of January 11, 2021, is, and any amendments thereto (including amendments on Schedule 13D) signed by each of the undersigned shall be, filed on behalf of each of us pursuant to and in accordance with the provisions of Rule 13d-1(k) under the Securities Exchange Act of 1934.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MCV MANAGEMENT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VENTURES INVESTMENT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Ventures,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ADVISORS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Ventures,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VENTURES,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ectPr>
          <w:pgSz w:w="11900" w:h="16838" w:orient="portrait"/>
          <w:cols w:equalWidth="0" w:num="1">
            <w:col w:w="11020"/>
          </w:cols>
          <w:pgMar w:left="440" w:top="121"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MAVERICK CAPITAL ADVISORS,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SINGER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January 7,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H. WARFORD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16, 2018</w:t>
      </w:r>
    </w:p>
    <w:p>
      <w:pPr>
        <w:sectPr>
          <w:pgSz w:w="11900" w:h="16838" w:orient="portrait"/>
          <w:cols w:equalWidth="0" w:num="1">
            <w:col w:w="10019"/>
          </w:cols>
          <w:pgMar w:left="440" w:top="270"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Exhibit 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KNOW ALL MEN BY THESE PRESENTS, that I, Lee S. Ainslie III, hereby make, constitute and appoint Mark Gurevich as my agent and attorney-in -fact for the purpose of executing (i) in my personal capacity or (ii) in my capacity as manager or other officer or representative of Maverick Capital Management, LLC, Maverick Capital, Ltd. or any affiliate of either, all documents to be filed with or delivered to any foreign or domestic governmental or regulatory body or other person pursuant to any legal or regulatory requirement relating to the issuance, acquisition, ownership, management or disposition of securities or investments, including without limitation all documents required to be filed with the United States Securities and Exchange Commission pursuant to Sections 13 and 16 of the Securities Exchange Act of 1934 and any joint filing agreements pursuant to Rule 13d-1(k).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power of attorney shall be valid from the date hereof until revoked by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executed this instrument as of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March, 2018.</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Lee S. Ainslie III</w:t>
      </w:r>
    </w:p>
    <w:p>
      <w:pPr>
        <w:sectPr>
          <w:pgSz w:w="11900" w:h="16838" w:orient="portrait"/>
          <w:cols w:equalWidth="0" w:num="1">
            <w:col w:w="11020"/>
          </w:cols>
          <w:pgMar w:left="440" w:top="121" w:right="4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t>Exhibit 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I, Andrew H. Warford, hereby make, constitute and appoint Mark Gurevich as my agent and attorney-in-fact for the purpose of executing (i) in my personal capacity or (ii) in my capacity as manager or other officer or representative of Maverick Capital, Ltd. or any affiliate of either, all documents to be filed with or delivered to any foreign or domestic governmental or regulatory body or other person pursuant to any legal or regulatory requirement relating to the issuance, acquisition, ownership, management or disposition of securities or investments, including without limitation all documents required to be filed with the United States Securities and Exchange Commission pursuant to Sections 13 and 16 of the Securities Exchange Act of 1934 and any joint filing agreements pursuant to Rule 13d-1(k).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power of attorney shall be valid from the date hereof until revoked by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executed this instrument as of the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March, 2018.</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Andrew H. Warford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Andrew H. Warford</w:t>
      </w:r>
    </w:p>
    <w:p>
      <w:pPr>
        <w:sectPr>
          <w:pgSz w:w="11900" w:h="16838" w:orient="portrait"/>
          <w:cols w:equalWidth="0" w:num="1">
            <w:col w:w="11020"/>
          </w:cols>
          <w:pgMar w:left="440" w:top="121"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Exhibit 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I, David B. Singer, hereby make, constitute and appoint Mark Gurevich as my agent and attorney-in-fact for the purpose of executing (i) in my personal capacity or (ii) in my capacity as manager or other officer or representative of Maverick Capital Ventures, LLC, MCV Management Company, LLC or any affiliate of either, all documents to be filed with or delivered to any foreign or domestic governmental or regulatory body or other person pursuant to any legal or regulatory requirement relating to the issuance, acquisition, ownership, management or disposition of securities or investments, including without limitation all documents required to be filed with the United States Securities and Exchange Commission pursuant to Sections 13 and 16 of the Securities Exchange Act of 1934 and any joint filing agreements pursuant to Rule 13d-1(k).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power of attorney shall be valid from the date hereof until revoked by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executed this instrument as of the 7th day of January, 2021.</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B.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David B. Singer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2021-01-11T16:16:25Z</dcterms:created>
  <dcterms:modified xsi:type="dcterms:W3CDTF">2021-01-11T16:16:25Z</dcterms:modified>
</cp:coreProperties>
</file>