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As filed with the Securities and Exchange Commission on January 27, 2021.</w:t>
      </w:r>
    </w:p>
    <w:p>
      <w:pPr>
        <w:spacing w:after="0" w:line="27" w:lineRule="exact"/>
        <w:rPr>
          <w:sz w:val="24"/>
          <w:szCs w:val="24"/>
          <w:color w:val="auto"/>
        </w:rPr>
      </w:pPr>
    </w:p>
    <w:p>
      <w:pPr>
        <w:ind w:left="8980"/>
        <w:spacing w:after="0"/>
        <w:rPr>
          <w:sz w:val="20"/>
          <w:szCs w:val="20"/>
          <w:color w:val="auto"/>
        </w:rPr>
      </w:pPr>
      <w:r>
        <w:rPr>
          <w:rFonts w:ascii="Arial" w:cs="Arial" w:eastAsia="Arial" w:hAnsi="Arial"/>
          <w:sz w:val="18"/>
          <w:szCs w:val="18"/>
          <w:b w:val="1"/>
          <w:bCs w:val="1"/>
          <w:color w:val="auto"/>
        </w:rPr>
        <w:t>Registration No. 333-</w:t>
      </w:r>
    </w:p>
    <w:p>
      <w:pPr>
        <w:spacing w:after="0" w:line="1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S-1</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UNDER</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2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SEER,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900" w:type="dxa"/>
        <w:tblCellMar>
          <w:top w:w="0" w:type="dxa"/>
          <w:left w:w="0" w:type="dxa"/>
          <w:bottom w:w="0" w:type="dxa"/>
          <w:right w:w="0" w:type="dxa"/>
        </w:tblCellMar>
      </w:tblPr>
      <w:tr>
        <w:trPr>
          <w:trHeight w:val="225"/>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3826</w:t>
            </w:r>
          </w:p>
        </w:tc>
        <w:tc>
          <w:tcPr>
            <w:tcW w:w="252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82-1153150</w:t>
            </w:r>
          </w:p>
        </w:tc>
      </w:tr>
      <w:tr>
        <w:trPr>
          <w:trHeight w:val="144"/>
        </w:trPr>
        <w:tc>
          <w:tcPr>
            <w:tcW w:w="2840" w:type="dxa"/>
            <w:vAlign w:val="bottom"/>
          </w:tcPr>
          <w:p>
            <w:pPr>
              <w:jc w:val="center"/>
              <w:ind w:right="8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6"/>
              </w:rPr>
              <w:t>(Primary Standard Industrial</w:t>
            </w:r>
          </w:p>
        </w:tc>
        <w:tc>
          <w:tcPr>
            <w:tcW w:w="2520" w:type="dxa"/>
            <w:vAlign w:val="bottom"/>
          </w:tcPr>
          <w:p>
            <w:pPr>
              <w:jc w:val="center"/>
              <w:ind w:left="100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Redwood City, California 94065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650-453-0000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Omid Farokhzad, M.D.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Seer,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3800 Bridge Parkway, Suite 102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Redwood City, California 94065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650-453-0000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55" w:lineRule="exact"/>
        <w:rPr>
          <w:sz w:val="24"/>
          <w:szCs w:val="24"/>
          <w:color w:val="auto"/>
        </w:rPr>
      </w:pPr>
    </w:p>
    <w:tbl>
      <w:tblPr>
        <w:tblLayout w:type="fixed"/>
        <w:tblInd w:w="12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488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203"/>
        </w:trPr>
        <w:tc>
          <w:tcPr>
            <w:tcW w:w="354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89"/>
              </w:rPr>
              <w:t>Tony Jeffries</w:t>
            </w:r>
          </w:p>
        </w:tc>
        <w:tc>
          <w:tcPr>
            <w:tcW w:w="4880" w:type="dxa"/>
            <w:vAlign w:val="bottom"/>
          </w:tcPr>
          <w:p>
            <w:pPr>
              <w:jc w:val="center"/>
              <w:ind w:left="2510"/>
              <w:spacing w:after="0" w:line="202" w:lineRule="exact"/>
              <w:rPr>
                <w:sz w:val="20"/>
                <w:szCs w:val="20"/>
                <w:color w:val="auto"/>
              </w:rPr>
            </w:pPr>
            <w:r>
              <w:rPr>
                <w:rFonts w:ascii="Arial" w:cs="Arial" w:eastAsia="Arial" w:hAnsi="Arial"/>
                <w:sz w:val="18"/>
                <w:szCs w:val="18"/>
                <w:b w:val="1"/>
                <w:bCs w:val="1"/>
                <w:color w:val="auto"/>
                <w:w w:val="90"/>
              </w:rPr>
              <w:t>Alan F. Denenberg</w:t>
            </w:r>
          </w:p>
        </w:tc>
      </w:tr>
      <w:tr>
        <w:trPr>
          <w:trHeight w:val="175"/>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0"/>
              </w:rPr>
              <w:t>Christina L. Poulsen</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5"/>
              </w:rPr>
              <w:t>Davis Polk &amp; Wardwell LLP</w:t>
            </w:r>
          </w:p>
        </w:tc>
      </w:tr>
      <w:tr>
        <w:trPr>
          <w:trHeight w:val="175"/>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0"/>
              </w:rPr>
              <w:t>Wilson Sonsini Goodrich &amp; Rosati, P.C.</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1"/>
              </w:rPr>
              <w:t>1600 El Camino Real</w:t>
            </w:r>
          </w:p>
        </w:tc>
      </w:tr>
      <w:tr>
        <w:trPr>
          <w:trHeight w:val="175"/>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1"/>
              </w:rPr>
              <w:t>650 Page Mill Road</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4"/>
              </w:rPr>
              <w:t>Menlo Park, California 94025</w:t>
            </w:r>
          </w:p>
        </w:tc>
      </w:tr>
      <w:tr>
        <w:trPr>
          <w:trHeight w:val="176"/>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2"/>
              </w:rPr>
              <w:t>Palo Alto, California 94304</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0"/>
              </w:rPr>
              <w:t>650-752-2000</w:t>
            </w:r>
          </w:p>
        </w:tc>
      </w:tr>
      <w:tr>
        <w:trPr>
          <w:trHeight w:val="234"/>
        </w:trPr>
        <w:tc>
          <w:tcPr>
            <w:tcW w:w="354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650-493-9300</w:t>
            </w:r>
          </w:p>
        </w:tc>
        <w:tc>
          <w:tcPr>
            <w:tcW w:w="4880" w:type="dxa"/>
            <w:vAlign w:val="bottom"/>
          </w:tcPr>
          <w:p>
            <w:pPr>
              <w:spacing w:after="0"/>
              <w:rPr>
                <w:sz w:val="20"/>
                <w:szCs w:val="20"/>
                <w:color w:val="auto"/>
              </w:rPr>
            </w:pPr>
          </w:p>
        </w:tc>
      </w:tr>
    </w:tbl>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117" w:lineRule="exact"/>
        <w:rPr>
          <w:sz w:val="24"/>
          <w:szCs w:val="24"/>
          <w:color w:val="auto"/>
        </w:rPr>
      </w:pPr>
    </w:p>
    <w:p>
      <w:pPr>
        <w:ind w:right="220"/>
        <w:spacing w:after="0" w:line="20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0" w:lineRule="exact"/>
        <w:rPr>
          <w:sz w:val="24"/>
          <w:szCs w:val="24"/>
          <w:color w:val="auto"/>
        </w:rPr>
      </w:pPr>
    </w:p>
    <w:p>
      <w:pPr>
        <w:ind w:right="260"/>
        <w:spacing w:after="0" w:line="207"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Registration No. </w:t>
      </w:r>
      <w:r>
        <w:rPr>
          <w:rFonts w:ascii="Arial" w:cs="Arial" w:eastAsia="Arial" w:hAnsi="Arial"/>
          <w:sz w:val="16"/>
          <w:szCs w:val="16"/>
          <w:b w:val="1"/>
          <w:bCs w:val="1"/>
          <w:color w:val="auto"/>
        </w:rPr>
        <w:t>333-252395</w:t>
      </w:r>
    </w:p>
    <w:p>
      <w:pPr>
        <w:spacing w:after="0" w:line="2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715" w:right="499" w:bottom="1440" w:gutter="0" w:footer="0" w:header="0"/>
        </w:sectPr>
      </w:pPr>
    </w:p>
    <w:p>
      <w:pPr>
        <w:spacing w:after="0" w:line="24"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8" w:lineRule="exact"/>
        <w:rPr>
          <w:sz w:val="24"/>
          <w:szCs w:val="24"/>
          <w:color w:val="auto"/>
        </w:rPr>
      </w:pPr>
    </w:p>
    <w:p>
      <w:pPr>
        <w:sectPr>
          <w:pgSz w:w="11900" w:h="16838" w:orient="portrait"/>
          <w:cols w:equalWidth="0" w:num="3">
            <w:col w:w="8020" w:space="720"/>
            <w:col w:w="1980" w:space="80"/>
            <w:col w:w="280"/>
          </w:cols>
          <w:pgMar w:left="320" w:top="715" w:right="499" w:bottom="1440" w:gutter="0" w:footer="0" w:header="0"/>
          <w:type w:val="continuous"/>
        </w:sect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80"/>
          </w:cols>
          <w:pgMar w:left="320" w:top="715" w:right="4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PROPOSED</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PROPOSED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AMOUNT TO</w:t>
            </w:r>
          </w:p>
        </w:tc>
        <w:tc>
          <w:tcPr>
            <w:tcW w:w="1420" w:type="dxa"/>
            <w:vAlign w:val="bottom"/>
            <w:gridSpan w:val="2"/>
            <w:vMerge w:val="continue"/>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MAXIMUM</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TITLE OF EACH CLASS OF</w:t>
            </w:r>
          </w:p>
        </w:tc>
        <w:tc>
          <w:tcPr>
            <w:tcW w:w="128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MAXIMUM</w:t>
            </w:r>
          </w:p>
        </w:tc>
        <w:tc>
          <w:tcPr>
            <w:tcW w:w="18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AGGREGATE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4940" w:type="dxa"/>
            <w:vAlign w:val="bottom"/>
            <w:gridSpan w:val="2"/>
            <w:vMerge w:val="continue"/>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OFFERING PRICE</w:t>
            </w:r>
          </w:p>
        </w:tc>
        <w:tc>
          <w:tcPr>
            <w:tcW w:w="18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OFFERING</w:t>
            </w: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SECURITIES TO BE REGISTERED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REGISTERED (1)</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PER SHARE (2)</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 (2)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REGISTRATION FEE (3)</w:t>
            </w:r>
          </w:p>
        </w:tc>
        <w:tc>
          <w:tcPr>
            <w:tcW w:w="0" w:type="dxa"/>
            <w:vAlign w:val="bottom"/>
          </w:tcPr>
          <w:p>
            <w:pPr>
              <w:spacing w:after="0"/>
              <w:rPr>
                <w:sz w:val="1"/>
                <w:szCs w:val="1"/>
                <w:color w:val="auto"/>
              </w:rPr>
            </w:pPr>
          </w:p>
        </w:tc>
      </w:tr>
      <w:tr>
        <w:trPr>
          <w:trHeight w:val="225"/>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Class A Common Stock, $0.00001 par value per share</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287,500</w:t>
            </w:r>
          </w:p>
        </w:tc>
        <w:tc>
          <w:tcPr>
            <w:tcW w:w="8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$67.00</w:t>
            </w:r>
          </w:p>
        </w:tc>
        <w:tc>
          <w:tcPr>
            <w:tcW w:w="8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$19,262,500</w:t>
            </w:r>
          </w:p>
        </w:tc>
        <w:tc>
          <w:tcPr>
            <w:tcW w:w="8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$2,101.54</w:t>
            </w:r>
          </w:p>
        </w:tc>
        <w:tc>
          <w:tcPr>
            <w:tcW w:w="0" w:type="dxa"/>
            <w:vAlign w:val="bottom"/>
          </w:tcPr>
          <w:p>
            <w:pPr>
              <w:spacing w:after="0"/>
              <w:rPr>
                <w:sz w:val="1"/>
                <w:szCs w:val="1"/>
                <w:color w:val="auto"/>
              </w:rPr>
            </w:pPr>
          </w:p>
        </w:tc>
      </w:tr>
      <w:tr>
        <w:trPr>
          <w:trHeight w:val="26"/>
        </w:trPr>
        <w:tc>
          <w:tcPr>
            <w:tcW w:w="4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20" w:hanging="332"/>
        <w:spacing w:after="0" w:line="255" w:lineRule="auto"/>
        <w:tabs>
          <w:tab w:leader="none" w:pos="33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only the additional number of shares being registered and includes 37,500 shares the underwriters have the option to purchase. Does not include the securities, the offer and sale of which the registrant previously registered on a Registration Statement on Form S-1 (File No. 333-252395), as amended (the Earlier Registration Statement).</w:t>
      </w:r>
    </w:p>
    <w:p>
      <w:pPr>
        <w:spacing w:after="0" w:line="2" w:lineRule="exact"/>
        <w:rPr>
          <w:rFonts w:ascii="Arial" w:cs="Arial" w:eastAsia="Arial" w:hAnsi="Arial"/>
          <w:sz w:val="18"/>
          <w:szCs w:val="18"/>
          <w:color w:val="auto"/>
        </w:rPr>
      </w:pPr>
    </w:p>
    <w:p>
      <w:pPr>
        <w:ind w:left="340" w:right="340" w:hanging="332"/>
        <w:spacing w:after="0" w:line="250" w:lineRule="auto"/>
        <w:tabs>
          <w:tab w:leader="none" w:pos="33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registered securities on the Earlier Registration Statement, which was declared effective by the Securities and Exchange Commission on January 27, 2021. In accordance with Rule 462(b) under the Securities Act of 1933, as amended (the Securities Act), an additional amount of securities having a proposed maximum aggregate offering price of $19,262,500 are hereby registered, which includes shares the underwriters have the option to purchase.</w:t>
      </w:r>
    </w:p>
    <w:p>
      <w:pPr>
        <w:spacing w:after="0" w:line="1" w:lineRule="exact"/>
        <w:rPr>
          <w:rFonts w:ascii="Arial" w:cs="Arial" w:eastAsia="Arial" w:hAnsi="Arial"/>
          <w:sz w:val="18"/>
          <w:szCs w:val="18"/>
          <w:color w:val="auto"/>
        </w:rPr>
      </w:pPr>
    </w:p>
    <w:p>
      <w:pPr>
        <w:ind w:left="340" w:right="520" w:hanging="332"/>
        <w:spacing w:after="0" w:line="260" w:lineRule="auto"/>
        <w:tabs>
          <w:tab w:leader="none" w:pos="33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457(a) under the Securities Act. The registrant previously paid a filing fee of $34,866.73 for the Earlier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Registration Statement shall become effective upon filing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 AND INCORPORATION OF CERTAIN INFORMATION BY REFERENCE</w:t>
      </w:r>
    </w:p>
    <w:p>
      <w:pPr>
        <w:spacing w:after="0" w:line="175" w:lineRule="exact"/>
        <w:rPr>
          <w:sz w:val="20"/>
          <w:szCs w:val="20"/>
          <w:color w:val="auto"/>
        </w:rPr>
      </w:pPr>
    </w:p>
    <w:p>
      <w:pPr>
        <w:ind w:firstLine="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Pursuant to Rule 462(b) under the Securities Act of 1933, as amended, Seer, Inc., a Delaware corporation, is filing this registration statement with the Securities and Exchange Commission (SEC). This registration statement relates to the public offering of securities contemplated by the Registration Statement on </w:t>
      </w:r>
      <w:hyperlink r:id="rId11">
        <w:r>
          <w:rPr>
            <w:rFonts w:ascii="Arial" w:cs="Arial" w:eastAsia="Arial" w:hAnsi="Arial"/>
            <w:sz w:val="18"/>
            <w:szCs w:val="18"/>
            <w:u w:val="single" w:color="auto"/>
            <w:color w:val="0000FF"/>
          </w:rPr>
          <w:t>Form S-1</w:t>
        </w:r>
      </w:hyperlink>
      <w:r>
        <w:rPr>
          <w:rFonts w:ascii="Arial" w:cs="Arial" w:eastAsia="Arial" w:hAnsi="Arial"/>
          <w:sz w:val="18"/>
          <w:szCs w:val="18"/>
          <w:color w:val="auto"/>
        </w:rPr>
        <w:t>, as amended (File No. 333-252395), which we originally filed on January 25, 2021 (the Earlier Registration Statement), and which the SEC declared effective on January 27, 2021.</w:t>
      </w:r>
    </w:p>
    <w:p>
      <w:pPr>
        <w:spacing w:after="0" w:line="13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filing this registration statement for the sole purpose of increasing the aggregate number of shares of Class A common stock, par value $0.00001 per share, offered by us by and the selling stockholders named in the Earlier Registration Statement by 287,500 shares, 37,500 of which are subject to purchase upon exercise of the underwriters’ option to purchase additional shares of Class A common stock from the selling stockholders named in the Earlier Registration Statement. The additional shares of Class A common stock that are being registered for issuance and sale pursuant to this registration statement are in an amount and at a price that together represent no more than 20% of the maximum aggregate offering price set forth in the Calculation of Registration Fee table contained in the Earlier Registration Statement. The information set forth in the Earlier Registration Statement is incorporated by reference in this filing.</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required opinion and consents are listed on the Exhibit Index attached hereto and filed herewith.</w:t>
      </w:r>
    </w:p>
    <w:p>
      <w:pPr>
        <w:sectPr>
          <w:pgSz w:w="11900" w:h="16838" w:orient="portrait"/>
          <w:cols w:equalWidth="0" w:num="1">
            <w:col w:w="11140"/>
          </w:cols>
          <w:pgMar w:left="320" w:top="1440" w:right="439" w:bottom="1440" w:gutter="0" w:footer="0" w:header="0"/>
        </w:sectPr>
      </w:pPr>
    </w:p>
    <w:bookmarkStart w:id="3" w:name="page4"/>
    <w:bookmarkEnd w:id="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20" w:type="dxa"/>
            <w:vAlign w:val="bottom"/>
            <w:gridSpan w:val="3"/>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372"/>
        </w:trPr>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gridSpan w:val="3"/>
          </w:tcPr>
          <w:p>
            <w:pPr>
              <w:ind w:left="3800"/>
              <w:spacing w:after="0"/>
              <w:rPr>
                <w:sz w:val="20"/>
                <w:szCs w:val="20"/>
                <w:color w:val="auto"/>
              </w:rPr>
            </w:pPr>
            <w:r>
              <w:rPr>
                <w:rFonts w:ascii="Arial" w:cs="Arial" w:eastAsia="Arial" w:hAnsi="Arial"/>
                <w:sz w:val="14"/>
                <w:szCs w:val="14"/>
                <w:b w:val="1"/>
                <w:bCs w:val="1"/>
                <w:color w:val="auto"/>
              </w:rPr>
              <w:t>DESCRIPTION OF EXHIBIT</w:t>
            </w:r>
          </w:p>
        </w:tc>
      </w:tr>
      <w:tr>
        <w:trPr>
          <w:trHeight w:val="270"/>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940" w:type="dxa"/>
            <w:vAlign w:val="bottom"/>
            <w:tcBorders>
              <w:top w:val="single" w:sz="8" w:color="auto"/>
            </w:tcBorders>
            <w:gridSpan w:val="4"/>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Opinion of Wilson Sonsini Goodrich &amp; Rosati, Professional Corporation</w:t>
              </w:r>
              <w:r>
                <w:rPr>
                  <w:rFonts w:ascii="Arial" w:cs="Arial" w:eastAsia="Arial" w:hAnsi="Arial"/>
                  <w:sz w:val="18"/>
                  <w:szCs w:val="18"/>
                  <w:color w:val="0000FF"/>
                </w:rPr>
                <w:t>.</w:t>
              </w:r>
            </w:hyperlink>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Consent of Deloitte &amp; Touche LLP, independent registered public accounting firm.</w:t>
              </w:r>
            </w:hyperlink>
          </w:p>
        </w:tc>
      </w:tr>
      <w:tr>
        <w:trPr>
          <w:trHeight w:val="283"/>
        </w:trPr>
        <w:tc>
          <w:tcPr>
            <w:tcW w:w="118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4"/>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Consent of Wilson Sonsini Goodrich &amp; Rosati, Professional Corporation (reference is made to Exhibit 5.1).</w:t>
              </w:r>
            </w:hyperlink>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gridSpan w:val="4"/>
          </w:tcPr>
          <w:p>
            <w:pPr>
              <w:spacing w:after="0"/>
              <w:rPr>
                <w:rFonts w:ascii="Arial" w:cs="Arial" w:eastAsia="Arial" w:hAnsi="Arial"/>
                <w:sz w:val="18"/>
                <w:szCs w:val="18"/>
                <w:color w:val="0000FF"/>
                <w:w w:val="92"/>
              </w:rPr>
            </w:pPr>
            <w:hyperlink r:id="rId12">
              <w:r>
                <w:rPr>
                  <w:rFonts w:ascii="Arial" w:cs="Arial" w:eastAsia="Arial" w:hAnsi="Arial"/>
                  <w:sz w:val="18"/>
                  <w:szCs w:val="18"/>
                  <w:u w:val="single" w:color="auto"/>
                  <w:color w:val="0000FF"/>
                  <w:w w:val="92"/>
                </w:rPr>
                <w:t>Power of Attorney (incorporated by reference to Exhibit 24.1 of the Form S-1 Registration Statement (Registration No. 333-</w:t>
              </w:r>
              <w:r>
                <w:rPr>
                  <w:rFonts w:ascii="Arial" w:cs="Arial" w:eastAsia="Arial" w:hAnsi="Arial"/>
                  <w:sz w:val="18"/>
                  <w:szCs w:val="18"/>
                  <w:color w:val="0000FF"/>
                  <w:w w:val="92"/>
                </w:rPr>
                <w:t>252395 filed</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gridSpan w:val="2"/>
          </w:tcPr>
          <w:p>
            <w:pPr>
              <w:spacing w:after="0" w:line="156" w:lineRule="exact"/>
              <w:rPr>
                <w:rFonts w:ascii="Arial" w:cs="Arial" w:eastAsia="Arial" w:hAnsi="Arial"/>
                <w:sz w:val="18"/>
                <w:szCs w:val="18"/>
                <w:color w:val="0000FF"/>
              </w:rPr>
            </w:pPr>
            <w:hyperlink r:id="rId12">
              <w:r>
                <w:rPr>
                  <w:rFonts w:ascii="Arial" w:cs="Arial" w:eastAsia="Arial" w:hAnsi="Arial"/>
                  <w:sz w:val="18"/>
                  <w:szCs w:val="18"/>
                  <w:color w:val="0000FF"/>
                </w:rPr>
                <w:t xml:space="preserve">on </w:t>
              </w:r>
              <w:r>
                <w:rPr>
                  <w:rFonts w:ascii="Arial" w:cs="Arial" w:eastAsia="Arial" w:hAnsi="Arial"/>
                  <w:sz w:val="18"/>
                  <w:szCs w:val="18"/>
                  <w:u w:val="single" w:color="auto"/>
                  <w:color w:val="0000FF"/>
                </w:rPr>
                <w:t>January 25, 2021).</w:t>
              </w:r>
            </w:hyperlink>
          </w:p>
        </w:tc>
        <w:tc>
          <w:tcPr>
            <w:tcW w:w="7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Redwood City, State of California, on January 27, 2021.</w:t>
      </w:r>
    </w:p>
    <w:p>
      <w:pPr>
        <w:spacing w:after="0" w:line="142"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337" w:lineRule="exact"/>
        <w:rPr>
          <w:sz w:val="20"/>
          <w:szCs w:val="20"/>
          <w:color w:val="auto"/>
        </w:rPr>
      </w:pPr>
    </w:p>
    <w:p>
      <w:pPr>
        <w:ind w:left="588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31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5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Omid Farokhzad, M.D.</w:t>
      </w: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David R. Horn</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David Hallal</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Catherine Friedman</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Robert Langer, Sc.D.</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Terrance McGuire</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Omead Ostadan</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David Singer</w:t>
      </w:r>
    </w:p>
    <w:p>
      <w:pPr>
        <w:spacing w:after="0" w:line="23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46355</wp:posOffset>
            </wp:positionV>
            <wp:extent cx="1979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80"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jc w:val="center"/>
        <w:ind w:left="120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2"/>
        </w:trPr>
        <w:tc>
          <w:tcPr>
            <w:tcW w:w="37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3"/>
              </w:rPr>
              <w:t>Chief Executive Officer and</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r>
        <w:trPr>
          <w:trHeight w:val="176"/>
        </w:trPr>
        <w:tc>
          <w:tcPr>
            <w:tcW w:w="3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Chair of the Board of Directors</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r>
        <w:trPr>
          <w:trHeight w:val="176"/>
        </w:trPr>
        <w:tc>
          <w:tcPr>
            <w:tcW w:w="37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Officer and Accounting</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Lead Independent 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r>
        <w:trPr>
          <w:trHeight w:val="56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r>
        <w:trPr>
          <w:trHeight w:val="56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r>
        <w:trPr>
          <w:trHeight w:val="56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r>
        <w:trPr>
          <w:trHeight w:val="56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r>
        <w:trPr>
          <w:trHeight w:val="56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January 27, 2021</w:t>
            </w:r>
          </w:p>
        </w:tc>
        <w:tc>
          <w:tcPr>
            <w:tcW w:w="0" w:type="dxa"/>
            <w:vAlign w:val="bottom"/>
          </w:tcPr>
          <w:p>
            <w:pPr>
              <w:spacing w:after="0"/>
              <w:rPr>
                <w:sz w:val="1"/>
                <w:szCs w:val="1"/>
                <w:color w:val="auto"/>
              </w:rPr>
            </w:pPr>
          </w:p>
        </w:tc>
      </w:tr>
    </w:tbl>
    <w:p>
      <w:pPr>
        <w:sectPr>
          <w:pgSz w:w="11900" w:h="16838" w:orient="portrait"/>
          <w:cols w:equalWidth="0" w:num="2">
            <w:col w:w="3100" w:space="680"/>
            <w:col w:w="7460"/>
          </w:cols>
          <w:pgMar w:left="320" w:top="1440" w:right="339" w:bottom="1440" w:gutter="0" w:footer="0" w:header="0"/>
          <w:type w:val="continuous"/>
        </w:sectPr>
      </w:pPr>
    </w:p>
    <w:bookmarkStart w:id="5" w:name="page6"/>
    <w:bookmarkEnd w:id="5"/>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341630</wp:posOffset>
            </wp:positionV>
            <wp:extent cx="107124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71245" cy="4114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Wilson Sonsini Goodrich &amp; Rosati</w:t>
      </w:r>
    </w:p>
    <w:p>
      <w:pPr>
        <w:spacing w:after="0" w:line="22" w:lineRule="exact"/>
        <w:rPr>
          <w:sz w:val="20"/>
          <w:szCs w:val="20"/>
          <w:color w:val="auto"/>
        </w:rPr>
      </w:pPr>
    </w:p>
    <w:p>
      <w:pPr>
        <w:ind w:left="9540"/>
        <w:spacing w:after="0"/>
        <w:rPr>
          <w:sz w:val="20"/>
          <w:szCs w:val="20"/>
          <w:color w:val="auto"/>
        </w:rPr>
      </w:pPr>
      <w:r>
        <w:rPr>
          <w:rFonts w:ascii="Arial" w:cs="Arial" w:eastAsia="Arial" w:hAnsi="Arial"/>
          <w:sz w:val="15"/>
          <w:szCs w:val="15"/>
          <w:color w:val="auto"/>
        </w:rPr>
        <w:t>Professional Corporation</w:t>
      </w:r>
    </w:p>
    <w:p>
      <w:pPr>
        <w:spacing w:after="0" w:line="30"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650 Page Mill Road</w:t>
      </w:r>
    </w:p>
    <w:p>
      <w:pPr>
        <w:spacing w:after="0" w:line="15" w:lineRule="exact"/>
        <w:rPr>
          <w:sz w:val="20"/>
          <w:szCs w:val="20"/>
          <w:color w:val="auto"/>
        </w:rPr>
      </w:pPr>
    </w:p>
    <w:p>
      <w:pPr>
        <w:ind w:left="8980"/>
        <w:spacing w:after="0"/>
        <w:rPr>
          <w:sz w:val="20"/>
          <w:szCs w:val="20"/>
          <w:color w:val="auto"/>
        </w:rPr>
      </w:pPr>
      <w:r>
        <w:rPr>
          <w:rFonts w:ascii="Arial" w:cs="Arial" w:eastAsia="Arial" w:hAnsi="Arial"/>
          <w:sz w:val="15"/>
          <w:szCs w:val="15"/>
          <w:color w:val="auto"/>
        </w:rPr>
        <w:t>Palo Alto, California 94304-1050</w:t>
      </w:r>
    </w:p>
    <w:p>
      <w:pPr>
        <w:spacing w:after="0" w:line="20"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o: 650.493.9300</w:t>
      </w:r>
    </w:p>
    <w:p>
      <w:pPr>
        <w:spacing w:after="0" w:line="22"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f: 650.493.6811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January 27, 2021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Seer,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3800 Bridge Parkway, Suite 102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Redwood City, CA 94065</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 Securities Registered under Registration Statement on Form S-1 (File No. 333-252395) and Registration Statement filed pursuant to Rule 462(b) of the Securities Act of 1933, as amended (the “</w:t>
      </w:r>
      <w:r>
        <w:rPr>
          <w:rFonts w:ascii="Arial" w:cs="Arial" w:eastAsia="Arial" w:hAnsi="Arial"/>
          <w:sz w:val="22"/>
          <w:szCs w:val="22"/>
          <w:b w:val="1"/>
          <w:bCs w:val="1"/>
          <w:color w:val="auto"/>
        </w:rPr>
        <w:t>Securities Act</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This opinion is furnished to you in connection with the Registration Statement on Form S-1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filed by Seer, Inc. (the “</w:t>
      </w:r>
      <w:r>
        <w:rPr>
          <w:rFonts w:ascii="Arial" w:cs="Arial" w:eastAsia="Arial" w:hAnsi="Arial"/>
          <w:sz w:val="19"/>
          <w:szCs w:val="19"/>
          <w:b w:val="1"/>
          <w:bCs w:val="1"/>
          <w:color w:val="auto"/>
        </w:rPr>
        <w:t>Company</w:t>
      </w:r>
      <w:r>
        <w:rPr>
          <w:rFonts w:ascii="Arial" w:cs="Arial" w:eastAsia="Arial" w:hAnsi="Arial"/>
          <w:sz w:val="19"/>
          <w:szCs w:val="19"/>
          <w:color w:val="auto"/>
        </w:rPr>
        <w:t>”) with the Securities and Exchange Commission pursuant to Rule 462(b)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in connection with the registration under the Securities Act of 287,500 shares of the Company’s Class A common stock, $0.00001 par value per share (the “</w:t>
      </w:r>
      <w:r>
        <w:rPr>
          <w:rFonts w:ascii="Arial" w:cs="Arial" w:eastAsia="Arial" w:hAnsi="Arial"/>
          <w:sz w:val="19"/>
          <w:szCs w:val="19"/>
          <w:b w:val="1"/>
          <w:bCs w:val="1"/>
          <w:color w:val="auto"/>
        </w:rPr>
        <w:t>Shares</w:t>
      </w:r>
      <w:r>
        <w:rPr>
          <w:rFonts w:ascii="Arial" w:cs="Arial" w:eastAsia="Arial" w:hAnsi="Arial"/>
          <w:sz w:val="19"/>
          <w:szCs w:val="19"/>
          <w:color w:val="auto"/>
        </w:rPr>
        <w:t>”), including up to 37,500 shares issuable upon exercise of an option to purchase additional shares granted by certain stockholders of the Company identified in the Registration Statement (the “</w:t>
      </w:r>
      <w:r>
        <w:rPr>
          <w:rFonts w:ascii="Arial" w:cs="Arial" w:eastAsia="Arial" w:hAnsi="Arial"/>
          <w:sz w:val="19"/>
          <w:szCs w:val="19"/>
          <w:b w:val="1"/>
          <w:bCs w:val="1"/>
          <w:color w:val="auto"/>
        </w:rPr>
        <w:t>Selling</w:t>
      </w:r>
      <w:r>
        <w:rPr>
          <w:rFonts w:ascii="Arial" w:cs="Arial" w:eastAsia="Arial" w:hAnsi="Arial"/>
          <w:sz w:val="19"/>
          <w:szCs w:val="19"/>
          <w:color w:val="auto"/>
        </w:rPr>
        <w:t xml:space="preserve"> </w:t>
      </w:r>
      <w:r>
        <w:rPr>
          <w:rFonts w:ascii="Arial" w:cs="Arial" w:eastAsia="Arial" w:hAnsi="Arial"/>
          <w:sz w:val="19"/>
          <w:szCs w:val="19"/>
          <w:b w:val="1"/>
          <w:bCs w:val="1"/>
          <w:color w:val="auto"/>
        </w:rPr>
        <w:t>Stockholders</w:t>
      </w:r>
      <w:r>
        <w:rPr>
          <w:rFonts w:ascii="Arial" w:cs="Arial" w:eastAsia="Arial" w:hAnsi="Arial"/>
          <w:sz w:val="19"/>
          <w:szCs w:val="19"/>
          <w:color w:val="auto"/>
        </w:rPr>
        <w:t>”). The Registration Statement incorporates by reference the Registration Statement on Form S-1 (No. 333-252395</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Prior Registration Statement</w:t>
      </w:r>
      <w:r>
        <w:rPr>
          <w:rFonts w:ascii="Arial" w:cs="Arial" w:eastAsia="Arial" w:hAnsi="Arial"/>
          <w:sz w:val="19"/>
          <w:szCs w:val="19"/>
          <w:color w:val="auto"/>
        </w:rPr>
        <w:t>”), which was declared effective on January 27, 2021, including the prospectus which forms part of the Registration Statement. We understand that the Shares are to be sold by the Company and the Selling Stockholders to the underwriters for resale to the public as described in the Registration Statement and the Prior Registration Statement and pursuant to an underwriting agreement, substantially in the form filed as an exhibit to the Prior Registration Statement, to be entered into by and among the Company, the Selling Stockholders and the underwriters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w:t>
      </w:r>
    </w:p>
    <w:p>
      <w:pPr>
        <w:spacing w:after="0" w:line="15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are acting as counsel for the Company in connection with the sale of the Shares by the Company and the Selling Stockholders.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49"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4"/>
          <w:szCs w:val="14"/>
          <w:b w:val="1"/>
          <w:bCs w:val="1"/>
          <w:color w:val="auto"/>
        </w:rPr>
        <w:t>AUSTIN</w:t>
        <w:tab/>
        <w:t>BEIJING</w:t>
        <w:tab/>
        <w:t>BOSTON</w:t>
        <w:tab/>
        <w:t>BRUSSELS</w:t>
        <w:tab/>
        <w:t>HONG KONG</w:t>
        <w:tab/>
        <w:t>LONDON</w:t>
        <w:tab/>
        <w:t>LOS ANGELES</w:t>
        <w:tab/>
        <w:t>NEW YORK</w:t>
        <w:tab/>
        <w:t>PALO ALTO</w:t>
      </w:r>
    </w:p>
    <w:p>
      <w:pPr>
        <w:spacing w:after="0" w:line="42"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4"/>
          <w:szCs w:val="14"/>
          <w:b w:val="1"/>
          <w:bCs w:val="1"/>
          <w:color w:val="auto"/>
        </w:rPr>
        <w:t>SAN DIEGO</w:t>
        <w:tab/>
        <w:t>SAN FRANCISCO</w:t>
        <w:tab/>
        <w:t>SEATTLE</w:t>
        <w:tab/>
        <w:t>SHANGHAI</w:t>
        <w:tab/>
        <w:t>WASHINGTON, DC</w:t>
        <w:tab/>
        <w:t>WILMINGTON, DE</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435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14350" cy="196850"/>
                    </a:xfrm>
                    <a:prstGeom prst="rect">
                      <a:avLst/>
                    </a:prstGeom>
                    <a:noFill/>
                  </pic:spPr>
                </pic:pic>
              </a:graphicData>
            </a:graphic>
          </wp:anchor>
        </w:drawing>
        <w:t>January 27, 2021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On the basis of the foregoing, we are of the opinion that, upon the effectiveness of the Company’s Amended and Restated Certificate of Incorporation, a form of which has been filed as Exhibit 3.1 of the Prior Registration Statement, the Shares to be issued and sold by the Company and Selling Stockholders have been duly authorized and, when such Shares are issued and paid for in accordance with the terms of the Underwriting Agreement, will be validly issued, fully paid and nonassessable.</w:t>
      </w:r>
    </w:p>
    <w:p>
      <w:pPr>
        <w:spacing w:after="0" w:line="142"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We consent to the use of this opinion as an exhibit to the Registration Statement, and we consent to the reference of our name under the caption “Legal Matters” in the prospectus forming part of the Prior Registration Statement, which is incorporated by reference into the Registration Statement.</w:t>
      </w:r>
    </w:p>
    <w:p>
      <w:pPr>
        <w:spacing w:after="0" w:line="239"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/s/ WILSON SONSINI GOODRICH &amp; ROSATI, P.C.</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WILSON SONSINI GOODRICH &amp; ROSATI</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240"/>
          </w:cols>
          <w:pgMar w:left="320" w:top="75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consent to the incorporation by reference in this Registration Statement on Form S-1 of our report dated September 25, 2020 (November 30, 2020 as to the effects of the reverse stock split described in Note 2 and Note 14) relating to the financial statements of Seer, Inc. appearing in the Registration Statement No. 333-252395 on Form S-1. We also consent to the reference to us under the heading "Experts" in such Registration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January 27,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jpeg"/><Relationship Id="rId11" Type="http://schemas.openxmlformats.org/officeDocument/2006/relationships/hyperlink" Target="https://www.sec.gov/Archives/edgar/data/1726445/000162828021000787/seerfollowons-1.htm" TargetMode="External"/><Relationship Id="rId12" Type="http://schemas.openxmlformats.org/officeDocument/2006/relationships/hyperlink" Target="https://www.sec.gov/Archives/edgar/data/1726445/000162828021000787/seerfollowons-1.htm#i3bae1f6df8bc44adba128d9482bea024_2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2021-01-27T19:24:27Z</dcterms:created>
  <dcterms:modified xsi:type="dcterms:W3CDTF">2021-01-27T19:24:27Z</dcterms:modified>
</cp:coreProperties>
</file>