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71" w:lineRule="exact"/>
        <w:rPr>
          <w:sz w:val="24"/>
          <w:szCs w:val="24"/>
          <w:color w:val="auto"/>
        </w:rPr>
      </w:pPr>
    </w:p>
    <w:p>
      <w:pPr>
        <w:ind w:left="4100" w:right="2700" w:hanging="4092"/>
        <w:spacing w:after="0" w:line="335" w:lineRule="auto"/>
        <w:tabs>
          <w:tab w:leader="none" w:pos="269"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71" w:lineRule="exact"/>
        <w:rPr>
          <w:sz w:val="24"/>
          <w:szCs w:val="24"/>
          <w:color w:val="auto"/>
        </w:rPr>
      </w:pPr>
    </w:p>
    <w:p>
      <w:pPr>
        <w:ind w:left="3320" w:right="2780" w:hanging="3312"/>
        <w:spacing w:after="0" w:line="335" w:lineRule="auto"/>
        <w:tabs>
          <w:tab w:leader="none" w:pos="10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 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 to _______________</w:t>
      </w:r>
    </w:p>
    <w:p>
      <w:pPr>
        <w:spacing w:after="0" w:line="1" w:lineRule="exact"/>
        <w:rPr>
          <w:rFonts w:ascii="Times New Roman" w:cs="Times New Roman" w:eastAsia="Times New Roman" w:hAnsi="Times New Roman"/>
          <w:sz w:val="16"/>
          <w:szCs w:val="16"/>
          <w:b w:val="1"/>
          <w:bCs w:val="1"/>
          <w:color w:val="auto"/>
        </w:rPr>
      </w:pPr>
    </w:p>
    <w:p>
      <w:pPr>
        <w:ind w:left="44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SEER,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132"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82-1153150</w:t>
      </w:r>
    </w:p>
    <w:p>
      <w:pPr>
        <w:spacing w:after="0" w:line="42" w:lineRule="exact"/>
        <w:rPr>
          <w:sz w:val="24"/>
          <w:szCs w:val="24"/>
          <w:color w:val="auto"/>
        </w:rPr>
      </w:pPr>
    </w:p>
    <w:p>
      <w:pPr>
        <w:sectPr>
          <w:pgSz w:w="11900" w:h="16838" w:orient="portrait"/>
          <w:cols w:equalWidth="0" w:num="2">
            <w:col w:w="7940" w:space="720"/>
            <w:col w:w="2580"/>
          </w:cols>
          <w:pgMar w:left="320" w:top="225" w:right="33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42" w:lineRule="exact"/>
        <w:rPr>
          <w:sz w:val="24"/>
          <w:szCs w:val="24"/>
          <w:color w:val="auto"/>
        </w:rPr>
      </w:pPr>
    </w:p>
    <w:p>
      <w:pPr>
        <w:sectPr>
          <w:pgSz w:w="11900" w:h="16838" w:orient="portrait"/>
          <w:cols w:equalWidth="0" w:num="2">
            <w:col w:w="7020" w:space="720"/>
            <w:col w:w="3500"/>
          </w:cols>
          <w:pgMar w:left="320" w:top="22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3800 Bridge Parkway, Suite 102</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Redwood City, California 94065</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650-453-0000</w:t>
      </w:r>
    </w:p>
    <w:p>
      <w:pPr>
        <w:sectPr>
          <w:pgSz w:w="11900" w:h="16838" w:orient="portrait"/>
          <w:cols w:equalWidth="0" w:num="1">
            <w:col w:w="11240"/>
          </w:cols>
          <w:pgMar w:left="320" w:top="225" w:right="339" w:bottom="1440" w:gutter="0" w:footer="0" w:header="0"/>
          <w:type w:val="continuous"/>
        </w:sectPr>
      </w:pP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93345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3960" w:type="dxa"/>
            <w:vAlign w:val="bottom"/>
            <w:gridSpan w:val="5"/>
          </w:tcPr>
          <w:p>
            <w:pPr>
              <w:jc w:val="center"/>
              <w:ind w:left="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r>
      <w:tr>
        <w:trPr>
          <w:trHeight w:val="131"/>
        </w:trPr>
        <w:tc>
          <w:tcPr>
            <w:tcW w:w="3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80" w:type="dxa"/>
            <w:vAlign w:val="bottom"/>
          </w:tcPr>
          <w:p>
            <w:pPr>
              <w:spacing w:after="0"/>
              <w:rPr>
                <w:sz w:val="11"/>
                <w:szCs w:val="11"/>
                <w:color w:val="auto"/>
              </w:rPr>
            </w:pPr>
          </w:p>
        </w:tc>
      </w:tr>
      <w:tr>
        <w:trPr>
          <w:trHeight w:val="267"/>
        </w:trPr>
        <w:tc>
          <w:tcPr>
            <w:tcW w:w="3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6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i w:val="1"/>
                <w:iCs w:val="1"/>
                <w:color w:val="auto"/>
              </w:rPr>
              <w:t>Copies to:</w:t>
            </w:r>
          </w:p>
        </w:tc>
        <w:tc>
          <w:tcPr>
            <w:tcW w:w="3680" w:type="dxa"/>
            <w:vAlign w:val="bottom"/>
          </w:tcPr>
          <w:p>
            <w:pPr>
              <w:spacing w:after="0"/>
              <w:rPr>
                <w:sz w:val="23"/>
                <w:szCs w:val="23"/>
                <w:color w:val="auto"/>
              </w:rPr>
            </w:pPr>
          </w:p>
        </w:tc>
      </w:tr>
      <w:tr>
        <w:trPr>
          <w:trHeight w:val="213"/>
        </w:trPr>
        <w:tc>
          <w:tcPr>
            <w:tcW w:w="360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80" w:type="dxa"/>
            <w:vAlign w:val="bottom"/>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182"/>
        </w:trPr>
        <w:tc>
          <w:tcPr>
            <w:tcW w:w="3600" w:type="dxa"/>
            <w:vAlign w:val="bottom"/>
            <w:tcBorders>
              <w:top w:val="single" w:sz="8" w:color="auto"/>
            </w:tcBorders>
          </w:tcPr>
          <w:p>
            <w:pPr>
              <w:jc w:val="center"/>
              <w:ind w:left="728"/>
              <w:spacing w:after="0"/>
              <w:rPr>
                <w:sz w:val="20"/>
                <w:szCs w:val="20"/>
                <w:color w:val="auto"/>
              </w:rPr>
            </w:pPr>
            <w:r>
              <w:rPr>
                <w:rFonts w:ascii="Times New Roman" w:cs="Times New Roman" w:eastAsia="Times New Roman" w:hAnsi="Times New Roman"/>
                <w:sz w:val="14"/>
                <w:szCs w:val="14"/>
                <w:color w:val="auto"/>
              </w:rPr>
              <w:t>Common Stock, par value $0.00001</w:t>
            </w: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SEER</w:t>
            </w:r>
          </w:p>
        </w:tc>
        <w:tc>
          <w:tcPr>
            <w:tcW w:w="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tcPr>
          <w:p>
            <w:pPr>
              <w:jc w:val="center"/>
              <w:ind w:right="62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4"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00" w:val="left"/>
          <w:tab w:leader="none" w:pos="72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ind w:right="560"/>
        <w:spacing w:after="0" w:line="261" w:lineRule="auto"/>
        <w:rPr>
          <w:sz w:val="20"/>
          <w:szCs w:val="20"/>
          <w:color w:val="auto"/>
        </w:rPr>
      </w:pPr>
      <w:r>
        <w:rPr>
          <w:rFonts w:ascii="Times New Roman" w:cs="Times New Roman" w:eastAsia="Times New Roman" w:hAnsi="Times New Roman"/>
          <w:sz w:val="14"/>
          <w:szCs w:val="14"/>
          <w:color w:val="auto"/>
        </w:rPr>
        <w:t>As of May 6, 2025, the registrant had 54,823,877 shares of Class A common stock, $0.00001 par value per share, and 4,044,969 of Class B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756920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4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94"/>
        </w:trPr>
        <w:tc>
          <w:tcPr>
            <w:tcW w:w="46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4"/>
                <w:szCs w:val="24"/>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1</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2</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3</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6</w:t>
            </w:r>
          </w:p>
        </w:tc>
        <w:tc>
          <w:tcPr>
            <w:tcW w:w="320" w:type="dxa"/>
            <w:vAlign w:val="bottom"/>
          </w:tcPr>
          <w:p>
            <w:pPr>
              <w:spacing w:after="0"/>
              <w:rPr>
                <w:sz w:val="22"/>
                <w:szCs w:val="22"/>
                <w:color w:val="auto"/>
              </w:rPr>
            </w:pPr>
          </w:p>
        </w:tc>
      </w:tr>
      <w:tr>
        <w:trPr>
          <w:trHeight w:val="20"/>
        </w:trPr>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17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140" w:type="dxa"/>
            <w:vAlign w:val="bottom"/>
            <w:gridSpan w:val="2"/>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0" w:type="dxa"/>
            <w:vAlign w:val="bottom"/>
            <w:gridSpan w:val="13"/>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580" w:type="dxa"/>
            <w:vAlign w:val="bottom"/>
            <w:gridSpan w:val="14"/>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3"/>
        </w:trPr>
        <w:tc>
          <w:tcPr>
            <w:tcW w:w="460" w:type="dxa"/>
            <w:vAlign w:val="bottom"/>
          </w:tcPr>
          <w:p>
            <w:pPr>
              <w:spacing w:after="0"/>
              <w:rPr>
                <w:sz w:val="22"/>
                <w:szCs w:val="22"/>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8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gridSpan w:val="16"/>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64"/>
        </w:trPr>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1647"/>
        </w:trPr>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22"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market growth, key performance indicators, capital requirements and our needs for additional financing;</w:t>
      </w:r>
    </w:p>
    <w:p>
      <w:pPr>
        <w:spacing w:after="0" w:line="171" w:lineRule="exact"/>
        <w:rPr>
          <w:rFonts w:ascii="Times New Roman" w:cs="Times New Roman" w:eastAsia="Times New Roman" w:hAnsi="Times New Roman"/>
          <w:sz w:val="18"/>
          <w:szCs w:val="18"/>
          <w:color w:val="auto"/>
        </w:rPr>
      </w:pPr>
    </w:p>
    <w:p>
      <w:pPr>
        <w:ind w:left="760" w:right="200" w:hanging="75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among others, revenue, cost of revenue, gross profit, operating expenses, loss from operations and net losses;</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commercial strategy and attract customers, including our plans for international expansion;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and pricing for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Proteograph Product Suite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government regulation;</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and to manage our future growth effectively;</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Class A common stock;</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and risks of our investment in PrognomiQ, Inc.;</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and national and international economic conditions and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60" w:right="60" w:hanging="752"/>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tariffs and trade relations, pandemics, inflation, supply chain interruptions and foreign hostilities, on our business; and</w:t>
      </w:r>
    </w:p>
    <w:p>
      <w:pPr>
        <w:spacing w:after="0" w:line="10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spacing w:after="0" w:line="1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7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5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52,445</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40,753</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195,657</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3,997</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Related party receivables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Inventory</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7,436</w:t>
            </w:r>
          </w:p>
        </w:tc>
        <w:tc>
          <w:tcPr>
            <w:tcW w:w="100" w:type="dxa"/>
            <w:vAlign w:val="bottom"/>
          </w:tcPr>
          <w:p>
            <w:pPr>
              <w:spacing w:after="0"/>
              <w:rPr>
                <w:sz w:val="17"/>
                <w:szCs w:val="17"/>
                <w:color w:val="auto"/>
              </w:rPr>
            </w:pPr>
          </w:p>
        </w:tc>
      </w:tr>
      <w:tr>
        <w:trPr>
          <w:trHeight w:val="203"/>
        </w:trPr>
        <w:tc>
          <w:tcPr>
            <w:tcW w:w="6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3,118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253,323</w:t>
            </w:r>
          </w:p>
        </w:tc>
        <w:tc>
          <w:tcPr>
            <w:tcW w:w="100" w:type="dxa"/>
            <w:vAlign w:val="bottom"/>
          </w:tcPr>
          <w:p>
            <w:pPr>
              <w:spacing w:after="0"/>
              <w:rPr>
                <w:sz w:val="17"/>
                <w:szCs w:val="17"/>
                <w:color w:val="auto"/>
              </w:rPr>
            </w:pPr>
          </w:p>
        </w:tc>
      </w:tr>
      <w:tr>
        <w:trPr>
          <w:trHeight w:val="202"/>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Long-term investments</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45,579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63,103</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22,791</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17,039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18,575</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00" w:type="dxa"/>
            <w:vAlign w:val="bottom"/>
          </w:tcPr>
          <w:p>
            <w:pPr>
              <w:spacing w:after="0"/>
              <w:rPr>
                <w:sz w:val="17"/>
                <w:szCs w:val="17"/>
                <w:color w:val="auto"/>
              </w:rPr>
            </w:pPr>
          </w:p>
        </w:tc>
      </w:tr>
      <w:tr>
        <w:trPr>
          <w:trHeight w:val="203"/>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6,624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assets</w:t>
            </w:r>
          </w:p>
        </w:tc>
        <w:tc>
          <w:tcPr>
            <w:tcW w:w="15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347,261</w:t>
            </w:r>
          </w:p>
        </w:tc>
        <w:tc>
          <w:tcPr>
            <w:tcW w:w="1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366,597</w:t>
            </w:r>
          </w:p>
        </w:tc>
        <w:tc>
          <w:tcPr>
            <w:tcW w:w="10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48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5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4,621</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7,937</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100" w:type="dxa"/>
            <w:vAlign w:val="bottom"/>
          </w:tcPr>
          <w:p>
            <w:pPr>
              <w:spacing w:after="0"/>
              <w:rPr>
                <w:sz w:val="17"/>
                <w:szCs w:val="17"/>
                <w:color w:val="auto"/>
              </w:rPr>
            </w:pPr>
          </w:p>
        </w:tc>
      </w:tr>
      <w:tr>
        <w:trPr>
          <w:trHeight w:val="203"/>
        </w:trPr>
        <w:tc>
          <w:tcPr>
            <w:tcW w:w="6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15,328</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23,028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23,652</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7"/>
                <w:szCs w:val="17"/>
                <w:color w:val="auto"/>
              </w:rPr>
            </w:pPr>
          </w:p>
        </w:tc>
      </w:tr>
      <w:tr>
        <w:trPr>
          <w:trHeight w:val="196"/>
        </w:trPr>
        <w:tc>
          <w:tcPr>
            <w:tcW w:w="64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1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36,255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39,028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9)</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1"/>
        </w:trPr>
        <w:tc>
          <w:tcPr>
            <w:tcW w:w="648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$0.00001 par value; 5,000,000 shares authorized as of</w:t>
            </w: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March 31, 2025 and December 31, 2024; zero shares issued and</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6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outstanding as of March 31, 2025 and December 31, 2024</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648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Class A common stock, $0.00001 par value; 94,000,000 shares authorized</w:t>
            </w: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as of March 31, 2025 and December 31, 2024; 55,385,066 and</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55,083,123 shares issued and outstanding as of March 31, 2025 and</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6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December 31, 2024, respectively</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19"/>
                <w:szCs w:val="19"/>
                <w:color w:val="auto"/>
              </w:rPr>
            </w:pPr>
          </w:p>
        </w:tc>
      </w:tr>
      <w:tr>
        <w:trPr>
          <w:trHeight w:val="181"/>
        </w:trPr>
        <w:tc>
          <w:tcPr>
            <w:tcW w:w="648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Class B common stock, $0.00001 par value; 6,000,000 shares authorized</w:t>
            </w: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as of March 31, 2025 and December 31, 2024; 4,044,969 shares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64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issued and outstanding as of March 31, 2025 and December 31, 2024</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723,020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719,804</w:t>
            </w:r>
          </w:p>
        </w:tc>
        <w:tc>
          <w:tcPr>
            <w:tcW w:w="100" w:type="dxa"/>
            <w:vAlign w:val="bottom"/>
            <w:shd w:val="clear" w:color="auto" w:fill="CFF0FC"/>
          </w:tcPr>
          <w:p>
            <w:pPr>
              <w:spacing w:after="0"/>
              <w:rPr>
                <w:sz w:val="17"/>
                <w:szCs w:val="17"/>
                <w:color w:val="auto"/>
              </w:rPr>
            </w:pPr>
          </w:p>
        </w:tc>
      </w:tr>
      <w:tr>
        <w:trPr>
          <w:trHeight w:val="203"/>
        </w:trPr>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gain</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17"/>
                <w:szCs w:val="17"/>
                <w:color w:val="auto"/>
              </w:rPr>
            </w:pPr>
          </w:p>
        </w:tc>
      </w:tr>
      <w:tr>
        <w:trPr>
          <w:trHeight w:val="203"/>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(412,320)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(392,372)</w:t>
            </w:r>
          </w:p>
        </w:tc>
      </w:tr>
      <w:tr>
        <w:trPr>
          <w:trHeight w:val="196"/>
        </w:trPr>
        <w:tc>
          <w:tcPr>
            <w:tcW w:w="64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311,006</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327,569</w:t>
            </w:r>
          </w:p>
        </w:tc>
        <w:tc>
          <w:tcPr>
            <w:tcW w:w="100" w:type="dxa"/>
            <w:vAlign w:val="bottom"/>
            <w:tcBorders>
              <w:top w:val="single" w:sz="8" w:color="CFF0FC"/>
            </w:tcBorders>
          </w:tcPr>
          <w:p>
            <w:pPr>
              <w:spacing w:after="0"/>
              <w:rPr>
                <w:sz w:val="17"/>
                <w:szCs w:val="17"/>
                <w:color w:val="auto"/>
              </w:rPr>
            </w:pPr>
          </w:p>
        </w:tc>
      </w:tr>
      <w:tr>
        <w:trPr>
          <w:trHeight w:val="216"/>
        </w:trPr>
        <w:tc>
          <w:tcPr>
            <w:tcW w:w="6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347,261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366,597</w:t>
            </w:r>
          </w:p>
        </w:tc>
        <w:tc>
          <w:tcPr>
            <w:tcW w:w="100" w:type="dxa"/>
            <w:vAlign w:val="bottom"/>
            <w:shd w:val="clear" w:color="auto" w:fill="CFF0FC"/>
          </w:tcPr>
          <w:p>
            <w:pPr>
              <w:spacing w:after="0"/>
              <w:rPr>
                <w:sz w:val="18"/>
                <w:szCs w:val="18"/>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-4611370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-3830955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-2767965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-2236470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2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w:t>
            </w: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Service</w:t>
            </w: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cost of revenue</w:t>
            </w:r>
          </w:p>
        </w:tc>
        <w:tc>
          <w:tcPr>
            <w:tcW w:w="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(20,731)</w:t>
            </w:r>
          </w:p>
        </w:tc>
        <w:tc>
          <w:tcPr>
            <w:tcW w:w="3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(25,192)</w:t>
            </w: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3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income</w:t>
            </w:r>
          </w:p>
        </w:tc>
        <w:tc>
          <w:tcPr>
            <w:tcW w:w="9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(19,847)</w:t>
            </w:r>
          </w:p>
        </w:tc>
        <w:tc>
          <w:tcPr>
            <w:tcW w:w="3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(20,679)</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(19,948)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(20,679)</w:t>
            </w: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(19,779)</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(21,008)</w:t>
            </w: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980" w:type="dxa"/>
            <w:vAlign w:val="bottom"/>
            <w:vMerge w:val="restart"/>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(0.34)</w:t>
            </w:r>
          </w:p>
        </w:tc>
        <w:tc>
          <w:tcPr>
            <w:tcW w:w="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194"/>
        </w:trPr>
        <w:tc>
          <w:tcPr>
            <w:tcW w:w="65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9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59,408,711</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64,586,056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540" w:type="dxa"/>
            <w:vAlign w:val="bottom"/>
            <w:tcBorders>
              <w:bottom w:val="single" w:sz="8" w:color="CFF0FC"/>
            </w:tcBorders>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9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-3959860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-3959860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-3128645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-3128645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-2836545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-2836545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-2271395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-2271395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-1431290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-1431290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-1148080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-1148080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-574040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-556895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-574040</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840" w:type="dxa"/>
            <w:vAlign w:val="bottom"/>
            <w:gridSpan w:val="3"/>
            <w:vMerge w:val="restart"/>
          </w:tcPr>
          <w:p>
            <w:pPr>
              <w:jc w:val="right"/>
              <w:ind w:right="2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4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center"/>
              <w:ind w:right="143"/>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920" w:type="dxa"/>
            <w:vAlign w:val="bottom"/>
            <w:tcBorders>
              <w:bottom w:val="single" w:sz="8" w:color="auto"/>
            </w:tcBorders>
          </w:tcPr>
          <w:p>
            <w:pPr>
              <w:jc w:val="right"/>
              <w:ind w:right="204"/>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64"/>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03"/>
              <w:spacing w:after="0" w:line="129" w:lineRule="exact"/>
              <w:rPr>
                <w:sz w:val="20"/>
                <w:szCs w:val="20"/>
                <w:color w:val="auto"/>
              </w:rPr>
            </w:pPr>
            <w:r>
              <w:rPr>
                <w:rFonts w:ascii="Times New Roman" w:cs="Times New Roman" w:eastAsia="Times New Roman" w:hAnsi="Times New Roman"/>
                <w:sz w:val="13"/>
                <w:szCs w:val="13"/>
                <w:b w:val="1"/>
                <w:bCs w:val="1"/>
                <w:color w:val="auto"/>
                <w:w w:val="94"/>
              </w:rPr>
              <w:t>Gain</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59,128,092</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719,804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(392,372)</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327,569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 release of restricted stock</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units, net of shares settled for tax withholding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653,943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Repurchases of Class A common stock under share repurchase</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program</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(352,000)</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(675)</w:t>
            </w: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(675)</w:t>
            </w: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(19,948)</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(19,948)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59,430,035</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45"/>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723,020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(412,320)</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-25400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2"/>
                <w:szCs w:val="12"/>
                <w:color w:val="auto"/>
              </w:rPr>
            </w:pPr>
          </w:p>
        </w:tc>
        <w:tc>
          <w:tcPr>
            <w:tcW w:w="184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04"/>
              <w:spacing w:after="0" w:line="128"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440"/>
              <w:spacing w:after="0" w:line="128"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84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40" w:type="dxa"/>
            <w:vAlign w:val="bottom"/>
          </w:tcPr>
          <w:p>
            <w:pPr>
              <w:spacing w:after="0"/>
              <w:rPr>
                <w:sz w:val="11"/>
                <w:szCs w:val="11"/>
                <w:color w:val="auto"/>
              </w:rPr>
            </w:pPr>
          </w:p>
        </w:tc>
        <w:tc>
          <w:tcPr>
            <w:tcW w:w="920" w:type="dxa"/>
            <w:vAlign w:val="bottom"/>
            <w:tcBorders>
              <w:bottom w:val="single" w:sz="8" w:color="auto"/>
            </w:tcBorders>
          </w:tcPr>
          <w:p>
            <w:pPr>
              <w:jc w:val="right"/>
              <w:ind w:right="204"/>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64"/>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23"/>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64,298,676</w:t>
            </w:r>
          </w:p>
        </w:tc>
        <w:tc>
          <w:tcPr>
            <w:tcW w:w="92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702,868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(305,773)</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(192)</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396,904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Class A common stock from exercise of options and</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release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638,004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Vesting of early exercised stock options and restricted</w:t>
            </w: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(329)</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203"/>
        </w:trPr>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(20,679)</w:t>
            </w:r>
          </w:p>
        </w:tc>
        <w:tc>
          <w:tcPr>
            <w:tcW w:w="18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(20,679)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64,936,680</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4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710,527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(326,452)</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(521)</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383,555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-25400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40" w:type="dxa"/>
            <w:vAlign w:val="bottom"/>
          </w:tcPr>
          <w:p>
            <w:pPr>
              <w:spacing w:after="0"/>
              <w:rPr>
                <w:sz w:val="13"/>
                <w:szCs w:val="13"/>
                <w:color w:val="auto"/>
              </w:rPr>
            </w:pPr>
          </w:p>
        </w:tc>
        <w:tc>
          <w:tcPr>
            <w:tcW w:w="2800" w:type="dxa"/>
            <w:vAlign w:val="bottom"/>
            <w:tcBorders>
              <w:bottom w:val="single" w:sz="8" w:color="auto"/>
            </w:tcBorders>
            <w:gridSpan w:val="4"/>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7740" w:type="dxa"/>
            <w:vAlign w:val="bottom"/>
          </w:tcPr>
          <w:p>
            <w:pPr>
              <w:spacing w:after="0"/>
              <w:rPr>
                <w:sz w:val="11"/>
                <w:szCs w:val="11"/>
                <w:color w:val="auto"/>
              </w:rPr>
            </w:pPr>
          </w:p>
        </w:tc>
        <w:tc>
          <w:tcPr>
            <w:tcW w:w="1000" w:type="dxa"/>
            <w:vAlign w:val="bottom"/>
            <w:tcBorders>
              <w:bottom w:val="single" w:sz="8" w:color="auto"/>
            </w:tcBorders>
          </w:tcPr>
          <w:p>
            <w:pPr>
              <w:jc w:val="right"/>
              <w:ind w:right="85"/>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Borders>
              <w:bottom w:val="single" w:sz="8" w:color="auto"/>
            </w:tcBorders>
          </w:tcPr>
          <w:p>
            <w:pPr>
              <w:jc w:val="right"/>
              <w:ind w:right="9"/>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77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ind w:right="92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(19,948)</w:t>
            </w:r>
          </w:p>
        </w:tc>
        <w:tc>
          <w:tcPr>
            <w:tcW w:w="980" w:type="dxa"/>
            <w:vAlign w:val="bottom"/>
          </w:tcPr>
          <w:p>
            <w:pPr>
              <w:jc w:val="right"/>
              <w:ind w:right="8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(20,679)</w:t>
            </w:r>
          </w:p>
        </w:tc>
      </w:tr>
      <w:tr>
        <w:trPr>
          <w:trHeight w:val="148"/>
        </w:trPr>
        <w:tc>
          <w:tcPr>
            <w:tcW w:w="77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4,663</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7,580</w:t>
            </w:r>
          </w:p>
        </w:tc>
        <w:tc>
          <w:tcPr>
            <w:tcW w:w="100" w:type="dxa"/>
            <w:vAlign w:val="bottom"/>
          </w:tcPr>
          <w:p>
            <w:pPr>
              <w:spacing w:after="0"/>
              <w:rPr>
                <w:sz w:val="12"/>
                <w:szCs w:val="12"/>
                <w:color w:val="auto"/>
              </w:rPr>
            </w:pPr>
          </w:p>
        </w:tc>
      </w:tr>
      <w:tr>
        <w:trPr>
          <w:trHeight w:val="148"/>
        </w:trPr>
        <w:tc>
          <w:tcPr>
            <w:tcW w:w="7740" w:type="dxa"/>
            <w:vAlign w:val="bottom"/>
            <w:tcBorders>
              <w:right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2"/>
                <w:szCs w:val="12"/>
                <w:color w:val="auto"/>
              </w:rPr>
            </w:pPr>
          </w:p>
        </w:tc>
      </w:tr>
      <w:tr>
        <w:trPr>
          <w:trHeight w:val="148"/>
        </w:trPr>
        <w:tc>
          <w:tcPr>
            <w:tcW w:w="7740" w:type="dxa"/>
            <w:vAlign w:val="bottom"/>
            <w:tcBorders>
              <w:right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amortization of premium on available-for-sale securities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2,351</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for inventory excess and obsolescence</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r>
      <w:tr>
        <w:trPr>
          <w:trHeight w:val="149"/>
        </w:trPr>
        <w:tc>
          <w:tcPr>
            <w:tcW w:w="7740" w:type="dxa"/>
            <w:vAlign w:val="bottom"/>
            <w:tcBorders>
              <w:right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operating lease expense</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equity method investment</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40" w:type="dxa"/>
            <w:vAlign w:val="bottom"/>
            <w:tcBorders>
              <w:right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2"/>
                <w:szCs w:val="12"/>
                <w:color w:val="auto"/>
              </w:rPr>
            </w:pPr>
          </w:p>
        </w:tc>
      </w:tr>
      <w:tr>
        <w:trPr>
          <w:trHeight w:val="148"/>
        </w:trPr>
        <w:tc>
          <w:tcPr>
            <w:tcW w:w="7740" w:type="dxa"/>
            <w:vAlign w:val="bottom"/>
            <w:tcBorders>
              <w:right w:val="single" w:sz="8" w:color="CFF0FC"/>
            </w:tcBorders>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(455)</w:t>
            </w:r>
          </w:p>
        </w:tc>
      </w:tr>
      <w:tr>
        <w:trPr>
          <w:trHeight w:val="149"/>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(967)</w:t>
            </w:r>
          </w:p>
        </w:tc>
      </w:tr>
      <w:tr>
        <w:trPr>
          <w:trHeight w:val="148"/>
        </w:trPr>
        <w:tc>
          <w:tcPr>
            <w:tcW w:w="7740" w:type="dxa"/>
            <w:vAlign w:val="bottom"/>
            <w:tcBorders>
              <w:right w:val="single" w:sz="8" w:color="CFF0FC"/>
            </w:tcBorders>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2"/>
                <w:szCs w:val="12"/>
                <w:color w:val="auto"/>
              </w:rPr>
            </w:pPr>
          </w:p>
        </w:tc>
      </w:tr>
      <w:tr>
        <w:trPr>
          <w:trHeight w:val="148"/>
        </w:trPr>
        <w:tc>
          <w:tcPr>
            <w:tcW w:w="7740" w:type="dxa"/>
            <w:vAlign w:val="bottom"/>
            <w:tcBorders>
              <w:right w:val="single" w:sz="8" w:color="CFF0FC"/>
            </w:tcBorders>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liabilities and other liabilities</w:t>
            </w:r>
          </w:p>
        </w:tc>
        <w:tc>
          <w:tcPr>
            <w:tcW w:w="10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(2,044)</w:t>
            </w: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(1,874)</w:t>
            </w: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4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(11,417)</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(10,456)</w:t>
            </w:r>
          </w:p>
        </w:tc>
      </w:tr>
      <w:tr>
        <w:trPr>
          <w:trHeight w:val="142"/>
        </w:trPr>
        <w:tc>
          <w:tcPr>
            <w:tcW w:w="77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0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(754)</w:t>
            </w:r>
          </w:p>
        </w:tc>
      </w:tr>
      <w:tr>
        <w:trPr>
          <w:trHeight w:val="148"/>
        </w:trPr>
        <w:tc>
          <w:tcPr>
            <w:tcW w:w="77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disposal of property and equipment</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securities</w:t>
            </w: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(62,660)</w:t>
            </w:r>
          </w:p>
        </w:tc>
        <w:tc>
          <w:tcPr>
            <w:tcW w:w="9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(101,297)</w:t>
            </w:r>
          </w:p>
        </w:tc>
      </w:tr>
      <w:tr>
        <w:trPr>
          <w:trHeight w:val="149"/>
        </w:trPr>
        <w:tc>
          <w:tcPr>
            <w:tcW w:w="7740" w:type="dxa"/>
            <w:vAlign w:val="bottom"/>
            <w:tcBorders>
              <w:bottom w:val="single" w:sz="8" w:color="CFF0FC"/>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10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87,626</w:t>
            </w:r>
          </w:p>
        </w:tc>
        <w:tc>
          <w:tcPr>
            <w:tcW w:w="26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134,406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74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24,611</w:t>
            </w:r>
          </w:p>
        </w:tc>
        <w:tc>
          <w:tcPr>
            <w:tcW w:w="2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32,355</w:t>
            </w:r>
          </w:p>
        </w:tc>
        <w:tc>
          <w:tcPr>
            <w:tcW w:w="100" w:type="dxa"/>
            <w:vAlign w:val="bottom"/>
          </w:tcPr>
          <w:p>
            <w:pPr>
              <w:spacing w:after="0"/>
              <w:rPr>
                <w:sz w:val="12"/>
                <w:szCs w:val="12"/>
                <w:color w:val="auto"/>
              </w:rPr>
            </w:pPr>
          </w:p>
        </w:tc>
      </w:tr>
      <w:tr>
        <w:trPr>
          <w:trHeight w:val="142"/>
        </w:trPr>
        <w:tc>
          <w:tcPr>
            <w:tcW w:w="77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Class A common stock under share repurchase program</w:t>
            </w: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9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7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Taxes paid related to net settlement of restricted stock units</w:t>
            </w:r>
          </w:p>
        </w:tc>
        <w:tc>
          <w:tcPr>
            <w:tcW w:w="10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(827)</w:t>
            </w:r>
          </w:p>
        </w:tc>
        <w:tc>
          <w:tcPr>
            <w:tcW w:w="98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74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74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(1,502)</w:t>
            </w:r>
          </w:p>
        </w:tc>
        <w:tc>
          <w:tcPr>
            <w:tcW w:w="980" w:type="dxa"/>
            <w:vAlign w:val="bottom"/>
          </w:tcPr>
          <w:p>
            <w:pPr>
              <w:spacing w:after="0"/>
              <w:rPr>
                <w:sz w:val="12"/>
                <w:szCs w:val="12"/>
                <w:color w:val="auto"/>
              </w:rPr>
            </w:pPr>
          </w:p>
        </w:tc>
        <w:tc>
          <w:tcPr>
            <w:tcW w:w="7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77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10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11,692</w:t>
            </w:r>
          </w:p>
        </w:tc>
        <w:tc>
          <w:tcPr>
            <w:tcW w:w="260" w:type="dxa"/>
            <w:vAlign w:val="bottom"/>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21,899</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41,277</w:t>
            </w:r>
          </w:p>
        </w:tc>
        <w:tc>
          <w:tcPr>
            <w:tcW w:w="2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33,023</w:t>
            </w:r>
          </w:p>
        </w:tc>
        <w:tc>
          <w:tcPr>
            <w:tcW w:w="100" w:type="dxa"/>
            <w:vAlign w:val="bottom"/>
          </w:tcPr>
          <w:p>
            <w:pPr>
              <w:spacing w:after="0"/>
              <w:rPr>
                <w:sz w:val="12"/>
                <w:szCs w:val="12"/>
                <w:color w:val="auto"/>
              </w:rPr>
            </w:pPr>
          </w:p>
        </w:tc>
      </w:tr>
      <w:tr>
        <w:trPr>
          <w:trHeight w:val="182"/>
        </w:trPr>
        <w:tc>
          <w:tcPr>
            <w:tcW w:w="7740" w:type="dxa"/>
            <w:vAlign w:val="bottom"/>
            <w:tcBorders>
              <w:right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000" w:type="dxa"/>
            <w:vAlign w:val="bottom"/>
            <w:shd w:val="clear" w:color="auto" w:fill="CFF0FC"/>
          </w:tcPr>
          <w:p>
            <w:pPr>
              <w:jc w:val="right"/>
              <w:ind w:right="92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52,969</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29"/>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54,922</w:t>
            </w:r>
          </w:p>
        </w:tc>
        <w:tc>
          <w:tcPr>
            <w:tcW w:w="100" w:type="dxa"/>
            <w:vAlign w:val="bottom"/>
            <w:shd w:val="clear" w:color="auto" w:fill="CFF0FC"/>
          </w:tcPr>
          <w:p>
            <w:pPr>
              <w:spacing w:after="0"/>
              <w:rPr>
                <w:sz w:val="15"/>
                <w:szCs w:val="15"/>
                <w:color w:val="auto"/>
              </w:rPr>
            </w:pPr>
          </w:p>
        </w:tc>
      </w:tr>
      <w:tr>
        <w:trPr>
          <w:trHeight w:val="278"/>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68"/>
        </w:trPr>
        <w:tc>
          <w:tcPr>
            <w:tcW w:w="7740" w:type="dxa"/>
            <w:vAlign w:val="bottom"/>
            <w:tcBorders>
              <w:right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Capitalized stock-based compensation related to internal-use software development</w:t>
            </w:r>
          </w:p>
        </w:tc>
        <w:tc>
          <w:tcPr>
            <w:tcW w:w="1000" w:type="dxa"/>
            <w:vAlign w:val="bottom"/>
            <w:shd w:val="clear" w:color="auto" w:fill="CFF0FC"/>
          </w:tcPr>
          <w:p>
            <w:pPr>
              <w:jc w:val="right"/>
              <w:ind w:right="92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29"/>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4"/>
                <w:szCs w:val="14"/>
                <w:color w:val="auto"/>
              </w:rPr>
            </w:pPr>
          </w:p>
        </w:tc>
      </w:tr>
      <w:tr>
        <w:trPr>
          <w:trHeight w:val="20"/>
        </w:trPr>
        <w:tc>
          <w:tcPr>
            <w:tcW w:w="7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77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expenses</w:t>
            </w:r>
          </w:p>
        </w:tc>
        <w:tc>
          <w:tcPr>
            <w:tcW w:w="1000" w:type="dxa"/>
            <w:vAlign w:val="bottom"/>
          </w:tcPr>
          <w:p>
            <w:pPr>
              <w:jc w:val="right"/>
              <w:ind w:right="92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85</w:t>
            </w:r>
          </w:p>
        </w:tc>
        <w:tc>
          <w:tcPr>
            <w:tcW w:w="260" w:type="dxa"/>
            <w:vAlign w:val="bottom"/>
          </w:tcPr>
          <w:p>
            <w:pPr>
              <w:spacing w:after="0"/>
              <w:rPr>
                <w:sz w:val="11"/>
                <w:szCs w:val="11"/>
                <w:color w:val="auto"/>
              </w:rPr>
            </w:pPr>
          </w:p>
        </w:tc>
        <w:tc>
          <w:tcPr>
            <w:tcW w:w="980" w:type="dxa"/>
            <w:vAlign w:val="bottom"/>
          </w:tcPr>
          <w:p>
            <w:pPr>
              <w:jc w:val="right"/>
              <w:ind w:right="8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1"/>
                <w:szCs w:val="11"/>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774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Inventory transferred to property and equipment</w:t>
            </w:r>
          </w:p>
        </w:tc>
        <w:tc>
          <w:tcPr>
            <w:tcW w:w="1000" w:type="dxa"/>
            <w:vAlign w:val="bottom"/>
            <w:shd w:val="clear" w:color="auto" w:fill="CFF0FC"/>
          </w:tcPr>
          <w:p>
            <w:pPr>
              <w:jc w:val="right"/>
              <w:ind w:right="925"/>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561</w:t>
            </w: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8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29"/>
        </w:trPr>
        <w:tc>
          <w:tcPr>
            <w:tcW w:w="774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Property and equipment transferred to inventory</w:t>
            </w:r>
          </w:p>
        </w:tc>
        <w:tc>
          <w:tcPr>
            <w:tcW w:w="1000" w:type="dxa"/>
            <w:vAlign w:val="bottom"/>
          </w:tcPr>
          <w:p>
            <w:pPr>
              <w:jc w:val="right"/>
              <w:ind w:right="925"/>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1"/>
                <w:szCs w:val="11"/>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-2073910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-1490980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-1096645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-693420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-676275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-385445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-367665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THE BUSINESS</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Seer, Inc. (the Company) was incorporated in Delaware on March 16, 2017, and is headquartered in Redwood City, California. The Company is a life sciences company focused on capturing deep molecular insights from the proteome to enable novel insights and breakthroughs in the understanding of biology and disease.</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March 31, 2025, the Company has incurred significant losses and has had negative cash flows from operations. As of March 31, 2025, the Company had cash and cash equivalents and investments of $285.3 million and an accumulated deficit of $412.3 million. Management expects to continue to incur significant expenses for the foreseeable future and to incur operating losses in the near term while the Company makes investments to support its anticipated growth. The Company believes that its cash and cash equivalents and investments as of March 31, 2025 provide sufficient capital resources to continue its operations for at least twelve months from the issuance date of the accompanying unaudited condensed consolidated financial statements.</w:t>
      </w:r>
    </w:p>
    <w:p>
      <w:pPr>
        <w:spacing w:after="0" w:line="125"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BASIS OF PRESENTATION</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accounting principles generally accepted in the United States of America (U.S. GAAP) and pursuant to the rules and regulations of the Securities and Exchange Commission (SEC) for interim financial reporting. Accordingly, they do not include all of the information and footnotes required by U.S. GAAP for complete financial statements. The unaudited condensed consolidated financial statements should be read in conjunction with the audited consolidated financial statements and notes included in our Annual Report on Form 10-K for the year ended December 31, 2024, which was filed with the SEC on March 3, 2025. The results of operations for the three months ended March 31, 2025 are not necessarily indicative of the results to be expected for the entire fiscal year or any future periods.</w:t>
      </w:r>
    </w:p>
    <w:p>
      <w:pPr>
        <w:spacing w:after="0" w:line="13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Seer, Inc. and its wholly-owned subsidiaries. All intercompany transactions and balances have been eliminated.</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cash equivalents, restricted cash, and investments.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account balances exceed the amount insured by the Federal Deposit Insurance Corporation.</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there were two customers that accounted for 12% and 10% of the Company's total revenue. For the three months ended March 31, 2024, there was one customer, a related party, that accounted for 31% of the Company’s total revenue.</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37% and 13% of the Company's total revenue, respectively, was generated outside of the United States, primarily from countries in Asia and Europe.</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March 31, 2025, there were two customers, each of which represented 10% of the Company's total accounts receivable balance. As of December 31, 2024, no single customer accounted for 10% or more of the total accounts receivable balance, including related party receivables.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There have been no material changes to the significant accounting policies as of and for the three months ended March 31, 2025, as compared to the significant accounting policies described in the Company's Annual Report on Form 10-K for the fiscal year ended December 31, 2024 filed with the SEC.</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Cash equivalents consist primarily of amounts invested in money market funds, U.S. Treasury securities, and commercial paper and are stated at fair value.</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held by a financial institution as security for a letter of credit issued to the lessor for one of the Company’s operating leases and is classified as noncurrent.</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the total amount presented in the unaudited condensed consolidated statements of cash flows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60" w:type="dxa"/>
            <w:vAlign w:val="bottom"/>
            <w:gridSpan w:val="2"/>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52,445</w:t>
            </w:r>
          </w:p>
        </w:tc>
        <w:tc>
          <w:tcPr>
            <w:tcW w:w="11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54,398</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r>
      <w:tr>
        <w:trPr>
          <w:trHeight w:val="22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52,969</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54,922</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requirements of the ASU are effective for annual periods beginning after December 15, 2024, with early adoption permitted. The Company is currently in the process of evaluating the impact of this pronouncement on its consolidated financial statements and related disclosures.</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which requires public business entities to disclose in the notes to the financial statements, among other things, specific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The Company is currently evaluating the impact the new accounting standard will have on its expense disclosures in the notes to the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continues to monitor new accounting pronouncements issued by the FASB and does not believe any accounting pronouncements issued through the date of this report will have a material impact on the Company’s consolidated financial statements.</w:t>
      </w:r>
    </w:p>
    <w:p>
      <w:pPr>
        <w:spacing w:after="0" w:line="10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FAIR VALUE OF FINANCIAL INSTRUMENTS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that were measured at fair value on a recurring basis by level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2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50,712</w:t>
            </w: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127,416</w:t>
            </w: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93,767</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93,767</w:t>
            </w:r>
          </w:p>
        </w:tc>
        <w:tc>
          <w:tcPr>
            <w:tcW w:w="120" w:type="dxa"/>
            <w:vAlign w:val="bottom"/>
          </w:tcPr>
          <w:p>
            <w:pPr>
              <w:spacing w:after="0"/>
              <w:rPr>
                <w:sz w:val="18"/>
                <w:szCs w:val="18"/>
                <w:color w:val="auto"/>
              </w:rPr>
            </w:pPr>
          </w:p>
        </w:tc>
      </w:tr>
      <w:tr>
        <w:trPr>
          <w:trHeight w:val="210"/>
        </w:trPr>
        <w:tc>
          <w:tcPr>
            <w:tcW w:w="4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232,859</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232,859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247,797</w:t>
            </w:r>
          </w:p>
        </w:tc>
        <w:tc>
          <w:tcPr>
            <w:tcW w:w="24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283,571</w:t>
            </w:r>
          </w:p>
        </w:tc>
        <w:tc>
          <w:tcPr>
            <w:tcW w:w="1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2"/>
        </w:trPr>
        <w:tc>
          <w:tcPr>
            <w:tcW w:w="4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18"/>
                <w:szCs w:val="18"/>
                <w:color w:val="auto"/>
              </w:rPr>
            </w:pPr>
          </w:p>
        </w:tc>
      </w:tr>
      <w:tr>
        <w:trPr>
          <w:trHeight w:val="209"/>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tcPr>
          <w:p>
            <w:pPr>
              <w:spacing w:after="0"/>
              <w:rPr>
                <w:sz w:val="18"/>
                <w:szCs w:val="18"/>
                <w:color w:val="auto"/>
              </w:rPr>
            </w:pPr>
          </w:p>
        </w:tc>
      </w:tr>
      <w:tr>
        <w:trPr>
          <w:trHeight w:val="216"/>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120" w:type="dxa"/>
            <w:vAlign w:val="bottom"/>
          </w:tcPr>
          <w:p>
            <w:pPr>
              <w:spacing w:after="0"/>
              <w:rPr>
                <w:sz w:val="18"/>
                <w:szCs w:val="18"/>
                <w:color w:val="auto"/>
              </w:rPr>
            </w:pPr>
          </w:p>
        </w:tc>
      </w:tr>
      <w:tr>
        <w:trPr>
          <w:trHeight w:val="229"/>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262,951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299,048</w:t>
            </w:r>
          </w:p>
        </w:tc>
        <w:tc>
          <w:tcPr>
            <w:tcW w:w="120" w:type="dxa"/>
            <w:vAlign w:val="bottom"/>
            <w:shd w:val="clear" w:color="auto" w:fill="CFF0FC"/>
          </w:tcPr>
          <w:p>
            <w:pPr>
              <w:spacing w:after="0"/>
              <w:rPr>
                <w:sz w:val="19"/>
                <w:szCs w:val="19"/>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-2905125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-2905125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-2905125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-2905125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-2065020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-2065020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-2065020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-316230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U.S. Non-Treasury securities (government agency debt), commercial paper, and corporate debt securities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accounts receivable, other receivables, prepaid expenses and other current assets, accounts payable and accrued expenses approximate fair value due to their short maturities.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cash equivalents and investments and the gross unrealized holding gains and losses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6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232,554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283,266</w:t>
            </w:r>
          </w:p>
        </w:tc>
        <w:tc>
          <w:tcPr>
            <w:tcW w:w="2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24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86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6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150,095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96,302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298,912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-2999740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-2999740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-2999740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-2999740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-2159635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-2159635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-2159635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-2159635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-316230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-316230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-316230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March 31, 2025 and December 31, 2024, unrealized losses on available-for-sale investments are not attributable to credit risk and are considered to be temporary. As of March 31, 2025, the Company does not have investments that have been in a continuous unrealized loss position for twelve months or longer.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March 31, 2025, $45.6 million of available-for-sale investments had remaining maturities between one and two years. The remainder of the available-for-sale investments have a remaining maturity of one year or less. As of March 31, 2025 and December 31, 2024, the Company recorded $1.2 million and $1.9 million, respectively, of accrued interest related to its available-for-sale investments and is presented as other receivables on the unaudited condensed consolidated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w:t>
        <w:tab/>
        <w:t>OTHER FINANCIAL STATEMENT INFORMATION</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(17,679)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(16,814)</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-2142490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recognized depreciation and amortization expense of $1.6 million and $1.5 million, respectively.</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50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3,971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3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3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8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8"/>
                <w:szCs w:val="18"/>
                <w:color w:val="auto"/>
              </w:rPr>
            </w:pPr>
          </w:p>
        </w:tc>
      </w:tr>
      <w:tr>
        <w:trPr>
          <w:trHeight w:val="25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50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5,916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00" w:type="dxa"/>
            <w:vAlign w:val="bottom"/>
            <w:shd w:val="clear" w:color="auto" w:fill="CFF0FC"/>
          </w:tcPr>
          <w:p>
            <w:pPr>
              <w:spacing w:after="0"/>
              <w:rPr>
                <w:sz w:val="21"/>
                <w:szCs w:val="21"/>
                <w:color w:val="auto"/>
              </w:rPr>
            </w:pPr>
          </w:p>
        </w:tc>
      </w:tr>
      <w:tr>
        <w:trPr>
          <w:trHeight w:val="845"/>
        </w:trPr>
        <w:tc>
          <w:tcPr>
            <w:tcW w:w="3860" w:type="dxa"/>
            <w:vAlign w:val="bottom"/>
            <w:tcBorders>
              <w:top w:val="single" w:sz="8" w:color="CFF0FC"/>
            </w:tcBorders>
          </w:tcPr>
          <w:p>
            <w:pPr>
              <w:spacing w:after="0"/>
              <w:rPr>
                <w:sz w:val="24"/>
                <w:szCs w:val="24"/>
                <w:color w:val="auto"/>
              </w:rPr>
            </w:pPr>
          </w:p>
        </w:tc>
        <w:tc>
          <w:tcPr>
            <w:tcW w:w="388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-1054100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-1054100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51"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DEFERRED REVENUE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Product revenue consists of instruments with embedded software essential to the instrument's functionality and consumables. Service revenue primarily consists of revenue received from the generation and analysis of proteomic data on behalf of customers. Related party revenue is comprised of both the sale of products and services performed for related parties, as further discussed in Note 10. Other revenue consists of shipping revenue and lease arrangements.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activities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106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 and noncurrent, as of the beginning of period</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0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 and noncurrent, as of the end of period</w:t>
            </w:r>
          </w:p>
        </w:tc>
        <w:tc>
          <w:tcPr>
            <w:tcW w:w="1060" w:type="dxa"/>
            <w:vAlign w:val="bottom"/>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tcPr>
          <w:p>
            <w:pPr>
              <w:spacing w:after="0"/>
              <w:rPr>
                <w:sz w:val="18"/>
                <w:szCs w:val="18"/>
                <w:color w:val="auto"/>
              </w:rPr>
            </w:pPr>
          </w:p>
        </w:tc>
        <w:tc>
          <w:tcPr>
            <w:tcW w:w="122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0"/>
        </w:trPr>
        <w:tc>
          <w:tcPr>
            <w:tcW w:w="77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represents contracted revenue that has not yet been recognized, which includes deferred revenue and non-cancelable amounts that will be invoiced and recognized as revenue in future periods. As of March 31, 2025, $0.4 million of revenue is expected to be recognized from the remaining performance obligations, of which 85% is expected to be recognized within twelve months.</w:t>
      </w:r>
    </w:p>
    <w:p>
      <w:pPr>
        <w:spacing w:after="0" w:line="11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AND STOCKHOLDERS’ EQUITY</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is authorized to issue 105,000,000 shares of capital stock consisting of 94,000,000 shares of Class A common stock, 6,000,000 shares of Class B common stock, and 5,000,000 shares of preferred stock.</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The Class B common stock will also automatically convert into Class A common stock on December 9, 2025. Holders of common stock are entitled to dividends as declared by the Board of Directors, subject to rights of holders of all classes of stock outstanding having priority rights as to dividends. There have been no dividends declared to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share repurchase activity under the Share Repurchase Program for the period indicated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28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352,000</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Total cost </w:t>
            </w:r>
            <w:r>
              <w:rPr>
                <w:rFonts w:ascii="Times New Roman" w:cs="Times New Roman" w:eastAsia="Times New Roman" w:hAnsi="Times New Roman"/>
                <w:sz w:val="24"/>
                <w:szCs w:val="24"/>
                <w:color w:val="auto"/>
                <w:vertAlign w:val="superscript"/>
              </w:rPr>
              <w:t>(1)</w:t>
            </w:r>
          </w:p>
        </w:tc>
        <w:tc>
          <w:tcPr>
            <w:tcW w:w="3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Average per share cost </w:t>
            </w:r>
            <w:r>
              <w:rPr>
                <w:rFonts w:ascii="Times New Roman" w:cs="Times New Roman" w:eastAsia="Times New Roman" w:hAnsi="Times New Roman"/>
                <w:sz w:val="24"/>
                <w:szCs w:val="24"/>
                <w:color w:val="auto"/>
                <w:vertAlign w:val="superscript"/>
              </w:rPr>
              <w:t>(2)</w:t>
            </w:r>
          </w:p>
        </w:tc>
        <w:tc>
          <w:tcPr>
            <w:tcW w:w="3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18"/>
                <w:szCs w:val="18"/>
                <w:color w:val="auto"/>
              </w:rPr>
            </w:pPr>
          </w:p>
        </w:tc>
      </w:tr>
    </w:tbl>
    <w:p>
      <w:pPr>
        <w:spacing w:after="0" w:line="55"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broker commissions and excludes excise tax.</w:t>
      </w:r>
    </w:p>
    <w:p>
      <w:pPr>
        <w:spacing w:after="0" w:line="72" w:lineRule="exact"/>
        <w:rPr>
          <w:rFonts w:ascii="Times New Roman" w:cs="Times New Roman" w:eastAsia="Times New Roman" w:hAnsi="Times New Roman"/>
          <w:sz w:val="19"/>
          <w:szCs w:val="19"/>
          <w:color w:val="auto"/>
          <w:vertAlign w:val="superscript"/>
        </w:rPr>
      </w:pPr>
    </w:p>
    <w:p>
      <w:pPr>
        <w:ind w:left="300" w:hanging="292"/>
        <w:spacing w:after="0" w:line="201" w:lineRule="auto"/>
        <w:tabs>
          <w:tab w:leader="none" w:pos="30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is calculated on a settlement basis and excludes broker commissions and excise tax.</w:t>
      </w:r>
    </w:p>
    <w:p>
      <w:pPr>
        <w:spacing w:after="0" w:line="1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has a total of $12.6 million, excluding broker commissions and excise tax, available under the current authorization for additional share repurchases.</w:t>
      </w:r>
    </w:p>
    <w:p>
      <w:pPr>
        <w:spacing w:after="0" w:line="104"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2025, there are 17,785,881 shares of Class A common stock reserved for issuance under the 2020 Equity Incentive Plan (the 2020 Plan), 3,177,551 shares of which are available for issuance in connection with grants of future awards.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three months ended March 31, 2025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13,198,232</w:t>
            </w:r>
          </w:p>
        </w:tc>
        <w:tc>
          <w:tcPr>
            <w:tcW w:w="200" w:type="dxa"/>
            <w:vAlign w:val="bottom"/>
            <w:tcBorders>
              <w:left w:val="single" w:sz="8" w:color="CFF0FC"/>
            </w:tcBorders>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433,650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0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(199,862)</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13,432,020</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March 31, 2025</w:t>
            </w:r>
          </w:p>
        </w:tc>
        <w:tc>
          <w:tcPr>
            <w:tcW w:w="18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7,870,348</w:t>
            </w:r>
          </w:p>
        </w:tc>
        <w:tc>
          <w:tcPr>
            <w:tcW w:w="200" w:type="dxa"/>
            <w:vAlign w:val="bottom"/>
            <w:tcBorders>
              <w:left w:val="single" w:sz="8" w:color="CFF0FC"/>
            </w:tcBorders>
            <w:shd w:val="clear" w:color="auto" w:fill="CFF0FC"/>
          </w:tcPr>
          <w:p>
            <w:pPr>
              <w:spacing w:after="0"/>
              <w:rPr>
                <w:sz w:val="20"/>
                <w:szCs w:val="20"/>
                <w:color w:val="auto"/>
              </w:rPr>
            </w:pPr>
          </w:p>
        </w:tc>
        <w:tc>
          <w:tcPr>
            <w:tcW w:w="2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74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2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activity for the three months ended March 31, 2025 is as follows: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4,450,441</w:t>
            </w:r>
          </w:p>
        </w:tc>
        <w:tc>
          <w:tcPr>
            <w:tcW w:w="200" w:type="dxa"/>
            <w:vAlign w:val="bottom"/>
            <w:tcBorders>
              <w:left w:val="single" w:sz="8" w:color="CFF0FC"/>
            </w:tcBorders>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1,089,350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(1,013,607)</w:t>
            </w:r>
          </w:p>
        </w:tc>
        <w:tc>
          <w:tcPr>
            <w:tcW w:w="1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4,497,783</w:t>
            </w:r>
          </w:p>
        </w:tc>
        <w:tc>
          <w:tcPr>
            <w:tcW w:w="200" w:type="dxa"/>
            <w:vAlign w:val="bottom"/>
            <w:tcBorders>
              <w:left w:val="single" w:sz="8" w:color="CFF0FC"/>
            </w:tcBorders>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-1979295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-1671320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-1653540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-1671320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In connection with the vesting of restricted stock units, the Company withheld shares of common stock to satisfy tax withholding and remittance obligations. As of March 31, 2025, the Company withheld 359,664 shares of common stock, which were retired, for $0.8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2,258,196 shares of Class A common stock are reserved for issuance under the employee stock purchase plan (ESPP) as of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no shares of Class A common stock were issued under the ESPP.</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recognized in the Company’s unaudited condensed consolidated statements of operations and comprehensive loss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30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30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lessee, the Company leases approximately 51,000 square feet of office and laboratory space in Redwood City, California with a lease term that is set to end in September 2032. The Company has an option to renew all leased space for an additional five-year term at then-current market rates. In connection with the lease, the Company maintains a letter of credit issued to the lessor in the amount of $0.5 million as of March 31, 2025 and December 31, 2024, which is secured by restricted cash and is presented as noncurrent at each date based on the term of the underlying lease. The Company entered into a lease for approximately 3,500 square feet of office space in San Diego, California that runs from October 2024 through July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and supplemental information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bottom w:val="single" w:sz="8" w:color="auto"/>
            </w:tcBorders>
          </w:tcPr>
          <w:p>
            <w:pPr>
              <w:jc w:val="right"/>
              <w:ind w:right="2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180" w:type="dxa"/>
            <w:vAlign w:val="bottom"/>
            <w:gridSpan w:val="2"/>
            <w:shd w:val="clear" w:color="auto" w:fill="CFF0FC"/>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r>
      <w:tr>
        <w:trPr>
          <w:trHeight w:val="21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60" w:type="dxa"/>
            <w:vAlign w:val="bottom"/>
          </w:tcPr>
          <w:p>
            <w:pPr>
              <w:spacing w:after="0"/>
              <w:rPr>
                <w:sz w:val="18"/>
                <w:szCs w:val="18"/>
                <w:color w:val="auto"/>
              </w:rPr>
            </w:pP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1,228</w:t>
            </w:r>
          </w:p>
        </w:tc>
        <w:tc>
          <w:tcPr>
            <w:tcW w:w="180" w:type="dxa"/>
            <w:vAlign w:val="bottom"/>
          </w:tcPr>
          <w:p>
            <w:pPr>
              <w:spacing w:after="0"/>
              <w:rPr>
                <w:sz w:val="18"/>
                <w:szCs w:val="18"/>
                <w:color w:val="auto"/>
              </w:rPr>
            </w:pPr>
          </w:p>
        </w:tc>
        <w:tc>
          <w:tcPr>
            <w:tcW w:w="112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80" w:type="dxa"/>
            <w:vAlign w:val="bottom"/>
          </w:tcPr>
          <w:p>
            <w:pPr>
              <w:spacing w:after="0"/>
              <w:rPr>
                <w:sz w:val="12"/>
                <w:szCs w:val="12"/>
                <w:color w:val="auto"/>
              </w:rPr>
            </w:pPr>
          </w:p>
        </w:tc>
        <w:tc>
          <w:tcPr>
            <w:tcW w:w="1180" w:type="dxa"/>
            <w:vAlign w:val="bottom"/>
            <w:tcBorders>
              <w:bottom w:val="single" w:sz="8" w:color="auto"/>
            </w:tcBorders>
            <w:gridSpan w:val="2"/>
          </w:tcPr>
          <w:p>
            <w:pPr>
              <w:jc w:val="right"/>
              <w:ind w:right="16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5"/>
              </w:rPr>
              <w:t>6.2%</w:t>
            </w:r>
          </w:p>
        </w:tc>
      </w:tr>
      <w:tr>
        <w:trPr>
          <w:trHeight w:val="40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 primarily consist of common area maintenance.</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auto"/>
            </w:tcBorders>
            <w:gridSpan w:val="6"/>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bottom w:val="single" w:sz="8" w:color="auto"/>
            </w:tcBorders>
          </w:tcPr>
          <w:p>
            <w:pPr>
              <w:jc w:val="right"/>
              <w:ind w:right="2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80" w:type="dxa"/>
            <w:vAlign w:val="bottom"/>
            <w:gridSpan w:val="2"/>
            <w:shd w:val="clear" w:color="auto" w:fill="CFF0FC"/>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961</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18"/>
                <w:szCs w:val="18"/>
                <w:color w:val="auto"/>
              </w:rPr>
            </w:pPr>
          </w:p>
        </w:tc>
      </w:tr>
      <w:tr>
        <w:trPr>
          <w:trHeight w:val="864"/>
        </w:trPr>
        <w:tc>
          <w:tcPr>
            <w:tcW w:w="75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future minimum commitments under the Company’s non-cancelable facility operating leases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r>
      <w:tr>
        <w:trPr>
          <w:trHeight w:val="209"/>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2,890</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3,957</w:t>
            </w:r>
          </w:p>
        </w:tc>
      </w:tr>
      <w:tr>
        <w:trPr>
          <w:trHeight w:val="216"/>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4,191</w:t>
            </w:r>
          </w:p>
        </w:tc>
      </w:tr>
      <w:tr>
        <w:trPr>
          <w:trHeight w:val="216"/>
        </w:trPr>
        <w:tc>
          <w:tcPr>
            <w:tcW w:w="8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4,312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20" w:type="dxa"/>
            <w:vAlign w:val="bottom"/>
          </w:tcPr>
          <w:p>
            <w:pPr>
              <w:spacing w:after="0"/>
              <w:rPr>
                <w:sz w:val="18"/>
                <w:szCs w:val="18"/>
                <w:color w:val="auto"/>
              </w:rPr>
            </w:pPr>
          </w:p>
        </w:tc>
      </w:tr>
      <w:tr>
        <w:trPr>
          <w:trHeight w:val="209"/>
        </w:trPr>
        <w:tc>
          <w:tcPr>
            <w:tcW w:w="8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31,984</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adjustment for minimum lease commitments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(6,580)</w:t>
            </w:r>
          </w:p>
        </w:tc>
      </w:tr>
      <w:tr>
        <w:trPr>
          <w:trHeight w:val="20"/>
        </w:trPr>
        <w:tc>
          <w:tcPr>
            <w:tcW w:w="8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25,404</w:t>
            </w:r>
          </w:p>
        </w:tc>
      </w:tr>
      <w:tr>
        <w:trPr>
          <w:trHeight w:val="20"/>
        </w:trPr>
        <w:tc>
          <w:tcPr>
            <w:tcW w:w="8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6"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and Obligations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certain purchase commitments related to its inventory management with certain manufacturing suppliers wherein the Company is required to purchase the amounts forecasted in a blanket purchase order within a certain time period. The Company also has certain contractual obligations for third-party technology used as part of the normal operations. The contractual obligations represent future cash commitments and liabilities under agreements with third parties and exclude orders for goods and services entered into in the normal course of business that are not enforceable or are subject to change. These outstanding commitments amounted to $0.4 million and $4.5 million as of March 31, 2025 and December 31, 2024, respectively.</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March 31, 2025 and December 31, 2024, the Company does not have any material indemnification claims that were probable or reasonably possible and consequently has not recorded related liabilities.</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The Company is not currently a party to any material legal proceedings.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PrognomiQ constitutes a related party and, as of March 31, 2025 and December 31, 2024, the Company recorded $52.2 thousand and $0.4 million in related party receivables, respectively, on the condensed consolidated balance sheets mainly due from product sales and services revenue. For the three months ended March 31, 2025 and 2024, the Company recognized revenue of $51.9 thousand and $1.0 million, respectively, of which $5.4 thousand and $0.8 million were from product sales. This is presented as related party revenue on the unaudited condensed consolidated statements of operations and comprehensive loss.</w:t>
      </w:r>
    </w:p>
    <w:p>
      <w:pPr>
        <w:spacing w:after="0" w:line="1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August 12, 2024, the Company entered into a preferred stock purchase agreement with PrognomiQ, pursuant to which the Company purchased $10.0 million of PrognomiQ's Series D Preferred Stock. The investment is accounted for as an equity security in accordance with ASC 321.</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March 31, 2025, the carrying value of the investment was $5.8 million and is included in other assets on the unaudited condensed consolidated balance sheets. The carrying value is adjusted to the Company's share in loss in the equity method investment. There were no impairment and recognized gains or losses to the carrying value for the three months ended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 ATTRIBUTABLE TO COMMON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loss per share (in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4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Class A and Class B common stockholders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(19,948)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(20,679)</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Class A and Class B common stockholders, basic</w:t>
            </w:r>
          </w:p>
        </w:tc>
        <w:tc>
          <w:tcPr>
            <w:tcW w:w="3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59,408,711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64,586,056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5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w:t>
            </w:r>
          </w:p>
        </w:tc>
        <w:tc>
          <w:tcPr>
            <w:tcW w:w="380" w:type="dxa"/>
            <w:vAlign w:val="bottom"/>
            <w:vMerge w:val="restart"/>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(0.34)</w:t>
            </w:r>
          </w:p>
        </w:tc>
        <w:tc>
          <w:tcPr>
            <w:tcW w:w="50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4"/>
        </w:trPr>
        <w:tc>
          <w:tcPr>
            <w:tcW w:w="7520" w:type="dxa"/>
            <w:vAlign w:val="bottom"/>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stockholders, basic and diluted</w:t>
            </w:r>
          </w:p>
        </w:tc>
        <w:tc>
          <w:tcPr>
            <w:tcW w:w="380" w:type="dxa"/>
            <w:vAlign w:val="bottom"/>
            <w:vMerge w:val="continue"/>
            <w:shd w:val="clear" w:color="auto" w:fill="CFF0FC"/>
          </w:tcPr>
          <w:p>
            <w:pPr>
              <w:spacing w:after="0"/>
              <w:rPr>
                <w:sz w:val="18"/>
                <w:szCs w:val="18"/>
                <w:color w:val="auto"/>
              </w:rPr>
            </w:pPr>
          </w:p>
        </w:tc>
        <w:tc>
          <w:tcPr>
            <w:tcW w:w="1460" w:type="dxa"/>
            <w:vAlign w:val="bottom"/>
            <w:gridSpan w:val="2"/>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26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20" w:type="dxa"/>
            <w:vAlign w:val="bottom"/>
            <w:tcBorders>
              <w:bottom w:val="single" w:sz="8" w:color="auto"/>
            </w:tcBorders>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common stock options issued and outstanding</w:t>
            </w:r>
          </w:p>
        </w:tc>
        <w:tc>
          <w:tcPr>
            <w:tcW w:w="4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13,432,020</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14,037,049</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9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4,497,783</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5,104,389</w:t>
            </w:r>
          </w:p>
        </w:tc>
        <w:tc>
          <w:tcPr>
            <w:tcW w:w="100" w:type="dxa"/>
            <w:vAlign w:val="bottom"/>
          </w:tcPr>
          <w:p>
            <w:pPr>
              <w:spacing w:after="0"/>
              <w:rPr>
                <w:sz w:val="18"/>
                <w:szCs w:val="18"/>
                <w:color w:val="auto"/>
              </w:rPr>
            </w:pPr>
          </w:p>
        </w:tc>
      </w:tr>
      <w:tr>
        <w:trPr>
          <w:trHeight w:val="25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17,929,803</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19,141,438</w:t>
            </w:r>
          </w:p>
        </w:tc>
        <w:tc>
          <w:tcPr>
            <w:tcW w:w="100" w:type="dxa"/>
            <w:vAlign w:val="bottom"/>
            <w:shd w:val="clear" w:color="auto" w:fill="CFF0FC"/>
          </w:tcPr>
          <w:p>
            <w:pPr>
              <w:spacing w:after="0"/>
              <w:rPr>
                <w:sz w:val="21"/>
                <w:szCs w:val="21"/>
                <w:color w:val="auto"/>
              </w:rPr>
            </w:pPr>
          </w:p>
        </w:tc>
      </w:tr>
      <w:tr>
        <w:trPr>
          <w:trHeight w:val="845"/>
        </w:trPr>
        <w:tc>
          <w:tcPr>
            <w:tcW w:w="4740" w:type="dxa"/>
            <w:vAlign w:val="bottom"/>
            <w:tcBorders>
              <w:top w:val="single" w:sz="8" w:color="CFF0FC"/>
            </w:tcBorders>
          </w:tcPr>
          <w:p>
            <w:pPr>
              <w:spacing w:after="0"/>
              <w:rPr>
                <w:sz w:val="24"/>
                <w:szCs w:val="24"/>
                <w:color w:val="auto"/>
              </w:rPr>
            </w:pPr>
          </w:p>
        </w:tc>
        <w:tc>
          <w:tcPr>
            <w:tcW w:w="2940" w:type="dxa"/>
            <w:vAlign w:val="bottom"/>
            <w:tcBorders>
              <w:top w:val="single" w:sz="8" w:color="CFF0FC"/>
            </w:tcBorders>
          </w:tcPr>
          <w:p>
            <w:pPr>
              <w:jc w:val="right"/>
              <w:ind w:right="1870"/>
              <w:spacing w:after="0"/>
              <w:rPr>
                <w:sz w:val="20"/>
                <w:szCs w:val="20"/>
                <w:color w:val="auto"/>
              </w:rPr>
            </w:pPr>
            <w:r>
              <w:rPr>
                <w:rFonts w:ascii="Times New Roman" w:cs="Times New Roman" w:eastAsia="Times New Roman" w:hAnsi="Times New Roman"/>
                <w:sz w:val="18"/>
                <w:szCs w:val="18"/>
                <w:color w:val="auto"/>
              </w:rPr>
              <w:t>15</w:t>
            </w:r>
          </w:p>
        </w:tc>
        <w:tc>
          <w:tcPr>
            <w:tcW w:w="1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-1071245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segment net loss, including significant segment expenses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4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8"/>
                <w:szCs w:val="18"/>
                <w:color w:val="auto"/>
              </w:rPr>
            </w:pPr>
          </w:p>
        </w:tc>
      </w:tr>
      <w:tr>
        <w:trPr>
          <w:trHeight w:val="20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Compensation expenses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9,363</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Professional expenses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expenses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Facility expenses</w:t>
            </w: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9"/>
                <w:szCs w:val="9"/>
                <w:color w:val="auto"/>
              </w:rPr>
              <w:t>(1)</w:t>
            </w:r>
          </w:p>
        </w:tc>
        <w:tc>
          <w:tcPr>
            <w:tcW w:w="9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2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9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(1,575)</w:t>
            </w:r>
          </w:p>
        </w:tc>
        <w:tc>
          <w:tcPr>
            <w:tcW w:w="12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9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w:t>
            </w:r>
          </w:p>
        </w:tc>
        <w:tc>
          <w:tcPr>
            <w:tcW w:w="1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(19,948)</w:t>
            </w: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(20,679)</w:t>
            </w:r>
          </w:p>
        </w:tc>
      </w:tr>
      <w:tr>
        <w:trPr>
          <w:trHeight w:val="20"/>
        </w:trPr>
        <w:tc>
          <w:tcPr>
            <w:tcW w:w="7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-1002030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5"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includes laboratory expenses, travel expenses, and allocated costs.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long-lived assets were primarily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mission is to imagine and pioneer new ways to decode the biology of the proteome to improve human health. Our product, the Proteograph Product Suite (Proteograph), leverages our proprietary engineered nanoparticle (NP) technology to provide unbiased, deep, rapid and large-scale access to the proteome. The Proteograph Product Suite is an integrated solution that includes consumables, an automation instrument and software. We believe that broader access to the proteome is essential, not only to understanding its complexity and accelerating biological insights, but also to expanding end-markets. These markets may include basic research and discovery, translational research, diagnostics and applied applications. To comprehend the complexity and dynamic nature of the proteome, researchers must perform population-scale, deep, unbiased interrogation of biological samples over time. We believe that this level of interrogation was not previously feasible and that the Proteograph can enable researchers to perform these types of proteomics studies.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we were incorporated in 2017, we have devoted substantially all of our resources to research and development activities, including with respect to the Proteograph Product Suite, building our commercial infrastructure including manufacturing, operations, sales and marketing and service and support functions, establishing and maintaining our intellectual property portfolio, hiring personnel, raising capital, becoming and being a publicly-traded company, and providing general and administrative support for these activities.</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ability to generate product and service revenue sufficient to achieve profitability, if ever, will depend on the successful commercialization of the Proteograph Product Suite and related products and services. We are commercializing the Proteograph Product Suite as an integrated solution comprised of consumables, our SP100 automation instrument and software. Our commercial strategy is focused on growing adoption by the research community of the Proteograph, expanding the installed base, increasing utilization to generate revenue from the purchase of Proteograph consumables and growing our service offering through the Seer Technology Access Center (STAC). We expect a highly efficient sales model because our workflow integrates with most existing proteomics laboratories’ workflows and also complements large-scale genomics research. We are focused on removing barriers to access to the Proteograph, including through the STAC service offering.</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broadly commercializing the Proteograph Product Suite through a direct sales channel in the United States, and through both direct and distributor sales channels in regions outside the United States. Since we are in the early stages of commercialization, we have built, and will continue to build our sales, marketing, support and product distribution capabilities. In addition, we will continue to build the necessary infrastructure for these activities in the United States, European Union, the United Kingdom, and other countries and regions, including Asia-Pacific, as we execute on our commercialization strategy for the Proteograph.</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We are currently manufacturing using our production-scale and pilot lines and continue to build out our manufacturing capabilities to support broad commercial availability of our products. We obtain some of the reagents and components used in the Proteograph workflow from third-party suppliers. While some of these reagents and components are currently sourced from a single supplier, these products are readily available from numerous suppliers. While we currently perform some filling and packaging of the Proteograph assay and the related consumables, we may eventually have our filling and packaging outsourced to a third party. We conduct vendor and component qualification for components provided by third-party suppliers and quality control tests on our NPs.</w:t>
      </w:r>
    </w:p>
    <w:p>
      <w:pPr>
        <w:spacing w:after="0" w:line="138"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We designed the SP100 automation instrument and have outsourced its manufacturing to Hamilton Company, a leading manufacturer of automated liquid handling workstations. We have entered into a non-exclusive agreement with Hamilton that covers the manufacturing of the SP100 automation instrument and its continued supply on a purchase order basis. Starting in January 2025, we renewed the agreement under an extended term through December 2027.</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Following this extended term, the agreement will automatically renew annually for a maximum of two one-year renewal periods. Hamilton has represented to us that it maintains ISO 9001 and ISO 13485 certifications.</w:t>
      </w:r>
    </w:p>
    <w:p>
      <w:pPr>
        <w:spacing w:after="0" w:line="1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we incurred a net loss of $19.9 million and $20.7 million and used $11.4 million and $10.5 million of cash in operations, respectively. As of March 31, 2025, we had an accumulated deficit of $412.3 million, and cash, cash equivalents, and investments of $285.3 million. We expect to continue to incur significant losses and do not expect positive cash flows from operations for the foreseeable future.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may increase in connection with our ongoing activities, as we:</w:t>
      </w:r>
    </w:p>
    <w:p>
      <w:pPr>
        <w:spacing w:after="0" w:line="171" w:lineRule="exact"/>
        <w:rPr>
          <w:sz w:val="20"/>
          <w:szCs w:val="20"/>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broadly commercialize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our sales, marketing, service, support and distribution infrastructure as part of our commercialization efforts;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build-out and expand our in-house NP manufacturing capabilities;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research and development of other products and enhancements to the Proteograph Product Suite;</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our intellectual property portfolio; and</w:t>
      </w:r>
    </w:p>
    <w:p>
      <w:pPr>
        <w:spacing w:after="0" w:line="171"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infrastructure to operate and scale as a public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product revenue consists of an instrument with embedded software essential to the instrument’s functionality and consumables. Our service revenue primarily consists of revenue received from the generation and analysis of proteomic data on behalf of the customer. Our related party revenue is comprised of both product sales and services performed for related parties. Other revenue consists of shipping revenue and lease arrangements. Our revenue is primarily generated domestically. We intend to focus our commercial efforts in the United States and expect to grow our international presence.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utilize third-party manufacturers for production of our instruments and we manufacture our NPs and assemble our assay kits internally. Cost of revenue consists primarily of costs of the components of the Proteograph Product Suite, including the instrument and consumables, costs of services related to the generation and analysis of proteomic data on behalf of our customers, and distribution-related expenses such as logistics and shipping costs. In addition, cost of revenue includes employee compensation, such as stock-based compensation and employee benefits, amortization of capitalized internal-use software, allocated overhead, including depreciation, and charges related to inventory reserves.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include costs associated with R&amp;D of our technology and product candidates. R&amp;D expenses consist primarily of employee compensation, including stock-based compensation and employee benefits, laboratory supplies used for in-house research, consulting costs, and allocated costs, including rent, depreciation, information technology and utilities.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 compensation, including stock-based compensation, and benefits for executive management, sales and marketing, customer support, finance, administrative, human resources, legal functions, allocated costs, including depreciation, professional service fees and other general overhead costs to support our operations.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earned on cash, cash equivalents and investments, asset disposals, realized and unrealized gains and losses on foreign currency transactions, and loss in the equity method investment.</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Income tax expense results from our wholly-owned foreign subsidiaries. We maintain a full valuation allowance on our domestic deferred tax assets as we have concluded that it is more likely than not that the deferred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of the Three Months Ended March 31, 2025 and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6"/>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top w:val="single" w:sz="8" w:color="auto"/>
            </w:tcBorders>
            <w:gridSpan w:val="2"/>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8"/>
          </w:tcPr>
          <w:p>
            <w:pPr>
              <w:jc w:val="center"/>
              <w:ind w:right="860"/>
              <w:spacing w:after="0" w:line="142"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60" w:type="dxa"/>
            <w:vAlign w:val="bottom"/>
          </w:tcPr>
          <w:p>
            <w:pPr>
              <w:spacing w:after="0"/>
              <w:rPr>
                <w:sz w:val="18"/>
                <w:szCs w:val="18"/>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09"/>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6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12,265</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(915)</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(3,761)</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(1,575)</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(3,629)</w:t>
            </w: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160" w:type="dxa"/>
            <w:vAlign w:val="bottom"/>
          </w:tcPr>
          <w:p>
            <w:pPr>
              <w:spacing w:after="0"/>
              <w:rPr>
                <w:sz w:val="18"/>
                <w:szCs w:val="18"/>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w w:val="91"/>
              </w:rPr>
              <w:t>in</w:t>
            </w: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300" w:type="dxa"/>
            <w:vAlign w:val="bottom"/>
            <w:gridSpan w:val="2"/>
            <w:vMerge w:val="continue"/>
          </w:tcPr>
          <w:p>
            <w:pPr>
              <w:spacing w:after="0"/>
              <w:rPr>
                <w:sz w:val="12"/>
                <w:szCs w:val="12"/>
                <w:color w:val="auto"/>
              </w:rPr>
            </w:pPr>
          </w:p>
        </w:tc>
        <w:tc>
          <w:tcPr>
            <w:tcW w:w="1120" w:type="dxa"/>
            <w:vAlign w:val="bottom"/>
            <w:tcBorders>
              <w:top w:val="single" w:sz="8" w:color="auto"/>
            </w:tcBorders>
            <w:gridSpan w:val="3"/>
          </w:tcPr>
          <w:p>
            <w:pPr>
              <w:jc w:val="right"/>
              <w:ind w:right="600"/>
              <w:spacing w:after="0" w:line="142" w:lineRule="exact"/>
              <w:rPr>
                <w:sz w:val="20"/>
                <w:szCs w:val="20"/>
                <w:color w:val="auto"/>
              </w:rPr>
            </w:pPr>
            <w:r>
              <w:rPr>
                <w:rFonts w:ascii="Times New Roman" w:cs="Times New Roman" w:eastAsia="Times New Roman" w:hAnsi="Times New Roman"/>
                <w:sz w:val="14"/>
                <w:szCs w:val="14"/>
                <w:i w:val="1"/>
                <w:iCs w:val="1"/>
                <w:color w:val="auto"/>
                <w:w w:val="81"/>
              </w:rPr>
              <w:t>thousands)</w:t>
            </w: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3,066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-3813810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-3813810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-3813810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-3813810</wp:posOffset>
            </wp:positionV>
            <wp:extent cx="1454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-2982595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-2982595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-2982595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-2982595</wp:posOffset>
            </wp:positionV>
            <wp:extent cx="1454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-2691130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-2691130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-2691130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-2691130</wp:posOffset>
            </wp:positionV>
            <wp:extent cx="1454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-2125345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-2125345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-2125345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-2125345</wp:posOffset>
            </wp:positionV>
            <wp:extent cx="1454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-1285240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-1285240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-1285240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-1285240</wp:posOffset>
            </wp:positionV>
            <wp:extent cx="14541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-1002030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-1002030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-1002030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-1002030</wp:posOffset>
            </wp:positionV>
            <wp:extent cx="1454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three months ended March 31, 2025, increased by $1.1 million, or 37%, compared to the three months ended March 31, 2024. The increase was due to higher product sales and service revenue during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20" w:type="dxa"/>
            <w:vAlign w:val="bottom"/>
          </w:tcPr>
          <w:p>
            <w:pPr>
              <w:spacing w:after="0"/>
              <w:rPr>
                <w:sz w:val="15"/>
                <w:szCs w:val="15"/>
                <w:color w:val="auto"/>
              </w:rPr>
            </w:pPr>
          </w:p>
        </w:tc>
        <w:tc>
          <w:tcPr>
            <w:tcW w:w="8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82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vMerge w:val="continue"/>
          </w:tcPr>
          <w:p>
            <w:pPr>
              <w:spacing w:after="0"/>
              <w:rPr>
                <w:sz w:val="12"/>
                <w:szCs w:val="12"/>
                <w:color w:val="auto"/>
              </w:rPr>
            </w:pPr>
          </w:p>
        </w:tc>
        <w:tc>
          <w:tcPr>
            <w:tcW w:w="82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2,144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1,705</w:t>
            </w:r>
          </w:p>
        </w:tc>
        <w:tc>
          <w:tcPr>
            <w:tcW w:w="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439</w:t>
            </w:r>
          </w:p>
        </w:tc>
        <w:tc>
          <w:tcPr>
            <w:tcW w:w="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Cost of revenue for the three months ended March 31, 2025, increased by $0.4 million, or 26%, compared to the three months ended March 31, 2024. The increase was primarily due to higher product revenue from higher instrument sales, which has a higher cost of revenue.</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11,350</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12,265</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(915)</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2025, decreased by $0.9 million, or 7%, compared to the three months ended March 31, 2024. The decrease was primarily due to a $0.4 million decrease in laboratory expenses and a $0.3 million decrease in stock-based compensation.</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11,442</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14,288</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(2,846)</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2025, decreased by $2.8 million, or 20%, compared to the three months ended March 31, 2024. The decrease was primarily due to a $2.3 million decrease in stock-based compensation, a $0.2 million decrease in allocated costs, a $0.1 million decrease in business expenses, and a $0.1 million decrease in travel expenses.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w w:val="72"/>
              </w:rPr>
              <w:t>in</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top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(dollars</w:t>
            </w:r>
          </w:p>
        </w:tc>
        <w:tc>
          <w:tcPr>
            <w:tcW w:w="260" w:type="dxa"/>
            <w:vAlign w:val="bottom"/>
            <w:vMerge w:val="continue"/>
          </w:tcPr>
          <w:p>
            <w:pPr>
              <w:spacing w:after="0"/>
              <w:rPr>
                <w:sz w:val="12"/>
                <w:szCs w:val="12"/>
                <w:color w:val="auto"/>
              </w:rPr>
            </w:pPr>
          </w:p>
        </w:tc>
        <w:tc>
          <w:tcPr>
            <w:tcW w:w="11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4,513</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(3,629)</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for the three months ended March 31, 2025, decreased by $3.6 million, or 80%, compared to the three months ended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mainly due to the loss in the equity method investment and lower rates of interest earned on cash invested in money market funds,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securities, and commercial paper.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Since the date of our incorporation, we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cash equivalents and investments, we believe we will have adequate liquidity over the next twelve months following the date of this Quarterly Report to operate our business and to meet our cash requirements. If our available cash, cash equivalents and investments and anticipated cash flows from operations are insufficient to satisfy our liquidity requirements, we may consider raising additional capital to expand our business, pursue strategic investments, take advantage of financing opportunities or for other reasons.</w:t>
      </w:r>
    </w:p>
    <w:p>
      <w:pPr>
        <w:spacing w:after="0" w:line="13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enter into agreements as part of the normal course of business with various vendors, which are generally cancellable without material penalty upon written notice. Payments associated with these agreements are not included in this discussion of contractual obligations.</w:t>
      </w:r>
    </w:p>
    <w:p>
      <w:pPr>
        <w:spacing w:after="0" w:line="1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Our operating lease obligations reflect our lease obligations for our office and laboratory space in Redwood City, California and office space in San Diego, California. We lease approximately 51,000 square feet of office and laboratory space in Redwood City, California, and the lease is set to end on September 30, 2032 with an option to renew for an additional five-year term at then-current market rates. We lease approximately 3,500 square feet of office space in San Diego, California, and the lease is set to end in July 2025. We maintain a letter of credit issued to the lessor in the amount of $0.5 million as of each of March 31, 2025 and December 31, 2024, which is secured by restricted cash and is presented as noncurrent at each date based on the term of the underlying lease.</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certain purchase commitments related to our inventory management with certain manufacturing suppliers wherein we are required to purchase the amounts forecasted in a blanket purchase order within a certain time period. The Company also has certain contractual obligations for third-party technology used as part of its normal operations.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$0.4 million as of March 31, 2025.</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take a long-term view in growing and scaling our business and regularly review opportunities that meet our long-term growth objectives. Our future capital requirements will depend on many factors including our revenue growth rate, investments in continued commercialization efforts, acquisitions of complementary or enhancing technologies or businesses, including intellectual property rights, the timing and extent of additional capital expenditures to invest in existing and new facilities, the expansion of sales and marketing and international activities and the extent and magnitude of our ongoing research and development programs.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20" w:type="dxa"/>
            <w:vAlign w:val="bottom"/>
            <w:gridSpan w:val="3"/>
          </w:tcPr>
          <w:p>
            <w:pPr>
              <w:jc w:val="right"/>
              <w:ind w:right="608"/>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24,611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32,355</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9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8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11,692</w:t>
            </w:r>
          </w:p>
        </w:tc>
        <w:tc>
          <w:tcPr>
            <w:tcW w:w="11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21,899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9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8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-1216660</wp:posOffset>
            </wp:positionV>
            <wp:extent cx="1111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cash used in operating activities was $11.4 million, attributable to a net loss of $19.9 million and a net change in our operating assets and liabilities of $1.2 million, partially offset by non-cash charges of $9.7 million. Non-cash charges primarily consisted of $4.7 million of stock-based compensation, $1.6 million of depreciation and amortization, $1.6 million of loss on equity method investment, $1.1 million of net amortization of premium on available-for-sale securities, and $0.7 million of loss on disposal of property and equipment. The change in our operating assets and liabilities was primarily due to a decrease of accrued liabilities and other liabilities of $2.0 million, which was partially offset by a decrease of accounts receivable of $0.9 million.</w:t>
      </w:r>
    </w:p>
    <w:p>
      <w:pPr>
        <w:spacing w:after="0" w:line="1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cash used in operating activities was $10.5 million, attributable to a net loss of $20.7 million and a net change in our net operating assets and liabilities of $1.3 million, partially offset by non-cash charges of $11.5 million. Non-cash charges primarily consisted of stock-based compensation of $7.6 million, $1.5 million of depreciation and amortization, offset by $2.4 million of net amortization of premium on available-for-sale securities. The change in our net operating assets and liabilities was primarily due to an increase in inventory levels of $1.0 million and a decrease of accrued liabilities and other liabilities of $1.9 million, which was partially offset by an increase in accounts payable of $1.4 million and an increase in deferred revenue of $0.1 million.</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cash provided by investing activities was $24.6 million, which was attributable to the proceeds from maturities of available-for-sale securities of $87.6 million and proceeds from disposal of property and equipment of $0.3 million. This was offset by the purchases of available-for-sale securities of $62.7 million and purchases of property and equipment, primarily for laboratory equipment, of $0.7 million.</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cash provided by investing activities was $32.4 million, which related to the proceeds from maturities of available-for-sale securities of $134.4 million. This was offset by the purchases of available-for-sale securities of $101.2 million and purchases of property and equipment, primarily for laboratory equipment, of $0.8 million.</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cash used in financing activities was $1.5 million, which was primarily attributable to the taxes withholding payments related to net settlement of restricted stock units of $0.8 million and repurchases of Class A common stock under our share repurchase program of $0.7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there were no cash flows from financing activities.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as discussed in our Annual Report on Form 10-K for the fiscal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three months ended March 31, 2025, compared to the disclosures in Part II, Item 7A of our Annual Report on Form 10-K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as of March 31, 2025, our disclosure controls and procedures were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or 15d-15(f) under the Exchange Act, that occurred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risks and uncertainties that you should consider before investing in our company, as more fully described below.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principal factors and uncertainties that make investing in our company risky include, among others:</w:t>
      </w:r>
    </w:p>
    <w:p>
      <w:pPr>
        <w:spacing w:after="0" w:line="153" w:lineRule="exact"/>
        <w:rPr>
          <w:sz w:val="20"/>
          <w:szCs w:val="20"/>
          <w:color w:val="auto"/>
        </w:rPr>
      </w:pPr>
    </w:p>
    <w:p>
      <w:pPr>
        <w:ind w:left="300" w:right="120" w:hanging="292"/>
        <w:spacing w:after="0" w:line="282" w:lineRule="auto"/>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7" w:lineRule="exact"/>
        <w:rPr>
          <w:rFonts w:ascii="Times New Roman" w:cs="Times New Roman" w:eastAsia="Times New Roman" w:hAnsi="Times New Roman"/>
          <w:sz w:val="18"/>
          <w:szCs w:val="18"/>
          <w:color w:val="auto"/>
        </w:rPr>
      </w:pPr>
    </w:p>
    <w:p>
      <w:pPr>
        <w:ind w:left="300" w:right="420" w:hanging="292"/>
        <w:spacing w:after="0" w:line="282" w:lineRule="auto"/>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current business and the prospects for our future viability, and to predict our future performance;</w:t>
      </w:r>
    </w:p>
    <w:p>
      <w:pPr>
        <w:spacing w:after="0" w:line="107" w:lineRule="exact"/>
        <w:rPr>
          <w:rFonts w:ascii="Times New Roman" w:cs="Times New Roman" w:eastAsia="Times New Roman" w:hAnsi="Times New Roman"/>
          <w:sz w:val="18"/>
          <w:szCs w:val="18"/>
          <w:color w:val="auto"/>
        </w:rPr>
      </w:pPr>
    </w:p>
    <w:p>
      <w:pPr>
        <w:ind w:left="300" w:right="620" w:hanging="292"/>
        <w:spacing w:after="0" w:line="282" w:lineRule="auto"/>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7" w:lineRule="exact"/>
        <w:rPr>
          <w:rFonts w:ascii="Times New Roman" w:cs="Times New Roman" w:eastAsia="Times New Roman" w:hAnsi="Times New Roman"/>
          <w:sz w:val="18"/>
          <w:szCs w:val="18"/>
          <w:color w:val="auto"/>
        </w:rPr>
      </w:pPr>
    </w:p>
    <w:p>
      <w:pPr>
        <w:ind w:left="300" w:right="100" w:hanging="292"/>
        <w:spacing w:after="0" w:line="282" w:lineRule="auto"/>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the Proteograph Product Suite may be smaller than estimated, and new market opportunities may not develop as quickly as we expect, or at all, limiting our ability to successfully sell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early stages of our commercialization plan, and we may not be able to commercialize the Proteograph Product Suite as planned;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success depends on broad scientific and market acceptance of the Proteograph, which we may fail to achieve;</w:t>
      </w:r>
    </w:p>
    <w:p>
      <w:pPr>
        <w:spacing w:after="0" w:line="171" w:lineRule="exact"/>
        <w:rPr>
          <w:rFonts w:ascii="Times New Roman" w:cs="Times New Roman" w:eastAsia="Times New Roman" w:hAnsi="Times New Roman"/>
          <w:sz w:val="18"/>
          <w:szCs w:val="18"/>
          <w:color w:val="auto"/>
        </w:rPr>
      </w:pPr>
    </w:p>
    <w:p>
      <w:pPr>
        <w:ind w:left="300" w:right="160" w:hanging="292"/>
        <w:spacing w:after="0" w:line="282" w:lineRule="auto"/>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Proteograph Product Suite is successfully commercialized and achieves broad scientific and market acceptance, if we fail to improve it or introduce compelling new products or services, our revenues and our prospects could be harmed;</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could adversely impact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right="180" w:hanging="292"/>
        <w:spacing w:after="0" w:line="266"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rFonts w:ascii="Times New Roman" w:cs="Times New Roman" w:eastAsia="Times New Roman" w:hAnsi="Times New Roman"/>
          <w:sz w:val="18"/>
          <w:szCs w:val="18"/>
          <w:color w:val="auto"/>
        </w:rPr>
      </w:pPr>
    </w:p>
    <w:p>
      <w:pPr>
        <w:ind w:left="300" w:right="540" w:hanging="29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and recruit qualified employees, and retain or maintain our employee base, it may adversely impact our business and operations; and</w:t>
      </w:r>
    </w:p>
    <w:p>
      <w:pPr>
        <w:spacing w:after="0" w:line="107" w:lineRule="exact"/>
        <w:rPr>
          <w:rFonts w:ascii="Times New Roman" w:cs="Times New Roman" w:eastAsia="Times New Roman" w:hAnsi="Times New Roman"/>
          <w:sz w:val="18"/>
          <w:szCs w:val="18"/>
          <w:color w:val="auto"/>
        </w:rPr>
      </w:pPr>
    </w:p>
    <w:p>
      <w:pPr>
        <w:ind w:left="300" w:right="140" w:hanging="292"/>
        <w:spacing w:after="0" w:line="266"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an early-stage life sciences technology company, and we have incurred significant losses since we were formed in 2017, and expect to continue to incur losses in the future. We incurred net losses of $19.9 million and $20.7 million during the three months ended March 31, 2025 and 2024, respectively. As of March 31, 2025, we had an accumulated deficit of $412.3 million. These losses and accumulated deficit were primarily due to the substantial investments we have made to develop and improve our technology and the Proteograph Product Suite. Over the next several years, we expect to continue to devote substantially all of our resources towards continuing development and commercialization of the Proteograph Product Suite and related products and services, including sales and marketing, manufacturing and operations costs, and research and development efforts for products and services. These efforts may prove more costly than we currently anticipate. While we have generated product and service revenue, we may never generate revenue sufficient to offset our expenses. In addition, as a public company, we incur significant legal, accounting, administrative, insurance and other expenses. Accordingly, we cannot assure you that we will achieve profitability in the future or that, if we do become profitable, we will sustain profitability.</w:t>
      </w:r>
    </w:p>
    <w:p>
      <w:pPr>
        <w:spacing w:after="0" w:line="13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in the early stages of commercialization of the Proteograph Product Suite and related products and services. Our operations to date have been primarily focused on developing our technology, products and services.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 and services.</w:t>
      </w:r>
    </w:p>
    <w:p>
      <w:pPr>
        <w:spacing w:after="0" w:line="1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As we continue to transition from a company with a focus on research and development to a company capable of supporting broad commercial activities as well,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of investors or security analysts or any guidance we may provide, and which may cause the price of our Class A common stock to fluctuate or decline substantially.</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08" w:lineRule="exact"/>
        <w:rPr>
          <w:sz w:val="20"/>
          <w:szCs w:val="20"/>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the Proteograph Product Suite on our anticipated timeline;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high-quality services, including customer service;</w:t>
      </w:r>
    </w:p>
    <w:p>
      <w:pPr>
        <w:spacing w:after="0" w:line="171" w:lineRule="exact"/>
        <w:rPr>
          <w:rFonts w:ascii="Times New Roman" w:cs="Times New Roman" w:eastAsia="Times New Roman" w:hAnsi="Times New Roman"/>
          <w:sz w:val="18"/>
          <w:szCs w:val="18"/>
          <w:color w:val="auto"/>
        </w:rPr>
      </w:pPr>
    </w:p>
    <w:p>
      <w:pPr>
        <w:jc w:val="both"/>
        <w:ind w:left="300" w:hanging="292"/>
        <w:spacing w:after="0" w:line="266"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the Proteograph Product Suite, including our SP100 automation instrument, proprietary engineered nanoparticle (NP) technology and Proteograph Analysis Suite software, which may change from time to time;</w:t>
      </w:r>
    </w:p>
    <w:p>
      <w:pPr>
        <w:spacing w:after="0" w:line="121" w:lineRule="exact"/>
        <w:rPr>
          <w:rFonts w:ascii="Times New Roman" w:cs="Times New Roman" w:eastAsia="Times New Roman" w:hAnsi="Times New Roman"/>
          <w:sz w:val="18"/>
          <w:szCs w:val="18"/>
          <w:color w:val="auto"/>
        </w:rPr>
      </w:pPr>
    </w:p>
    <w:p>
      <w:pPr>
        <w:ind w:left="300" w:right="400" w:hanging="292"/>
        <w:spacing w:after="0" w:line="282"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the Proteograph Product Suite,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the Proteograph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300" w:right="200" w:hanging="292"/>
        <w:spacing w:after="0" w:line="282"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third-party distributorships, the quantity of our products they elect to hold in inventory, and their ability to promote and sell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the Proteograph Product Suite and related services;</w:t>
      </w:r>
    </w:p>
    <w:p>
      <w:pPr>
        <w:spacing w:after="0" w:line="171" w:lineRule="exact"/>
        <w:rPr>
          <w:rFonts w:ascii="Times New Roman" w:cs="Times New Roman" w:eastAsia="Times New Roman" w:hAnsi="Times New Roman"/>
          <w:sz w:val="18"/>
          <w:szCs w:val="18"/>
          <w:color w:val="auto"/>
        </w:rPr>
      </w:pPr>
    </w:p>
    <w:p>
      <w:pPr>
        <w:ind w:left="300" w:right="280" w:hanging="292"/>
        <w:spacing w:after="0" w:line="282"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the Proteograph Product Suite and associated consumables,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unpredictable nature of the sales cycle;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time needed to procure SP100 automation instruments from our third-party contract manufacturer;</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force, which if less than anticipated, could significantly impair our ability to generate revenue;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customers to exercise Proteograph purchase options;</w:t>
      </w:r>
    </w:p>
    <w:p>
      <w:pPr>
        <w:spacing w:after="0" w:line="171" w:lineRule="exact"/>
        <w:rPr>
          <w:rFonts w:ascii="Times New Roman" w:cs="Times New Roman" w:eastAsia="Times New Roman" w:hAnsi="Times New Roman"/>
          <w:sz w:val="18"/>
          <w:szCs w:val="18"/>
          <w:color w:val="auto"/>
        </w:rPr>
      </w:pPr>
    </w:p>
    <w:p>
      <w:pPr>
        <w:ind w:left="300" w:right="400" w:hanging="292"/>
        <w:spacing w:after="0" w:line="282" w:lineRule="auto"/>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and efficient use of our financial and other resources, including 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and the ability to collect on the accounts receivable of our customers;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changes in accounting rules and regulations, or modifications to our accounting policies;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future litigation or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left="300" w:right="620" w:hanging="29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the economy, investment in life sciences and research industries, our business operations, and resources and operations of our customers, suppliers, and distributors;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and</w:t>
      </w:r>
    </w:p>
    <w:p>
      <w:pPr>
        <w:spacing w:after="0" w:line="171" w:lineRule="exact"/>
        <w:rPr>
          <w:rFonts w:ascii="Times New Roman" w:cs="Times New Roman" w:eastAsia="Times New Roman" w:hAnsi="Times New Roman"/>
          <w:sz w:val="18"/>
          <w:szCs w:val="18"/>
          <w:color w:val="auto"/>
        </w:rPr>
      </w:pPr>
    </w:p>
    <w:p>
      <w:pPr>
        <w:ind w:left="300" w:right="100" w:hanging="292"/>
        <w:spacing w:after="0" w:line="282"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such as inflation, tariffs and trade relations, interest rates, bank failures and other factors, including factors unrelated to our operating performance or the operating performance of our competitors.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expectations of industry or financial analysts, or investors, for any period. If we are unable to commercialize products or generate sufficient revenue, or if our operating results fall below the expectations of analysts or investors or below any guidance we may provide, or if the guidance we provide is below the expectations of analysts or investors, it could cause the market price of our Class A common stock to fluctuate or decline substantially.</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the Proteograph Product Suite may be smaller or different from estimated, and new market opportunities may not develop as quickly as we expect, or at all, limiting our ability to successfully sell our products.</w:t>
      </w:r>
    </w:p>
    <w:p>
      <w:pPr>
        <w:spacing w:after="0" w:line="1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market for proteomics and genomics technologies and products is evolving, making it difficult to predict with any accuracy the size of the markets for our current and future products, including the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and services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and services are even more difficult to predict. Our product is an innovative new product, and while we draw comparisons between the evolution and growth of the genomics and proteomics markets, the proteomics market may develop more slowly or differently. In addition, the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early stages of commercialization, and we may not be able to commercialize the Proteograph Product Suite as planned.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only recently initiated the broad commercialization of the Proteograph Product Suite and related products and services, and we may not be able to successfully execute on this phase as planned due to:</w:t>
      </w:r>
    </w:p>
    <w:p>
      <w:pPr>
        <w:spacing w:after="0" w:line="108" w:lineRule="exact"/>
        <w:rPr>
          <w:sz w:val="20"/>
          <w:szCs w:val="20"/>
          <w:color w:val="auto"/>
        </w:rPr>
      </w:pPr>
    </w:p>
    <w:p>
      <w:pPr>
        <w:ind w:left="300" w:right="380" w:hanging="292"/>
        <w:spacing w:after="0" w:line="282"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establish the capabilities and value proposition of the Proteograph Product Suite with key opinion leaders and other customers in a timely fashion;</w:t>
      </w:r>
    </w:p>
    <w:p>
      <w:pPr>
        <w:spacing w:after="0" w:line="107" w:lineRule="exact"/>
        <w:rPr>
          <w:rFonts w:ascii="Times New Roman" w:cs="Times New Roman" w:eastAsia="Times New Roman" w:hAnsi="Times New Roman"/>
          <w:sz w:val="18"/>
          <w:szCs w:val="18"/>
          <w:color w:val="auto"/>
        </w:rPr>
      </w:pPr>
    </w:p>
    <w:p>
      <w:pPr>
        <w:ind w:left="300" w:right="460" w:hanging="292"/>
        <w:spacing w:after="0" w:line="266"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longer-than expected lead times in the sales cycle to establish customer contacts, complete responsive presentations including platform evaluations tailored to specific requests, and move expeditiously from quote to order to revenue to receipt of payment due to budgetary or other constraints of academic organizations, laboratories, biopharmaceutical companies and others;</w:t>
      </w:r>
    </w:p>
    <w:p>
      <w:pPr>
        <w:spacing w:after="0" w:line="12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industry or market conditions, customer requirements or competitor offerings during broad commercialization;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continuing the build-out of our sales, customer support and marketing organization as needed for broad commercialization;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ramping up manufacturing, either internally or through our suppliers, to meet the expected demand for broad commercialization; and</w:t>
      </w:r>
    </w:p>
    <w:p>
      <w:pPr>
        <w:spacing w:after="0" w:line="171" w:lineRule="exact"/>
        <w:rPr>
          <w:rFonts w:ascii="Times New Roman" w:cs="Times New Roman" w:eastAsia="Times New Roman" w:hAnsi="Times New Roman"/>
          <w:sz w:val="18"/>
          <w:szCs w:val="18"/>
          <w:color w:val="auto"/>
        </w:rPr>
      </w:pPr>
    </w:p>
    <w:p>
      <w:pPr>
        <w:ind w:left="300" w:right="260" w:hanging="292"/>
        <w:spacing w:after="0" w:line="282" w:lineRule="auto"/>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the economy and research industries, our business operations, and resources and the operations of our customers, suppliers and supply chain, and distributors.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our broad commercial release phase is unsuccessful, our financial results will be adversely impacted.</w:t>
      </w:r>
    </w:p>
    <w:p>
      <w:pPr>
        <w:spacing w:after="0" w:line="16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execute on our commercialization plan, our success depends on broad scientific and market acceptance of the Proteograph Product Suite, which we may fail to achieve.</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achieve and maintain scientific and commercial market acceptance of the Proteograph Product Suite will depend on a number of factors. We expect that the Proteograph will be subject to the market forces and adoption curves common to other new technologies. The market for proteomics and genomics technologies and products is in its early stages of development. If widespread adoption of the Proteograph takes longer than anticipated, or broad scientific and market acceptance does not occur, we will continue to experience operating losses.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the Proteograph Product Suite. We have and continue to collaborate with a small number of key opinion leaders who are highly skilled at evaluating novel technologies and whose feedback helped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is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market acceptance and adoption of the Proteograph during broad commercialization.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in achieving commercial market acceptance, include:</w:t>
      </w:r>
    </w:p>
    <w:p>
      <w:pPr>
        <w:spacing w:after="0" w:line="171"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increase awareness of the capabilities of the Proteograph Product Suite;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Proteograph Product Suite to perform intended use applications broadly in the hands of customers;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adopt new products and workflows;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Proteograph’s ease of use and whether it reliably provides advantages over other alternative technologies;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the Proteograph Product Suite by academic institutions, laboratories, biopharmaceutical companies and others;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we charge for the Proteograph Product Suite;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services and solutions that achieve commercial market acceptance;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competitors develop and commercialize products that perform similar functions as the Proteograph;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each of these criteria or other criteria that might affect the market acceptance of any products we commercialize, particularly the Proteograph Product Suite. If we are unsuccessful in achieving and maintaining market acceptance of the Proteograph, our business, financial condition and results of operations would be adversely affected.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sales force is less successful than anticipated, we may not be successful in commercializing the Proteograph Product Suite.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limited experience as a company in sales and marketing and our ability to successfully commercialize depends on our being able to attract customers for the Proteograph Product Suite. Although members of our management team have considerable industry experience, we need to expand our sales, marketing, distribution and customer service and support capabilities with the appropriate technical expertise during the commercialization of the Proteograph Product Suite and related products and services. To perform sales, marketing, distribution, and customer service and support successfully, we will face a number of risks, including:</w:t>
      </w:r>
    </w:p>
    <w:p>
      <w:pPr>
        <w:spacing w:after="0" w:line="129" w:lineRule="exact"/>
        <w:rPr>
          <w:sz w:val="20"/>
          <w:szCs w:val="20"/>
          <w:color w:val="auto"/>
        </w:rPr>
      </w:pPr>
    </w:p>
    <w:p>
      <w:pPr>
        <w:ind w:left="300" w:right="520" w:hanging="292"/>
        <w:spacing w:after="0" w:line="282" w:lineRule="auto"/>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and customer service and support force necessary to commercialize and gain market acceptance for our technology;</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customer service and support force may be unable to initiate and execute successful commercialization activities.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enlisted and may seek to enlist additional third parties to assist with sales, distribution and customer service and support globally or in certain regions of the world. There is no guarantee that we have attracted or will be successful in attracting desirable or experienced sales or distribution partners or that we have entered or will be able to enter into such arrangements on favorable terms. In addition, we rely on commercial carriers to transport our products, including consumables that are temperature controlled, to customers in a timely and cost-efficient manner, and if these services are delayed or disrupted, our business may be harmed. If our sales and marketing efforts, and logistics capability, or those of any third-party sales and distribution partners, are not successful, the Proteograph may not gain market acceptance, which could materially impact our business operations.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Proteograph Product Suite is successfully commercialized and achieves broad scientific and market acceptance, if we fail to improve it or introduce compelling new products and services, our revenues and our prospects could be harmed.</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Even if we are able to broadly commercialize the Proteograph Product Suite and achieve broad scientific and market acceptance, our ability to attract new customers and increase revenue from existing customers will depend in large part on our ability to enhance and improve the Proteograph solution and to introduce compelling new products and services. The success of any enhancement to the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the Proteograph that we develop may not be introduced in a timely or cost-effective manner, may contain defects, errors, vulnerabilities or bugs, or may not achieve the market acceptance necessary to generate significant revenue.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and services, enhance the Proteograph Product Suite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epidemics could adversely impact our business and operations.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ability to drive the adoption of the Proteograph Product Suite, including our instruments and associated consumables by academic, research and commercial customers depends on our ability to visit customer sites, the ability of our customers to access laboratories, and the ability to install and train on the Proteograph Product Suite and conduct research in light of any health epidemic. These considerations are impacted by factors beyond our control, such as:</w:t>
      </w:r>
    </w:p>
    <w:p>
      <w:pPr>
        <w:spacing w:after="0" w:line="126" w:lineRule="exact"/>
        <w:rPr>
          <w:sz w:val="20"/>
          <w:szCs w:val="20"/>
          <w:color w:val="auto"/>
        </w:rPr>
      </w:pPr>
    </w:p>
    <w:p>
      <w:pPr>
        <w:ind w:left="300" w:right="120" w:hanging="292"/>
        <w:spacing w:after="0" w:line="282"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capacity or shutdowns of laboratories and other institutions as well as reduced or delayed spending on instruments and consumables as a result of shutdowns and delays;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and</w:t>
      </w:r>
    </w:p>
    <w:p>
      <w:pPr>
        <w:spacing w:after="0" w:line="171" w:lineRule="exact"/>
        <w:rPr>
          <w:rFonts w:ascii="Times New Roman" w:cs="Times New Roman" w:eastAsia="Times New Roman" w:hAnsi="Times New Roman"/>
          <w:sz w:val="18"/>
          <w:szCs w:val="18"/>
          <w:color w:val="auto"/>
        </w:rPr>
      </w:pPr>
    </w:p>
    <w:p>
      <w:pPr>
        <w:ind w:left="300" w:right="20" w:hanging="292"/>
        <w:spacing w:after="0" w:line="266"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any health epidemic on our customers and potential customers and their funding sources.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future impact of any health epidemic is highly uncertain and subject to sudden change, including changes in FDA and other regulatory policies that can materially impact our business or that of our customers and partners. This impact could have a material, adverse impact on our liquidity, capital resources, operations and business and those of the third parties on which we rely, such as the manufacturer of our SP100 automation instrument, Hamilton Company, and could worsen over time. Any of these occurrences, and any new epidemics, could significantly harm our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could adversely affect our ability to raise capital and our business, results of operations and financial condition.</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Volatility and disruptions in the capital and credit markets could have an adverse effect on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the Proteograph Product Suite and our ability to raise additional capital when needed on favorable terms, if at all. A weak or declining economy, rising inflation, rising interest rates, or bank failures could strain our customers’ budgets or cause delays in their payments to us. Additionally, there is ongoing uncertainty regarding the new U.S. presidential administration’s economic and other policies and priorities, such as potential changes in trade restrictions or relationships, tariffs and exchange controls, and potential retaliatory tariffs by other countries. Any of the foregoing could harm our business, and we cannot anticipate all of the ways in which the current economic climate and financial market conditions could adversely impact our ability to raise capital, business, results of operations, and financial condition, and cause the stock price of our Class A common stock to decline.</w:t>
      </w:r>
    </w:p>
    <w:p>
      <w:pPr>
        <w:spacing w:after="0" w:line="13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impair our ability to access our cash, cash equivalents and investments and to timely meet our financial obligations to our vendors and others.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Adverse developments affecting the financial services industry, many of which may be beyond our control, could impair our ability to access our cash, cash equivalents and investments and to timely meet our financial obligations to our vendors and others. If banks and financial institutions with whom we have relationships experience liquidity issues, become insolvent, or enter receivership, we may be unable to access, and we may lose, some of or all our cash, cash equivalents and investments to the extent those funds are not protected by Federal Deposit Insurance Corporation or Securities Investor Protection Corporation insurance. We regularly maintain cash, cash equivalents and investments that exceed insurance limits or are not insured, and the factors above or other related or similar factors not described above could have a material adverse effect on our financial statements and our vendor and other relationships, and cause the price of our Class A common stock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sustain or successfully manage our growth or financial resources, our business and prospects will be harmed.</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Growing our business will place significant strains on our management, operational and manufacturing systems and processes, sales and marketing team, financial resources, systems and internal controls, and other aspects of our business. Developing and commercializing the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growth or financial resources, our business, results of operations, financial condition and prospects will be harmed.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future success depends upon our ability to recruit, train, retain and motivate key personnel. Our senior management team, including Omid Farokhzad, one of our founders and our Chief Executive Officer, and David Horn, our President and Chief Financial Officer, are critical to our vision, strategic direction, product development and commercialization efforts.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typically require significant training and, in many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and San Diego.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and San Diego,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previously announced reductions in force impacting a number of our full-time employees and may announce additional reductions in force from time to time. In addition, we are taking measures to reduce our non-personnel expenses. These measures are part of our broader strategic effort to realign our expense base with our revenue growth as we continue to build the market and drive customer adoption of the Proteograph. The reduction in force and our other restructuring and cost-saving activities may yield unintended consequences and costs and we may not achieve the anticipated benefits of these measures. For example, the reduction in workforce could make it difficult for us to pursue, or prevent us from pursuing, new opportunities and initiatives due to insufficient personnel, or require us to incur additional and unanticipated costs to hire new personnel to pursue such opportunities or initiatives. We also may be required to take additional cost-saving measures in the future, including those involving personnel, and we may incur severance and other related costs. If we are unable to realize the anticipated benefits from the reduction in force and our other cost-saving measures, or if we experience significant adverse consequences from these measures, our business, financial condition, and results of operations may be materially adversely affected.</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maintain fixed term employment contracts with any of our employees. As a result, our employees could leave our company with little or no prior notice and could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be dependent upon revenue generated from the sale of the Proteograph Product Suite and related services for the foreseeable future.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we will generate substantially all of our revenue from the sale of the Proteograph Product Suite and associated consumables and services for the foreseeable future. There can be no assurance that we will be able to successfully broadly commercialize the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the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the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our development and commercialization plans for the Proteograph Product Suite, we may forego other opportunities that may provide greater revenue or be more profitable. If our research and product development efforts do not result in commercially viable products or services within anticipated timelines, or at all, our business and results of operations will be adversely affected. Any delay or failure by us to develop and release the Proteograph Product Suite or new products or product enhancements would have a substantial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have been concentrated in a small number of customers.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We are in the early stages of our commercialization plan and our revenues have been concentrated in a relatively small number of customers, including a related party, PrognomiQ. For the three months ended March 31, 2025, there were two customers that accounted for 12% and 10% of the Company's total revenue. For the three months ended March 31, 2024, there was one customer, PrognomiQ, that accounted for 31% of the Company’s total revenue. If one or more customers, including PrognomiQ, terminate all or any portion of their agreements, delay installations or fail to order the anticipated amount of consumables or services, there could be a material adverse effect on our business, financial condition and results of operations. See Note 5 </w:t>
      </w:r>
      <w:r>
        <w:rPr>
          <w:rFonts w:ascii="Times New Roman" w:cs="Times New Roman" w:eastAsia="Times New Roman" w:hAnsi="Times New Roman"/>
          <w:sz w:val="18"/>
          <w:szCs w:val="18"/>
          <w:i w:val="1"/>
          <w:iCs w:val="1"/>
          <w:color w:val="auto"/>
        </w:rPr>
        <w:t>- Revenue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and Note 10 -</w:t>
      </w:r>
      <w:r>
        <w:rPr>
          <w:rFonts w:ascii="Times New Roman" w:cs="Times New Roman" w:eastAsia="Times New Roman" w:hAnsi="Times New Roman"/>
          <w:sz w:val="18"/>
          <w:szCs w:val="18"/>
          <w:i w:val="1"/>
          <w:iCs w:val="1"/>
          <w:color w:val="auto"/>
        </w:rPr>
        <w:t xml:space="preserve"> Related Party Transactions </w:t>
      </w:r>
      <w:r>
        <w:rPr>
          <w:rFonts w:ascii="Times New Roman" w:cs="Times New Roman" w:eastAsia="Times New Roman" w:hAnsi="Times New Roman"/>
          <w:sz w:val="18"/>
          <w:szCs w:val="18"/>
          <w:color w:val="auto"/>
        </w:rPr>
        <w:t>to our notes to financial statements included in Part I, Item 1, herein for further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our relationship with PrognomiQ.</w:t>
      </w:r>
    </w:p>
    <w:p>
      <w:pPr>
        <w:spacing w:after="0" w:line="13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Substantially all of our sales revenue in the near term will be generated from sales to commercial companies, academic institutions and other research institutions. Certain of these customers’ funding is provided by various state, federal and international government agencies. As a result, the demand for the Proteograph Product Suite and related services depends upon the research and development budgets of these customers, which are impacted by factors beyond our control, such as:</w:t>
      </w:r>
    </w:p>
    <w:p>
      <w:pPr>
        <w:spacing w:after="0" w:line="126" w:lineRule="exact"/>
        <w:rPr>
          <w:sz w:val="20"/>
          <w:szCs w:val="20"/>
          <w:color w:val="auto"/>
        </w:rPr>
      </w:pPr>
    </w:p>
    <w:p>
      <w:pPr>
        <w:ind w:left="300" w:hanging="292"/>
        <w:spacing w:after="0"/>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w:t>
      </w:r>
    </w:p>
    <w:p>
      <w:pPr>
        <w:spacing w:after="0" w:line="171" w:lineRule="exact"/>
        <w:rPr>
          <w:rFonts w:ascii="Times New Roman" w:cs="Times New Roman" w:eastAsia="Times New Roman" w:hAnsi="Times New Roman"/>
          <w:sz w:val="18"/>
          <w:szCs w:val="18"/>
          <w:color w:val="auto"/>
        </w:rPr>
      </w:pPr>
    </w:p>
    <w:p>
      <w:pPr>
        <w:ind w:left="300" w:hanging="292"/>
        <w:spacing w:after="0" w:line="282" w:lineRule="auto"/>
        <w:tabs>
          <w:tab w:leader="none" w:pos="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right="240" w:hanging="292"/>
        <w:spacing w:after="0" w:line="282" w:lineRule="auto"/>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and funding by commercial companies in their efforts around therapeutic and diagnostic product development and their adoption and use of the Proteograph Product Suite;</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in the scientific community, including researchers’ opinions of the utility of the Proteograph solution;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 of the Proteograph Product Suite in published research;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 especially government- or grant-funded customers, whose cycles often coincide with government fiscal year ends;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 or service offerings or pricing;</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technologies, such as the Proteograph Product Suite.</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Recently, budget cuts and layoffs at various federal agencies and programs, including at the National Institute of Health (NIH), have created uncertainty and led to budget cuts at various research organizations and institutes that rely on NIH funding.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34"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single suppliers for some of the components of the Proteograph Product Suite, including a single contract manufacturer to manufacture and supply our instruments. If these suppliers or manufacturers should fail or not perform satisfactorily, our ability to meet demand and supply the Proteograph Product Suite would be adversely affected.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Further, if Hamilton is unable to obtain critical components used in the Proteograph solution or supply our instruments on the timelines we require, due to tariffs, trade restrictions, or other reasons, our business and commercialization efforts would be harmed.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event it becomes necessary to utilize one or more different contract manufacturers for automated liquid handling workstations, reagents or other product components associated with the Proteograph Product Suite, we would experience additional costs, delays and difficulties in doing so as a result of identifying and entering into new agreements with new suppliers or manufacturers. In addition, we would have to prepare such new suppliers or manufacturers to meet the logistical requirements associated with supplying and manufacturing the Proteograph Product Suite, and our business would suffer.</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certain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Proteograph Product Suite is an integrated solution with many different components that work together. As such, a quality defect in a single component can compromise the performance of the entire solution. In order to successfully generate revenue from the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leverage well-established unit operations to formulate and manufacture our NPs at our facilities in Redwood City, California. We procure certain components of our consumables from third-party manufacturers, which includes the commonly available raw materials needed for manufacturing our proprietary engineered NPs. These manufacturing processes are complex. As we increase the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and transportation of certain hazardous substances or chemicals, including in commercial products, or the collection, reuse, and recycling of waste from products we manufacture, our business will be adversely impacted.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or cyber attacks on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we or our third-party manufacturers fail to obtain or maintain applicable ISO quality management certifications, customers might choose not to purchase products from us.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as we commercialize the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0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defects or errors, which may give rise to claims against us, adversely affect market adoption of the Proteograph Product Suite, damage our reputation, and adversely affect our business, financial condition, and results of operations.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Proteograph Product Suite utilizes novel and complex technology, including hardware, consumables and software, and may develop or contain defects, errors or material performance problems. We cannot assure you that material performance problems, defects, or errors will not arise, and as we commercialize the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manufacturing the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Proteograph Product Suite contains defects, we may experience:</w:t>
      </w:r>
    </w:p>
    <w:p>
      <w:pPr>
        <w:spacing w:after="0" w:line="171"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for the Proteograph or expansion of the Proteograph Product Suite sales;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warranty and customer service and support costs due to product repair or replacement;</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to our service department; and</w:t>
      </w:r>
    </w:p>
    <w:p>
      <w:pPr>
        <w:spacing w:after="0" w:line="171" w:lineRule="exact"/>
        <w:rPr>
          <w:rFonts w:ascii="Times New Roman" w:cs="Times New Roman" w:eastAsia="Times New Roman" w:hAnsi="Times New Roman"/>
          <w:sz w:val="18"/>
          <w:szCs w:val="18"/>
          <w:color w:val="auto"/>
        </w:rPr>
      </w:pPr>
    </w:p>
    <w:p>
      <w:pPr>
        <w:ind w:left="300" w:right="40" w:hanging="292"/>
        <w:spacing w:after="0" w:line="282" w:lineRule="auto"/>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hazardous material or environmental compliance claims, which could be costly and time consuming to defend and result in substantial damages.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expect that the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are not used with recommended equipment, they may not be compatible or perform as intended with the Proteograph. In such case, the reliability, results and performance of the Proteograph may be compromised. The occurrence of any one or more of the foregoing may have a material adverse effect on our business, results of operations, financial condition and prospects.</w:t>
      </w:r>
    </w:p>
    <w:p>
      <w:pPr>
        <w:spacing w:after="0" w:line="129"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risks related to using, handling, storing, importing, exporting, and transferring of biological samples, hazardous materials and substances or chemicals such as reagents in commercial products; the collection, reuse and recycling of waste from products we manufacture and services we provide; and compliance with environmental health and safety regulations.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our facilities in Redwood City, including our Biohazards Safety Level 2 laboratory, we leverage unit operations to formulate and manufacture our NPs, assemble our consumables, conduct assays and perform mass spectrometer analyses. As we increase the commercial scale, formulation and manufacture of our products using, handling, storing, importing, exporting, and transferring biological samples, hazardous materials and substances or chemicals such as reagents, or if we are unable to repeatably produce our products or perform our services, in compliance with applicable health and safety, and environmental laws, rules and regulations, our operations, including our sales, could be negatively affected. In addition, if we encounter issues in packaging and labeling our consumables, complying with regulations relating to laboratory safety, safety data sheets, handling human samples such as inactive COVID-19 samples, using certain hazardous substances or chemicals such as reagents in commercial products, collecting, reusing and recycling of waste from products we manufacture, or complying with environmental health and safety regulations, our business could be adversely impacted.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deploy and implement enhancements of the Instrument Control Software and Proteograph Analysis Suite, our commercialization efforts and, therefore, business and results of operations could suffer.</w:t>
      </w:r>
    </w:p>
    <w:p>
      <w:pPr>
        <w:spacing w:after="0" w:line="10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success of the Proteograph Product Suite depends, in part, on our ability to design and deploy our Instrument Control Software and Proteograph Analysis Suite in a manner that enables the integration with our potential customers’ systems and accommodates our customers’ needs. Without the Instrument Control Software, the Proteograph may become inoperable. Without the Proteograph Analysis Suite software, quality control of the workflow and data analysis is less accessible and robust, and it may be difficult for our customers to understand and evaluate the quality of their results.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and will continue to spend significant amounts of effort continuing to develop our software to meet our customers’ and potential customers’ evolving needs. There is no assurance that the development or deployment of our software will be compelling to our customers or function correctly. In addition, we may experience delays in our release dates of our software, and there can be no assurance that our software will be released according to schedule. If our software development and deployment plan, which may include participation from third party vendors and licensors, does not accurately anticipate customer demands, or if we fail to develop our software in a manner that satisfies customer preferences in a timely and cost-effective manner, the Proteograph Product Suite may fail to gain market acceptance or function correctly. The occurrence of any one or more of the foregoing could negatively affect our business, financial condition, and results of operations.</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commercialize the Proteograph Product Suite outside of the United States, our international business could expose us to business, regulatory, legal, political, operational, financial, and economic risks associated with doing business outside of the United States.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300" w:right="220" w:hanging="292"/>
        <w:spacing w:after="0" w:line="261"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to the collection, reuse, and recycling of waste from products we manufacture;</w:t>
      </w:r>
    </w:p>
    <w:p>
      <w:pPr>
        <w:spacing w:after="0" w:line="125" w:lineRule="exact"/>
        <w:rPr>
          <w:rFonts w:ascii="Times New Roman" w:cs="Times New Roman" w:eastAsia="Times New Roman" w:hAnsi="Times New Roman"/>
          <w:sz w:val="18"/>
          <w:szCs w:val="18"/>
          <w:color w:val="auto"/>
        </w:rPr>
      </w:pPr>
    </w:p>
    <w:p>
      <w:pPr>
        <w:ind w:left="300" w:right="340" w:hanging="292"/>
        <w:spacing w:after="0" w:line="282"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U.S. Foreign Corrupt Practices Act (FCPA), and other U.S. federal laws and regulations, including with respect to not doing business with sanctioned parties, as prohibited by the office of Foreign Asset Control;</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requirements and import or trade restrictions, including, without limitation, with respect to biological samples, and trade retaliation laws;</w:t>
      </w:r>
    </w:p>
    <w:p>
      <w:pPr>
        <w:spacing w:after="0" w:line="171" w:lineRule="exact"/>
        <w:rPr>
          <w:rFonts w:ascii="Times New Roman" w:cs="Times New Roman" w:eastAsia="Times New Roman" w:hAnsi="Times New Roman"/>
          <w:sz w:val="18"/>
          <w:szCs w:val="18"/>
          <w:color w:val="auto"/>
        </w:rPr>
      </w:pPr>
    </w:p>
    <w:p>
      <w:pPr>
        <w:ind w:left="300" w:right="420" w:hanging="292"/>
        <w:spacing w:after="0" w:line="282"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both inbound and outbound cross-border investment, including enhanced oversight by the Committee on Foreign Investment in the United States (CFIUS) and substantial restrictions on investment from China;</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300" w:right="260" w:hanging="292"/>
        <w:spacing w:after="0" w:line="282" w:lineRule="auto"/>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transactions or payments denominated in foreign currency, longer payment cycles and difficulties in enforcing agreements and collecting receivables through certain foreign legal systems;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300" w:right="140" w:hanging="292"/>
        <w:spacing w:after="0" w:line="266"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w:t>
      </w:r>
    </w:p>
    <w:p>
      <w:pPr>
        <w:spacing w:after="0" w:line="121" w:lineRule="exact"/>
        <w:rPr>
          <w:rFonts w:ascii="Times New Roman" w:cs="Times New Roman" w:eastAsia="Times New Roman" w:hAnsi="Times New Roman"/>
          <w:sz w:val="18"/>
          <w:szCs w:val="18"/>
          <w:color w:val="auto"/>
        </w:rPr>
      </w:pPr>
    </w:p>
    <w:p>
      <w:pPr>
        <w:ind w:left="300" w:hanging="292"/>
        <w:spacing w:after="0" w:line="282" w:lineRule="auto"/>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consequences associated with tariffs, changes in trade restrictions or relationships, potential retaliatory tariffs and actions from other countries, customs charges, bureaucratic requirements, and other trade barriers;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international sales is and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operations and business may be negatively affected.</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current commercial model includes direct sales in the United States and elsewhere, and we have built and are building relationships with third party distributors and channel partners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distributors can choose the level of effort that they apply to selling our products relative to others in their portfolio. Our distributors may not commit the necessary resources to market our products or may favor the products of other companies.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4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addition, although we intend to require contract terms obligating our distributors to comply with all applicable laws regarding the sale of our products, including regulatory labeling, protection of personal data, U.S. export regulations and the FCPA, we may not be able to ensure proper compliance. If our distributors fail to effectively market and sell our products in full compliance with applicable laws and regulations, our results of operations and business may suffer.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operations will suffer.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Bio-Techne, Bruker, Danaher, DiaSorin, and Thermo Fisher Scientific. We also compete with a number of companies that have developed, or are developing, proteomic products and solutions, such as Alamar Biosciences, Nautilus Biotechnology, Quanterix, Quantum-Si and Standard BioTools.</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may enjoy a number of competitive advantages over us, including:</w:t>
      </w:r>
    </w:p>
    <w:p>
      <w:pPr>
        <w:spacing w:after="0" w:line="108" w:lineRule="exact"/>
        <w:rPr>
          <w:sz w:val="20"/>
          <w:szCs w:val="20"/>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cannot assure you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you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commercialization plans for the Proteograph Product Suite, including manufacturing, sales and marketing activities, expand our investments in research, and develop and commercialize new products and applications.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current cash, cash equivalents and investments will be sufficient to meet our anticipated cash flow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spacing w:after="0" w:line="12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We will consider raising additional capital in the future to expand our business, to pursue strategic investments, to take advantage of financing opportunities or for other reasons, including:</w:t>
      </w:r>
    </w:p>
    <w:p>
      <w:pPr>
        <w:spacing w:after="0" w:line="108" w:lineRule="exact"/>
        <w:rPr>
          <w:sz w:val="20"/>
          <w:szCs w:val="20"/>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the Proteograph Product Suite;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the Proteograph Product Suite or any other future products;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investing in technologies and other intellectual property rights;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businesses or assets;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300" w:right="180" w:hanging="292"/>
        <w:spacing w:after="0" w:line="282" w:lineRule="auto"/>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commercializing the Proteograph Product Suite and new products, and the cost of the sales and marketing activities associated with establishing adoption of our products;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in research and development;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borrow funds from or deposit funds in banks or other financial institutions, we might encounter increasingly restrictive requirements and be subject to their solvency risk. If we raise funds through collaborations or licensing arrangements, we might be required to relinquish significant rights to our technologies or products or grant licenses on terms that are not favorable to us.</w:t>
      </w:r>
    </w:p>
    <w:p>
      <w:pPr>
        <w:spacing w:after="0" w:line="13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their assets or technologies, enter into joint ventures, or make other strategic investments in companies, which could divert our management’s attention, result in additional dilution to our stockholders and otherwise disrupt our operations and harm our operating results.</w:t>
      </w:r>
    </w:p>
    <w:p>
      <w:pPr>
        <w:spacing w:after="0" w:line="121"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businesses, applications or technologies that we believe could complement or expand the Proteograph Product Suite or future products or services,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may make investments in early-stage companies that we believe are advancing or developing new technologies applicable to our businesses. These investments are generally illiquid at the time of investment. We have and expect to continue to recognize gains or losses attributable to adjustments of the investments’ fair value, including impairments up to and including the full value of the investment, which events are generally outside of our control such as the success or failure of the company and market volatility. In some cases, we may also enter into separate commercial arrangements with these companies, whether before, concurrently with, or after making an investment. In certain cases, the commercial arrangement may be a driving factor behind our investment. We cannot assure you that the commercial arrangement will further our business strategy as we expected. We may not realize all the economic benefits expected from the commercial agreement or realize the expected return on our investments.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PrognomiQ as a separate healthcare company in the area of disease testing.</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August 2020, we transferred certain assets to PrognomiQ, as a separate healthcare company to help enable the growth of ecosystems around new applications that leverage the Proteograph solution for unbiased, deep and large-scale proteomic information. In August 2024, the Company entered into a preferred stock purchase agreement with PrognomiQ, pursuant to which the Company purchased $10.0 million of PrognomiQ's Series D Preferred Stock. As of March 31, 2025, we held approximately 25% of the outstanding capital stock of PrognomiQ. We may not realize the potential benefits of forming PrognomiQ for a variety of reasons, including:</w:t>
      </w:r>
    </w:p>
    <w:p>
      <w:pPr>
        <w:spacing w:after="0" w:line="129" w:lineRule="exact"/>
        <w:rPr>
          <w:sz w:val="20"/>
          <w:szCs w:val="20"/>
          <w:color w:val="auto"/>
        </w:rPr>
      </w:pPr>
    </w:p>
    <w:p>
      <w:pPr>
        <w:ind w:left="300" w:hanging="29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be unable to successfully develop viable testing products;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PrognomiQ’s business may not help demonstrate the value of the Proteograph;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reach agreement with PrognomiQ on future commercial arrangements;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PrognomiQ may need to raise additional funding in the future and be unable to do so; and</w:t>
      </w:r>
    </w:p>
    <w:p>
      <w:pPr>
        <w:spacing w:after="0" w:line="171" w:lineRule="exact"/>
        <w:rPr>
          <w:rFonts w:ascii="Times New Roman" w:cs="Times New Roman" w:eastAsia="Times New Roman" w:hAnsi="Times New Roman"/>
          <w:sz w:val="18"/>
          <w:szCs w:val="18"/>
          <w:color w:val="auto"/>
        </w:rPr>
      </w:pPr>
    </w:p>
    <w:p>
      <w:pPr>
        <w:ind w:left="300" w:right="800" w:hanging="292"/>
        <w:spacing w:after="0" w:line="282" w:lineRule="auto"/>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PrognomiQ and our continuing equity position in PrognomiQ may add complexities to our business from a finance, tax and accounting perspective.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Reporting</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404(a) of the Sarbanes-Oxley Act (SOX), which requires annual assessments by management of the effectiveness of our internal control over financial reporting. Because we re-qualified as a smaller reporting company, as of December 31, 2024, we are a non-accelerated filer and are no longer required to comply with the auditor attestation requirements regarding the effectiveness of our internal control over financial reporting under Section 404(b) of the Sarbanes-Oxley Act until we become an accelerated filer or large accelerated filer.</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404(a)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and there could be a failure to meet exchange listing requirements.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134"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or otherwise fail to comply with the Sarbanes-Oxley Act of 2002, we may not be able to accurately and timely report our financial results, which may adversely affect our business and investor confidence in us and, as a result, the value of our Class A common stock.</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maintain internal control over financial reporting, or identify any material weaknesses, the accuracy and timing of our financial reporting may be adversely affected. Any failure to implement and maintain effective internal control over financial reporting could cause investors to lose confidence in our reported financial and other information, adversely impact our stock price, cause us to incur increased costs to remediate any deficiencies, and attract regulatory scrutiny or lawsuits that could be costly to resolve and distract management’s attention, limit our ability to access the capital markets or cause our stock to be delisted from The Nasdaq Global Select Market or any other securities exchange on which it is then listed.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condensed consolidated financial statements or identify other areas for further attention or improvement. We are also required to disclose material changes made in our internal controls over financing reporting and procedures on a quarterly basis and our management is required to assess the effectiveness of these controls annually. Remediation of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4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or evolving interpretations of, financial accounting rules, regulations, standards or practices could result in unfavorable accounting changes, require us to, for example, change our compensation policies or restate our financial statements, or cause adverse, unexpected fluctuations in our operating results, resulting in a decline in the market price of our Class A common stock.</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our condensed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However, we have a limited operating history.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or if accounting rules, regulations, standards or practices change, our compensation practices may need to change or our financial statements may need to be restated, and our operating results may be adversely affected and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w:t>
      </w:r>
    </w:p>
    <w:p>
      <w:pPr>
        <w:spacing w:after="0" w:line="17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products are labeled, promoted, and sold as research use only (RUO) products, primarily to academic and research institutions and research companies, and are not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 issued a final rule in February 2024 replacing the QSR with Quality Management System Regulation (QMSR), which incorporates by reference the quality management system requirements of ISO 13485:2016. The FDA has stated that the standards contained in ISO 13485:2016 are substantially similar to those set forth in the existing QSR. FDA will begin to enforce the QMSR requirements upon the effective date, February 2, 2026.</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January 2024, FDA announced its plans to reclassify certain high-risk in vitro diagnostics, including companion diagnostics, as Class II devices. 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on May 26, 2021 (postponed from 2020) and May 26, 2022 respectively. In 2023, the European Parliament voted to extend the transition timelines for MDR and IVDR. These regulations increase the clinical requirements and will increase the difficulty of regulatory approvals in Europe.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currently expect the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Legislative and administrative proposals to amend the FDA's oversight of LDTs have been introduced in recent years, including the Verifying Accurate Leading-edge IVCT Development Act of 2021 (VALID Act). In May 2024, the FDA published a final rule to regulate LDTs, which was vacated by the Texas district court in March 2025. In June 2024, the U.S. Supreme Court overruled the case that established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the LDT final rule and other rules and policies of the FDA. We cannot predict the outcome of these judicial challenges or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There is significant uncertainty in the life sciences industry due to layoffs at the federal agencies, like the FDA, tariffs, and funding cuts for research, which can have a material effect on the operations of our customers and their demand for our products.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It is unclear how future legislation, executive orders, new regulations, and other actions by federal and state governments, including changes in the leadership of FDA and other federal agencies, will impact the industry, including our business and that of our customers. Budget cuts, layoffs at federal agencies, hiring freezes, return-to-office policies, and other measures taken by the new presidential administration, including measures by the Department of Government Efficiency, can have a material impact on our industry, including the business of our customers and our operations. In the future, to the extent we or our partners develop any medical devices subject to FDA regulation, failure to comply with applicable regulatory requirements can result in enforcement action by the government, which may include warning letters, untitled letters, fines, injunctions, civil penalties, recall or seizure of products, among others.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products, services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products, services and technologies, all of which provide limited protection and may not adequately protect our rights or permit us to gain or keep any competitive advantage. If we fail to obtain, maintain, enforce and protect our intellectual property, third parties may be able to compete more effectively against us. In addition, we may incur substantial litigation costs in our attempts to recover or restrict use of our intellectual property.</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or services, our competitive position could be adversely affected, as could our business, financial condition, results of operations and prospects. Both the patent application process and the process of managing patent and other intellectual property disputes can be time-consuming, expensive and unpredictable.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services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services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or services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America Invents Act and its implementation could increase the uncertainties and costs surrounding the prosecution of our patent applications and future patent applications, and the enforcement or defense of our issued patents, all of which could have a material adverse effect on our business, financial condition, results of operations and prospects.</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or abstract ideas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material and negative impact on our business, financial condition, prospects and results of operations.</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Filing, prosecuting and defending patents on our technology, services and products, including the Proteograph Product Suite, in all countries throughout the world would be prohibitively expensive, and our intellectual property rights in some countries outside the United States can be less extensive than those in the United States.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our licensor may encounter difficulties in protecting and defending such rights in foreign jurisdictions. Obtaining granted patents in foreign jurisdictions is time-consuming and expensive, the outcome is unpredictable, and some countries are unable to prosecute and grant patents in a timely manner. Consequently, we and our licensor(s) may not be able to prevent third parties from practicing our inventions in some or all countries outside the United States, or from selling or importing products made using our or our licensor’s inventions in and into the United States or other jurisdictions. It is unknown whether we will be successful in obtaining patents with sufficient claim scope in certain jurisdictions to block third parties, in a cost effective or in a timely manner, and if we are unable to do so it could have a material adverse effect on our business, financial condition, results of operations and prospects in various geographies.</w:t>
      </w:r>
    </w:p>
    <w:p>
      <w:pPr>
        <w:spacing w:after="0" w:line="13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Moreover, European applications now have the option, upon grant of a patent, of becoming a Unitary Patent which will be subject to the jurisdiction of the Unitary Patent Court (UPC). This is a significant change in European patent practice. As the UPC is a new court system, there is limited precedent for the court, increasing the uncertainty of any patent litigation in Europe.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Competitors and other third parties may also use our technologies in jurisdictions where we have not obtained patent protection to develop their own products, services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Geopolitical actions worldwide could increase the uncertainties and costs surrounding the prosecution or maintenance of our patent applications or those of any current or future licensors and the maintenance, enforcement or defense of our issued patents or those of any current or future licensors.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or services could be found invalid or unenforceable if challenged.</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have been, and may be challenged at a future point in time in third-party observations, opposition, revocation, nullification,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or services, the defendant could counterclaim that such patent covering our products or services,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For example, on October 7, 2024, PreOmics GmbH and Biognosys AG filed a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(Case No. IPR2024-01473) challenging the validity of U.S. Patent No. 11,435,360, which is exclusively licensed from The Brigham and Women’s Hospital, Inc. The petition alleges, among other things, that the claims of 11,435,360 are invalid for anticipation and obviousness over the prior art. In Germany, an anonymous third party initiated nullity actions against European Patent EP3554681 and Utility Model Patent No. 202017007363 on November 18, 2024 and January 13, 2025, respectively, which patents are exclusively licensed from BWH. These actions allege, among other things, that the patents are invalid for lack of novelty and inventive step over the prior art. These proceedings could result in revocation of or amendment to our patents in such a way that they no longer cover and protect our products, or exclude our competitor’s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services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or services.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relied and expect to rely heavily on trade secrets and confidentiality agreements to protect our unpatented know-how, technology and other proprietary and confidential information, including parts of the Proteograph Product Suite and related services,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have a material and adverse impact on our ability to establish or maintain a competitive advantage in the market and our business, financial condition, results of operations and prospects.</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obtain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or our licensor have been, and may be, subject to claims that former employees, collaborators or other third parties have an interest in our owned or in-licensed patents, trade secrets or other intellectual property as an inventor or co-inventor. For example, on December 28, 2023, Giulio Caracciolo (Caracciolo) and Dipartimento di Medicina Molecolare Sapienza Universita di Roma filed a lawsuit against us, BWH, and other inventors alleging, among other things, that Caracciolo was wrongfully excluded as an inventor on certain patents that we have exclusively licensed from BWH. That lawsuit was dismissed with prejudice on October 25, 2024, pursuant to a stipulation of dismissal. The outcome of any claims or litigation, regardless of the merits, is inherently uncertain. Moreover,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4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Litigation has been, and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technologies and products, including the Proteograph Product Suite, including our software, workflows, consumables, reagent kits, and related services.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services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from time to time, we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services and technologies, including the Proteograph Product Suite for an adequate amount of time.</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or services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services,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services,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third parties, including our competitors, believe that our products or technologies infringe, misappropriate or otherwise violate their intellectual property, such third parties may seek to enforce their intellectual property, including patents, by filing an intellectual property-related lawsuit, including patent infringement lawsuit, against us. Even if we believe the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an issued patent and pending patent application in Europe owned by a third party directed to a method of identifying biomarkers in biofluids using nanoparticles, which is projected to expire in 2037 without taking into account any possible patent term extensions. Such patents and patent application could be construed or claim scope obtained to cover certain aspects of our current or future products, services or technologies, including the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services or technologies and we may be required to redesign such products, services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We have, and may in the future,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proceeding, opposition or other comparable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proceedings could be substantial. There can be no assurance that our defenses of non-infringement, invalidity or unenforceability in a court of law will succeed.</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services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services and technologies, any of which could have a material adverse effect on our business, financial condition, results of operations and prospects. The outcome in any such proceedings is unpredictable.</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Regardless of whether we are defending against or asserting any intellectual property-related proceeding, any such intellectual property-related proceeding, regardless of outcome, could result in substantial costs and diversion of resources and could have a material adverse effect on our business, financial condition, results of operations and prospects. Furthermore, because of the substantial amount of discovery that may be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material adverse effect on our business, financial condition, results of operations and prospects.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3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advisors or independent contractors may have wrongfully used or disclosed, or may in the future wrongfully use or disclose, confidential information or alleged trade secrets of ours, third parties or former employers of theirs.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and engaged and expect to engage consultants, who were previously employed, or consulted, at academic institutions and other companies and entities, including our competitors or potential competitors. Although we try to ensure that our employees, consultants, advisors and independent contractors do not use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confidential or proprietary information of their former employers or other third parties, or to claims that we have improperly used or obtained such trade secrets. Domestic or international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we or our licensor have been, or may be, subject to claims by former employees, consultants or other third parties asserting an ownership right in our owned or licensed patents or patent applications. For example, as discussed above, a lawsuit was filed relating to inventorship for certain patents that we have exclusively licensed from BWH.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or services without infringing third-party patent rights. Any of the foregoing could harm our business, financial condition, results of operations and prospects.</w:t>
      </w:r>
    </w:p>
    <w:p>
      <w:pPr>
        <w:spacing w:after="0" w:line="13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license from a third party, and in the future may rely on additional licenses from other third parties, in relation to our technologies, services and products, including the Proteograph Product Suite and related services, and if we lose any of these licenses, then we may be subjected to future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and may in the future become, a party to license agreements that grant us rights to use certain intellectual property, including patents and patent applications, typically in certain specified fields of use. Currently, we rely on an in-license from BWH, for patents, for example, relating to methods of using nanoparticles to measure the proteome, including the methods used in the Proteograph Product Suite and may in the future rely on licenses from other third parties with respect to our products, including the Proteograph Product Suite, or other technology. Our rights to use licensed technology in our business are subject to the continuation of and compliance with the terms of the BWH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products, including the Proteograph Product Suite. We may need to obtain additional licenses from others to advance our research, development and commercialization activities. For instance, under our license agreement with BWH, we currently in-license a patent family which includes methods used in the Proteograph Product Suite and related services, and to the extent any additional intellectual property developed by BWH that are not included in such licensed patent families are necessary or useful for the Proteograph Product Suite or any other product, services or technology, we would need to negotiate for additional licenses to such additional intellectual property. Such licenses may not be available on commercially reasonable terms or at all, or may be non-exclusive,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14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intellectual property rights necessary for developing and protecting our technologies, services and products, including the Proteograph Product Suite and related services, or we could lose certain rights to grant sublicenses.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Future agreements may impose, and our current license agreement imposes, various diligence, commercialization, funding, milestone payment, royalty, sublicensing, insurance, patent prosecution and enforcement and other obligations on us and require us to meet development timelines, or to exercise commercially reasonable efforts to develop and commercialize licensed products, in order to maintain the licenses. If we fail to comply with any of these obligations, a licensor(s) may have the right to terminate our license and/or we may be required to pay damages, in which event we would not be able to develop or market products or technology covered by the licensed intellectual property. In addition, while we cannot currently determine the amount of any future royalty obligations we would be required to pay on future sales of a licensed product, the amount may be significant. The amount of our future royalty obligations will depend on the technology and intellectual property we use in products we commercialize, if at all. Therefore, even if we successfully develop and commercialize existing or future products, we may be unable to achieve or maintain profitability. Any of the foregoing could have a material adverse effect on our competitive position, business, financial conditions,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71" w:lineRule="exact"/>
        <w:rPr>
          <w:rFonts w:ascii="Times New Roman" w:cs="Times New Roman" w:eastAsia="Times New Roman" w:hAnsi="Times New Roman"/>
          <w:sz w:val="18"/>
          <w:szCs w:val="18"/>
          <w:color w:val="auto"/>
        </w:rPr>
      </w:pPr>
    </w:p>
    <w:p>
      <w:pPr>
        <w:ind w:left="300" w:right="480" w:hanging="292"/>
        <w:spacing w:after="0" w:line="282" w:lineRule="auto"/>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products, technology and processes infringe on intellectual property of the licensor that is not subject to the licensing agreement;</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products or services, including the Proteograph Product Suite and related services, which could adversely affect our ability to offer products or services, our ability to continue operations and our business, financial condition, results of operations and prospects. Any of the foregoing could have a material adverse effect on our competitive position, business, financial conditions, results of operations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or services in the future.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services or technologies, including the Proteograph Product Suite and related services.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our owned and in-licensed patents have been, or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including as set forth in the Bayh-Dole Act of 1980. Any failure to timely elect title to such inventions may provide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and proprietary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39"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products contain, and our services use, third-party open source software components and failure to comply with the terms of the underlying open source software licenses could restrict our ability to sell our products and service our customers, or require disclosure of our proprietary software.</w:t>
      </w:r>
    </w:p>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products contain software licensed by third parties under open source software licenses. Use and distribution of open source software may entail different or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combined works,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or services if re-engineering could not be accomplished on a timely basis, or to make generally available, in source code form, our proprietary code, any of which could materially adversely affect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300" w:right="80" w:hanging="292"/>
        <w:spacing w:after="0" w:line="282" w:lineRule="auto"/>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or services that are similar to products and technologies we may develop or utilize similar technology that are not covered by the claims of the patents that we own or license now or in the future;</w:t>
      </w:r>
    </w:p>
    <w:p>
      <w:pPr>
        <w:spacing w:after="0" w:line="107" w:lineRule="exact"/>
        <w:rPr>
          <w:rFonts w:ascii="Times New Roman" w:cs="Times New Roman" w:eastAsia="Times New Roman" w:hAnsi="Times New Roman"/>
          <w:sz w:val="18"/>
          <w:szCs w:val="18"/>
          <w:color w:val="auto"/>
        </w:rPr>
      </w:pPr>
    </w:p>
    <w:p>
      <w:pPr>
        <w:ind w:left="300" w:right="20" w:hanging="292"/>
        <w:spacing w:after="0" w:line="282" w:lineRule="auto"/>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left="300" w:right="440" w:hanging="292"/>
        <w:spacing w:after="0" w:line="282" w:lineRule="auto"/>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07" w:lineRule="exact"/>
        <w:rPr>
          <w:rFonts w:ascii="Times New Roman" w:cs="Times New Roman" w:eastAsia="Times New Roman" w:hAnsi="Times New Roman"/>
          <w:sz w:val="18"/>
          <w:szCs w:val="18"/>
          <w:color w:val="auto"/>
        </w:rPr>
      </w:pPr>
    </w:p>
    <w:p>
      <w:pPr>
        <w:ind w:left="300" w:right="140" w:hanging="292"/>
        <w:spacing w:after="0" w:line="282" w:lineRule="auto"/>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and our licensed pending patent applications, or those that we may own or license in the future, will not lead to issued patents;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left="300" w:right="540" w:hanging="292"/>
        <w:spacing w:after="0" w:line="282" w:lineRule="auto"/>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left="300" w:right="340" w:hanging="292"/>
        <w:spacing w:after="0" w:line="282" w:lineRule="auto"/>
        <w:tabs>
          <w:tab w:leader="none" w:pos="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sustained.</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Although our Class A common stock is traded on the Nasdaq Global Select Market under the symbol “SEER,”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2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listing requirements of the Nasdaq Global Select Market, we may be delisted and the price of our Class A common stock and our ability to access the capital markets could be negatively impacted.</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maintain the listing of our Class A common stock on the Nasdaq Global Select Market, we are required to meet certain listing requirements, including, among others, either: (i) a minimum closing bid price of $1.00 per share, a market value of publicly held shares (excluding shares held by our executive officers, directors and 10% or more stockholders) of at least $5 million and stockholders’ equity of at least $10 million; or (ii) a minimum closing bid price of $1.00 per share, a market value of publicly held shares (excluding shares held by our executive officers, directors, affiliates and 10% or more stockholders) of at least $15 million and a total market value of listed securities of at least $50.0 million.</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fail to satisfy one or more of the Nasdaq Global Select Market requirements for continued listing of our Class A common stock in the future. For example, on July 11, 2024, we notified The Nasdaq Stock Market LLC (Nasdaq) that upon the effectiveness of the resignation of Rachel Haurwitz, Ph.D., we would no longer be in compliance with the Nasdaq Listing Rule 5605(c)(2)(A), which requires that (i) the Audit Committee of the Board be composed of at least three members, and (ii) that one member of the Audit Committee qualifies as an “audit committee financial expert” under Item 407(d)(5)(iii) of Regulation S-K. During such period of noncompliance, we relied on the cure period provided by the Nasdaq Listing Rule 5605(c)(4)(B). On July 19, 2024, the Board appointed David Hallal to serve on the Audit Committee and determined that he met the requirements to qualify as the “audit committee financial expert” under Item 407(d)(5)(iii) of Regulation S-K. We believe that Mr. Hallal’s appointment resolved any potential non-compliance with the applicable Nasdaq Listing Rules. There can be no assurance that we will be successful in maintaining the listing of our Class A common stock on the Nasdaq Global Select Market, or, if transferred, on the Nasdaq Capital Market. The delisting of our Class A common stock from a national exchange could impair the liquidity and market price of our Class A common stock. It could also materially, adversely affect our access to the capital markets, and any limitation on market liquidity or reduction in the price of our Class A common stock as a result of that delisting could adversely affect our ability to raise capital on terms acceptable to us, or at all.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launch and commercialization of our products meets the expectations of securities analysts and investors;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being less than anticipated or operating expenses being more than anticipated;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171" w:lineRule="exact"/>
        <w:rPr>
          <w:rFonts w:ascii="Times New Roman" w:cs="Times New Roman" w:eastAsia="Times New Roman" w:hAnsi="Times New Roman"/>
          <w:sz w:val="18"/>
          <w:szCs w:val="18"/>
          <w:color w:val="auto"/>
        </w:rPr>
      </w:pPr>
    </w:p>
    <w:p>
      <w:pPr>
        <w:ind w:left="300" w:hanging="292"/>
        <w:spacing w:after="0" w:line="282"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300" w:right="380" w:hanging="292"/>
        <w:spacing w:after="0" w:line="282"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 including volatility in the stock prices of publicly held companies in our industry;</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left="300" w:right="320" w:hanging="292"/>
        <w:spacing w:after="0" w:line="266"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strategies that may drive down the price of our Class A common stock;</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300" w:right="220" w:hanging="292"/>
        <w:spacing w:after="0" w:line="282"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or sales of our Class A common stock or Class B common stock by our insiders or other stockholders, or future stock issuances;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solvency of financial institutions with which we have financial deposits or investments in excess of insurance limits;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changes in tariffs or trade restrictions or relationships; and</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natural disasters or major catastrophic events.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 markets in general, and the market for life sciences technology companies in particular, have experienced significant price and volume fluctuations that have often been unrelated or disproportionate to changes in the operating performance, financial condition, or tangible asset value of the companies whose stock is experiencing those price and volume fluctuations. Broad market and industry factors may seriously affect the market price of our Class A common stock, regardless of our actual operating performance, financial condition, or tangible asset value. Following periods of such volatility or decline in the market price of a company’s securities, securities class action litigation or shareholder activism has often been initiated against that company. Because of the potential volatility or decline of our stock price, we may become the target of securities litigation or shareholder activism in the future which could result in substantial costs and divert management’s attention and resources from our business.</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0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Class A common stock, which is our publicly-traded class of stock, has one vote per share, and our Class B common stock has ten votes per share, except as otherwise required by law. Our Class B common stock is held by our founders and early investors. As of May 6, 2025, the holders of our Class B common stock hold in the aggregate 42.5 % of the voting power of our capital stock, which may increase from time to time.</w:t>
      </w:r>
    </w:p>
    <w:p>
      <w:pPr>
        <w:spacing w:after="0" w:line="12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9, 2025. The conversion of Class B common stock to Class A common stock will have the effect, over time, of increasing the relative voting power of those individual holders of Class B common stock who retain their shares over the long term.</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2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analysts, including securities analysts do not publish research or reports about our business or if they publish negative evaluations of our Class A common stock, the price of our Class A common stock could decline.</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and the perception in the market that the holders of a large number of shares of Class A common stock intend to sell shares could reduce the market price of our Class A common stock.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Class A common stock or that we will repurchase shares at favorable prices.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2024, our Board of Directors approved a share repurchase program (the Share Repurchase Program) pursuant to which we are authorized to repurchase up to $25.0 million of our Class A common stock from time to time through open market transactions. The amount and timing of our share repurchases, if any, are subject to the availability of capital and our determination that the share repurchases are in the best interest of the Company and our stockholders. Our Share Repurchase Program does not obligate us to repurchase any specific number of shares and may be suspended at any time at our discretion.</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ability to make share repurchases, if any,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if at all. As a result, there can be no guarantee around the timing of our share repurchases. Any failure to repurchase stock after we have announced our intention to do so, a reduction in the frequency of repurchases, or the completion of our Share Repurchase Program could have a negative effect on our reputation, investor confidence in us and our stock price.</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Class A common stock may decline below the levels at which we repurchase shares, and short-term stock price fluctuations could reduce the effectiveness of the program.</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Repurchasing our Class A common stock reduces the amount of cash we have available, and we may fail to realize the anticipated long-term stockholder value of any share repurchase program.</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and, as a result, any return on investment may be limited to the value of our stock.</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9"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30" w:lineRule="exact"/>
        <w:rPr>
          <w:sz w:val="20"/>
          <w:szCs w:val="20"/>
          <w:color w:val="auto"/>
        </w:rPr>
      </w:pPr>
    </w:p>
    <w:p>
      <w:pPr>
        <w:jc w:val="both"/>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26" w:lineRule="exact"/>
        <w:rPr>
          <w:sz w:val="20"/>
          <w:szCs w:val="20"/>
          <w:color w:val="auto"/>
        </w:rPr>
      </w:pPr>
    </w:p>
    <w:p>
      <w:pPr>
        <w:ind w:left="300" w:right="200" w:hanging="29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would result in a change in control of our company requires the approval of a majority of our outstanding Class B common stock voting as a separate class;</w:t>
      </w:r>
    </w:p>
    <w:p>
      <w:pPr>
        <w:spacing w:after="0" w:line="107" w:lineRule="exact"/>
        <w:rPr>
          <w:rFonts w:ascii="Times New Roman" w:cs="Times New Roman" w:eastAsia="Times New Roman" w:hAnsi="Times New Roman"/>
          <w:sz w:val="18"/>
          <w:szCs w:val="18"/>
          <w:color w:val="auto"/>
        </w:rPr>
      </w:pPr>
    </w:p>
    <w:p>
      <w:pPr>
        <w:ind w:left="300" w:right="120" w:hanging="292"/>
        <w:spacing w:after="0" w:line="266"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1" w:lineRule="exact"/>
        <w:rPr>
          <w:rFonts w:ascii="Times New Roman" w:cs="Times New Roman" w:eastAsia="Times New Roman" w:hAnsi="Times New Roman"/>
          <w:sz w:val="18"/>
          <w:szCs w:val="18"/>
          <w:color w:val="auto"/>
        </w:rPr>
      </w:pPr>
    </w:p>
    <w:p>
      <w:pPr>
        <w:ind w:left="300" w:right="460" w:hanging="29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300" w:right="80" w:hanging="29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our amended and restated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only be able to take action at a meeting of stockholders and may not be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able to act by written consent only if the action is first recommended or approved by the board of directors;</w:t>
      </w:r>
    </w:p>
    <w:p>
      <w:pPr>
        <w:spacing w:after="0" w:line="17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may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left="300" w:right="640" w:hanging="292"/>
        <w:spacing w:after="0" w:line="282" w:lineRule="auto"/>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the board of directors, chief executive officer or a majority of the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right="320" w:hanging="29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left="300" w:right="480" w:hanging="292"/>
        <w:spacing w:after="0" w:line="282" w:lineRule="auto"/>
        <w:tabs>
          <w:tab w:leader="none" w:pos="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 and changes to U.S. tax laws may cause us to make adjustments to our financial statements.</w:t>
      </w:r>
    </w:p>
    <w:p>
      <w:pPr>
        <w:spacing w:after="0" w:line="10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of December 31, 2024, we had U.S. federal and state net operating loss carryforwards (NOLs) of $182.3 million and $185.7 million, respectively, which if not utilized will expire in 2035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U.S. federal income taxes, and also potentially causing those tax attributes to expire unused. States may impose other limitations on the use of our NOLs. Any changes in U.S. tax laws or limitations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 For example,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continue to incur significant increased costs and management resources as a result of operating as a public company.</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compliance, insurance and other expenses that we did not incur as a private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SOX, and the related rules and regulations implemented by the SEC and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and/or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matters are subject to evolving expectations from customers, regulators, investors and other stakeholders and may expose us to reputational, cost and other risks.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Companies across all industries are subject to evolving expectations regarding ESG matters. Failure to implement the appropriate standards and practices for responsible corporate citizenship, support for local communities, employee diversity and human capital management, health and safety practices, supply chain management, and corporate governance can increase our costs of production, decrease our revenue, and negatively affect our reputation, employee retention, and the general willingness of customers and suppliers to do business with us and investors to invest in us. If we do not adapt to or comply with evolving ESG standards and regulations, the resulting consequences could have a material adverse effect on our reputation, business and financial condition.</w:t>
      </w:r>
    </w:p>
    <w:p>
      <w:pPr>
        <w:spacing w:after="0" w:line="129"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or our third-party manufacturers’ facilities become unavailable or inoperable, our research and development program and commercialization plan could be adversely impacted and manufacturing of our instruments and consumables could be interrupted.</w:t>
      </w:r>
    </w:p>
    <w:p>
      <w:pPr>
        <w:spacing w:after="0" w:line="1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Redwood City, California, facilities house our operations, including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facilities in Redwood City and those of our third-party manufacturers are vulnerable to natural disasters, public health crises, including the impact of health epidemics,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some of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our research and development program or commercialization program were disrupted by a disaster or catastrophe, the launch of new products, including the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and self-insure for earthquake risk, this insurance may not be sufficient to cover all of our potential losses and may not continue to be available to us on acceptable terms, or at all.</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vendors, partners or customers, experience a significant disruption in our information technology systems or breaches of data security, our business could be adversely affected.</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provide services, maintain quality control, fulfill customer orders, maintain corporate records, communicate with staff and external parties and operate other critical functions. Our information technology systems and those of our vendors, partners and customers are potentially vulnerable to disruption due to breakdown, malicious intrusion and computer viruses or other disruptive events, including, but not limited to, software bugs and technical errors, and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technical errors and cybersecurity attacks than if such security procedures were finalized. Despite any of our current or future efforts to protect against technical errors, cybersecurity attacks and data security breaches, there is no guarantee that our efforts are adequate to safeguard against all such errors, attacks and breaches. Moreover, it is possible that we may not be able to anticipate, detect, appropriately react and respond to, or implement effective preventative measures against, all cybersecurity incidents. In addition, our information technology strategy encompasses multi-vendor, multi-cloud infrastructure, systems and applications. We have a shared responsibility model with our information technology vendors and rely on their security measures and controls. We have not conducted a comprehensive evaluation of all vendors to understand their security postures.</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our security measures, or those of our vendors, partners and customers, are compromised due to any technical errors,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lose data or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information technology systems, and those of our vendors, partners and customers, are potentially vulnerable to data security breaches, whether by internal bad actors, such as employees or other third parties with legitimate access to our or our third-party providers’ systems, or external bad actors, which could lead to the loss or exposure of personal data, sensitive data and confidential information to unauthorized persons. Any such data security breaches could lead to the loss of trade secrets or other intellectual property, the exposure of personal information, including sensitive personal information, of our employees, customers and others, or could prevent us from accessing critical information, any of which could expose us to liability and have a material adverse effect on our business, reputation, financial condition and results of operations. Moreover, due to the inherent features and technical limitations of information technology systems and infrastructure, our products and services may be impacted by technical errors, cyberattacks or other disruptions, including efforts to penetrate our customers’ network security, sabotage or otherwise disable our instruments and services, including instruments at our customers’ sites, misappropriate our customers’ proprietary information, or cause interruptions of our or our customers’ internal operations, systems and services. Any such incidents could compromise our customers’ networks and the information stored there could be accessed, publicly disclosed, lost or stolen.</w:t>
      </w:r>
    </w:p>
    <w:p>
      <w:pPr>
        <w:spacing w:after="0" w:line="13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the California Privacy Rights Act (CPRA), which went into effect on January 1, 2023, modifies the California Consumer Privacy Act (CCPA) significantly, potentially resulting in further uncertainty and requiring us to incur additional costs and expenses in an effort to comply. The CPRA restricts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took effect on January 1, 2023, on June 8, 2021, Colorado enacted the Colorado Privacy Act, or CPA, which took effect on July 1, 2023, and on March 24, 2022, Utah enacted the Utah Consumer Privacy Act, or UCPA, which took effect on December 31, 2023; and on May 10, 2022, Connecticut enacted the Connecticut Data Privacy Act, or CTDPA, which took effect on July 1, 2023. The CPA, CDPA, UCPA, and CTDPA share similarities with and differences from the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3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international and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international and domestic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CCPA, which increases privacy rights for California residents and imposes obligations on companies that process their personal information, came into effect on January 1, 2020, and the CPRA, which increases such rights and responsibilities, came into effect on January 1, 2023.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adopted and train our employees and applicable consultants on our policies related to the collection, processing, and storage of information, including personal data of employees and scientific data of customers. From time to time, we have and may conduct internal and external audits to assess our ability, and comment on our vendors’ ability, to comply with evolving compliance and operational requirements, which could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including GDPR,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month-to-month summary of information with respect to purchases of common stock made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(in</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thousands) of</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40" w:type="dxa"/>
            <w:vAlign w:val="bottom"/>
          </w:tcPr>
          <w:p>
            <w:pPr>
              <w:spacing w:after="0"/>
              <w:rPr>
                <w:sz w:val="16"/>
                <w:szCs w:val="16"/>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5680" w:type="dxa"/>
            <w:vAlign w:val="bottom"/>
            <w:vMerge w:val="restart"/>
          </w:tcPr>
          <w:p>
            <w:pPr>
              <w:ind w:left="26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40" w:type="dxa"/>
            <w:vAlign w:val="bottom"/>
          </w:tcPr>
          <w:p>
            <w:pPr>
              <w:spacing w:after="0"/>
              <w:rPr>
                <w:sz w:val="12"/>
                <w:szCs w:val="12"/>
                <w:color w:val="auto"/>
              </w:rPr>
            </w:pPr>
          </w:p>
        </w:tc>
        <w:tc>
          <w:tcPr>
            <w:tcW w:w="12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35"/>
        </w:trPr>
        <w:tc>
          <w:tcPr>
            <w:tcW w:w="5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(2)</w:t>
            </w:r>
          </w:p>
        </w:tc>
        <w:tc>
          <w:tcPr>
            <w:tcW w:w="220" w:type="dxa"/>
            <w:vAlign w:val="bottom"/>
          </w:tcPr>
          <w:p>
            <w:pPr>
              <w:spacing w:after="0"/>
              <w:rPr>
                <w:sz w:val="11"/>
                <w:szCs w:val="11"/>
                <w:color w:val="auto"/>
              </w:rPr>
            </w:pPr>
          </w:p>
        </w:tc>
        <w:tc>
          <w:tcPr>
            <w:tcW w:w="120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or Programs </w:t>
            </w:r>
            <w:r>
              <w:rPr>
                <w:rFonts w:ascii="Times New Roman" w:cs="Times New Roman" w:eastAsia="Times New Roman" w:hAnsi="Times New Roman"/>
                <w:sz w:val="15"/>
                <w:szCs w:val="15"/>
                <w:b w:val="1"/>
                <w:bCs w:val="1"/>
                <w:color w:val="auto"/>
                <w:vertAlign w:val="superscript"/>
              </w:rPr>
              <w:t>(3)</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41"/>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or Programs </w:t>
            </w:r>
            <w:r>
              <w:rPr>
                <w:rFonts w:ascii="Times New Roman" w:cs="Times New Roman" w:eastAsia="Times New Roman" w:hAnsi="Times New Roman"/>
                <w:sz w:val="15"/>
                <w:szCs w:val="15"/>
                <w:b w:val="1"/>
                <w:bCs w:val="1"/>
                <w:color w:val="auto"/>
                <w:vertAlign w:val="superscript"/>
              </w:rPr>
              <w:t>(3)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January 31</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March 31</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352,000</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352,000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3" w:lineRule="exact"/>
        <w:rPr>
          <w:sz w:val="20"/>
          <w:szCs w:val="20"/>
          <w:color w:val="auto"/>
        </w:rPr>
      </w:pPr>
    </w:p>
    <w:p>
      <w:pPr>
        <w:ind w:left="300" w:hanging="292"/>
        <w:spacing w:after="0"/>
        <w:tabs>
          <w:tab w:leader="none" w:pos="30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shares of common stock were retired upon repurchase.</w:t>
      </w:r>
    </w:p>
    <w:p>
      <w:pPr>
        <w:spacing w:after="0" w:line="16" w:lineRule="exact"/>
        <w:rPr>
          <w:rFonts w:ascii="Times New Roman" w:cs="Times New Roman" w:eastAsia="Times New Roman" w:hAnsi="Times New Roman"/>
          <w:sz w:val="19"/>
          <w:szCs w:val="19"/>
          <w:color w:val="auto"/>
          <w:vertAlign w:val="superscript"/>
        </w:rPr>
      </w:pPr>
    </w:p>
    <w:p>
      <w:pPr>
        <w:ind w:left="300" w:hanging="292"/>
        <w:spacing w:after="0" w:line="189" w:lineRule="auto"/>
        <w:tabs>
          <w:tab w:leader="none" w:pos="30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is calculated on a settlement basis and excludes broker commissions and excise tax.</w:t>
      </w:r>
    </w:p>
    <w:p>
      <w:pPr>
        <w:spacing w:after="0" w:line="3" w:lineRule="exact"/>
        <w:rPr>
          <w:rFonts w:ascii="Times New Roman" w:cs="Times New Roman" w:eastAsia="Times New Roman" w:hAnsi="Times New Roman"/>
          <w:sz w:val="19"/>
          <w:szCs w:val="19"/>
          <w:color w:val="auto"/>
          <w:vertAlign w:val="superscript"/>
        </w:rPr>
      </w:pPr>
    </w:p>
    <w:p>
      <w:pPr>
        <w:ind w:left="300" w:right="400" w:hanging="292"/>
        <w:spacing w:after="0" w:line="202" w:lineRule="auto"/>
        <w:tabs>
          <w:tab w:leader="none" w:pos="30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May 3, 2024, the Company’s Board of Directors approved the Share Repurchase Program under which the Company is authorized to purchase up to $25.0 million of its issued and outstanding Class A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directors or officers, as defined in Rule 16a-1(f) under the Exchange Act, adopted, modified and/or terminated a “Rule 10b5-1 trading arrangement” or “non-Rule 10b5-1 trading arrangement,”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gridSpan w:val="9"/>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479"/>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4"/>
                <w:szCs w:val="24"/>
                <w:color w:val="auto"/>
              </w:rPr>
            </w:pPr>
          </w:p>
        </w:tc>
        <w:tc>
          <w:tcPr>
            <w:tcW w:w="5180" w:type="dxa"/>
            <w:vAlign w:val="bottom"/>
            <w:tcBorders>
              <w:bottom w:val="single" w:sz="8" w:color="0000FF"/>
            </w:tcBorders>
            <w:gridSpan w:val="7"/>
          </w:tcPr>
          <w:p>
            <w:pPr>
              <w:spacing w:after="0"/>
              <w:rPr>
                <w:rFonts w:ascii="Times New Roman" w:cs="Times New Roman" w:eastAsia="Times New Roman" w:hAnsi="Times New Roman"/>
                <w:sz w:val="17"/>
                <w:szCs w:val="17"/>
                <w:color w:val="0000FF"/>
              </w:rPr>
            </w:pPr>
            <w:hyperlink r:id="rId293">
              <w:r>
                <w:rPr>
                  <w:rFonts w:ascii="Times New Roman" w:cs="Times New Roman" w:eastAsia="Times New Roman" w:hAnsi="Times New Roman"/>
                  <w:sz w:val="17"/>
                  <w:szCs w:val="17"/>
                  <w:color w:val="0000FF"/>
                </w:rPr>
                <w:t>Outside Director Compensation Policy (as amended on February 26, 2025).</w:t>
              </w:r>
            </w:hyperlink>
          </w:p>
        </w:tc>
        <w:tc>
          <w:tcPr>
            <w:tcW w:w="20" w:type="dxa"/>
            <w:vAlign w:val="bottom"/>
            <w:tcBorders>
              <w:bottom w:val="single" w:sz="8" w:color="0000EE"/>
            </w:tcBorders>
          </w:tcPr>
          <w:p>
            <w:pPr>
              <w:spacing w:after="0"/>
              <w:rPr>
                <w:sz w:val="24"/>
                <w:szCs w:val="24"/>
                <w:color w:val="auto"/>
              </w:rPr>
            </w:pPr>
          </w:p>
        </w:tc>
        <w:tc>
          <w:tcPr>
            <w:tcW w:w="80" w:type="dxa"/>
            <w:vAlign w:val="bottom"/>
            <w:gridSpan w:val="3"/>
          </w:tcPr>
          <w:p>
            <w:pPr>
              <w:spacing w:after="0"/>
              <w:rPr>
                <w:sz w:val="24"/>
                <w:szCs w:val="24"/>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10-K</w:t>
            </w:r>
          </w:p>
        </w:tc>
        <w:tc>
          <w:tcPr>
            <w:tcW w:w="1380" w:type="dxa"/>
            <w:vAlign w:val="bottom"/>
          </w:tcPr>
          <w:p>
            <w:pPr>
              <w:jc w:val="right"/>
              <w:ind w:right="221"/>
              <w:spacing w:after="0"/>
              <w:rPr>
                <w:sz w:val="20"/>
                <w:szCs w:val="20"/>
                <w:color w:val="auto"/>
              </w:rPr>
            </w:pPr>
            <w:r>
              <w:rPr>
                <w:rFonts w:ascii="Times New Roman" w:cs="Times New Roman" w:eastAsia="Times New Roman" w:hAnsi="Times New Roman"/>
                <w:sz w:val="17"/>
                <w:szCs w:val="17"/>
                <w:color w:val="auto"/>
              </w:rPr>
              <w:t>001-39747</w:t>
            </w:r>
          </w:p>
        </w:tc>
        <w:tc>
          <w:tcPr>
            <w:tcW w:w="1120" w:type="dxa"/>
            <w:vAlign w:val="bottom"/>
          </w:tcPr>
          <w:p>
            <w:pPr>
              <w:jc w:val="right"/>
              <w:ind w:right="301"/>
              <w:spacing w:after="0"/>
              <w:rPr>
                <w:sz w:val="20"/>
                <w:szCs w:val="20"/>
                <w:color w:val="auto"/>
              </w:rPr>
            </w:pPr>
            <w:r>
              <w:rPr>
                <w:rFonts w:ascii="Times New Roman" w:cs="Times New Roman" w:eastAsia="Times New Roman" w:hAnsi="Times New Roman"/>
                <w:sz w:val="17"/>
                <w:szCs w:val="17"/>
                <w:color w:val="auto"/>
              </w:rPr>
              <w:t>10.12</w:t>
            </w: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9"/>
              </w:rPr>
              <w:t>3/3/2025</w:t>
            </w: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4"/>
                <w:szCs w:val="24"/>
                <w:color w:val="auto"/>
              </w:rPr>
            </w:pPr>
          </w:p>
        </w:tc>
        <w:tc>
          <w:tcPr>
            <w:tcW w:w="5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8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11"/>
          </w:tcPr>
          <w:p>
            <w:pPr>
              <w:spacing w:after="0" w:line="183"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4"/>
                <w:szCs w:val="24"/>
                <w:color w:val="auto"/>
              </w:rPr>
            </w:pPr>
          </w:p>
        </w:tc>
        <w:tc>
          <w:tcPr>
            <w:tcW w:w="5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w:t>
            </w:r>
          </w:p>
        </w:tc>
        <w:tc>
          <w:tcPr>
            <w:tcW w:w="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80" w:type="dxa"/>
            <w:vAlign w:val="bottom"/>
            <w:gridSpan w:val="3"/>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80" w:type="dxa"/>
            <w:vAlign w:val="bottom"/>
            <w:gridSpan w:val="11"/>
          </w:tcPr>
          <w:p>
            <w:pPr>
              <w:spacing w:after="0" w:line="183" w:lineRule="exact"/>
              <w:rPr>
                <w:sz w:val="20"/>
                <w:szCs w:val="20"/>
                <w:color w:val="auto"/>
              </w:rPr>
            </w:pPr>
            <w:r>
              <w:rPr>
                <w:rFonts w:ascii="Times New Roman" w:cs="Times New Roman" w:eastAsia="Times New Roman" w:hAnsi="Times New Roman"/>
                <w:sz w:val="17"/>
                <w:szCs w:val="17"/>
                <w:color w:val="0000FF"/>
              </w:rPr>
              <w:t>to Section 302 of the Sarbanes-Oxley Act of 2002.</w:t>
            </w: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4"/>
                <w:szCs w:val="24"/>
                <w:color w:val="auto"/>
              </w:rPr>
            </w:pPr>
          </w:p>
        </w:tc>
        <w:tc>
          <w:tcPr>
            <w:tcW w:w="5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w:t>
            </w:r>
          </w:p>
        </w:tc>
        <w:tc>
          <w:tcPr>
            <w:tcW w:w="18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32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7"/>
                <w:szCs w:val="17"/>
                <w:color w:val="0000FF"/>
                <w:w w:val="93"/>
              </w:rPr>
              <w:t>2002.</w:t>
            </w:r>
          </w:p>
        </w:tc>
        <w:tc>
          <w:tcPr>
            <w:tcW w:w="20" w:type="dxa"/>
            <w:vAlign w:val="bottom"/>
            <w:tcBorders>
              <w:bottom w:val="single" w:sz="8" w:color="0000EE"/>
            </w:tcBorders>
          </w:tcPr>
          <w:p>
            <w:pPr>
              <w:spacing w:after="0"/>
              <w:rPr>
                <w:sz w:val="15"/>
                <w:szCs w:val="15"/>
                <w:color w:val="auto"/>
              </w:rPr>
            </w:pPr>
          </w:p>
        </w:tc>
        <w:tc>
          <w:tcPr>
            <w:tcW w:w="3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4"/>
                <w:szCs w:val="24"/>
                <w:color w:val="auto"/>
              </w:rPr>
            </w:pPr>
          </w:p>
        </w:tc>
        <w:tc>
          <w:tcPr>
            <w:tcW w:w="5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w:t>
            </w:r>
          </w:p>
        </w:tc>
        <w:tc>
          <w:tcPr>
            <w:tcW w:w="22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jc w:val="center"/>
              <w:ind w:left="257"/>
              <w:spacing w:after="0"/>
              <w:rPr>
                <w:sz w:val="20"/>
                <w:szCs w:val="20"/>
                <w:color w:val="auto"/>
              </w:rPr>
            </w:pPr>
            <w:r>
              <w:rPr>
                <w:rFonts w:ascii="Times New Roman" w:cs="Times New Roman" w:eastAsia="Times New Roman" w:hAnsi="Times New Roman"/>
                <w:sz w:val="17"/>
                <w:szCs w:val="17"/>
                <w:color w:val="auto"/>
                <w:w w:val="93"/>
              </w:rPr>
              <w:t>*</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320" w:type="dxa"/>
            <w:vAlign w:val="bottom"/>
            <w:gridSpan w:val="7"/>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7"/>
                <w:szCs w:val="17"/>
                <w:color w:val="0000FF"/>
                <w:w w:val="93"/>
              </w:rPr>
              <w:t>2002.</w:t>
            </w:r>
          </w:p>
        </w:tc>
        <w:tc>
          <w:tcPr>
            <w:tcW w:w="20" w:type="dxa"/>
            <w:vAlign w:val="bottom"/>
            <w:tcBorders>
              <w:bottom w:val="single" w:sz="8" w:color="0000EE"/>
            </w:tcBorders>
          </w:tcPr>
          <w:p>
            <w:pPr>
              <w:spacing w:after="0"/>
              <w:rPr>
                <w:sz w:val="15"/>
                <w:szCs w:val="15"/>
                <w:color w:val="auto"/>
              </w:rPr>
            </w:pPr>
          </w:p>
        </w:tc>
        <w:tc>
          <w:tcPr>
            <w:tcW w:w="3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423"/>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101.INS</w:t>
            </w:r>
          </w:p>
        </w:tc>
        <w:tc>
          <w:tcPr>
            <w:tcW w:w="1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1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 With Embedded</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2"/>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Linkbase Documents</w:t>
            </w:r>
          </w:p>
        </w:tc>
        <w:tc>
          <w:tcPr>
            <w:tcW w:w="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183" w:lineRule="exact"/>
        <w:rPr>
          <w:sz w:val="20"/>
          <w:szCs w:val="20"/>
          <w:color w:val="auto"/>
        </w:rPr>
      </w:pPr>
    </w:p>
    <w:p>
      <w:pPr>
        <w:jc w:val="both"/>
        <w:ind w:left="1220" w:right="4720" w:hanging="787"/>
        <w:spacing w:after="0" w:line="265" w:lineRule="auto"/>
        <w:tabs>
          <w:tab w:leader="none" w:pos="122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Inline XBRL document.</w:t>
      </w:r>
    </w:p>
    <w:p>
      <w:pPr>
        <w:spacing w:after="0" w:line="107" w:lineRule="exact"/>
        <w:rPr>
          <w:rFonts w:ascii="Times New Roman" w:cs="Times New Roman" w:eastAsia="Times New Roman" w:hAnsi="Times New Roman"/>
          <w:sz w:val="17"/>
          <w:szCs w:val="17"/>
          <w:color w:val="auto"/>
        </w:rPr>
      </w:pPr>
    </w:p>
    <w:p>
      <w:pPr>
        <w:ind w:left="120" w:hanging="112"/>
        <w:spacing w:after="0"/>
        <w:tabs>
          <w:tab w:leader="none" w:pos="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90309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ind w:firstLine="8"/>
        <w:spacing w:after="0" w:line="221" w:lineRule="auto"/>
        <w:tabs>
          <w:tab w:leader="none" w:pos="10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337" w:lineRule="exact"/>
        <w:rPr>
          <w:sz w:val="20"/>
          <w:szCs w:val="20"/>
          <w:color w:val="auto"/>
        </w:rPr>
      </w:pPr>
    </w:p>
    <w:p>
      <w:pPr>
        <w:ind w:left="60"/>
        <w:spacing w:after="0"/>
        <w:tabs>
          <w:tab w:leader="none" w:pos="5760" w:val="left"/>
          <w:tab w:leader="none" w:pos="6340" w:val="left"/>
        </w:tabs>
        <w:rPr>
          <w:sz w:val="20"/>
          <w:szCs w:val="20"/>
          <w:color w:val="auto"/>
        </w:rPr>
      </w:pPr>
      <w:r>
        <w:rPr>
          <w:rFonts w:ascii="Times New Roman" w:cs="Times New Roman" w:eastAsia="Times New Roman" w:hAnsi="Times New Roman"/>
          <w:sz w:val="18"/>
          <w:szCs w:val="18"/>
          <w:color w:val="auto"/>
        </w:rPr>
        <w:t>Date: May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Omid Farokhzad, M.D.</w:t>
      </w:r>
    </w:p>
    <w:p>
      <w:pPr>
        <w:spacing w:after="0" w:line="5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-127635</wp:posOffset>
            </wp:positionV>
            <wp:extent cx="298323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Chair of the Board of Directors</w:t>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ind w:left="60"/>
        <w:spacing w:after="0"/>
        <w:tabs>
          <w:tab w:leader="none" w:pos="5760" w:val="left"/>
          <w:tab w:leader="none" w:pos="6340" w:val="left"/>
        </w:tabs>
        <w:rPr>
          <w:sz w:val="20"/>
          <w:szCs w:val="20"/>
          <w:color w:val="auto"/>
        </w:rPr>
      </w:pPr>
      <w:r>
        <w:rPr>
          <w:rFonts w:ascii="Times New Roman" w:cs="Times New Roman" w:eastAsia="Times New Roman" w:hAnsi="Times New Roman"/>
          <w:sz w:val="18"/>
          <w:szCs w:val="18"/>
          <w:color w:val="auto"/>
        </w:rPr>
        <w:t>Date: May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Horn</w:t>
      </w:r>
    </w:p>
    <w:p>
      <w:pPr>
        <w:spacing w:after="0" w:line="5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-127635</wp:posOffset>
            </wp:positionV>
            <wp:extent cx="29832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4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Omid Farokhzad, certify that:</w:t>
      </w:r>
    </w:p>
    <w:p>
      <w:pPr>
        <w:spacing w:after="0" w:line="212"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Seer, Inc.;</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ind w:left="1140" w:right="62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218"/>
        </w:trPr>
        <w:tc>
          <w:tcPr>
            <w:tcW w:w="540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Omid Farokhzad</w:t>
            </w:r>
          </w:p>
        </w:tc>
        <w:tc>
          <w:tcPr>
            <w:tcW w:w="4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54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43"/>
        </w:trPr>
        <w:tc>
          <w:tcPr>
            <w:tcW w:w="5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Horn, certify that:</w:t>
      </w:r>
    </w:p>
    <w:p>
      <w:pPr>
        <w:spacing w:after="0" w:line="212"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Seer, Inc.;</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ind w:left="1140" w:right="62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By: /s/ David Horn</w:t>
            </w:r>
          </w:p>
        </w:tc>
        <w:tc>
          <w:tcPr>
            <w:tcW w:w="4240" w:type="dxa"/>
            <w:vAlign w:val="bottom"/>
          </w:tcPr>
          <w:p>
            <w:pPr>
              <w:spacing w:after="0"/>
              <w:rPr>
                <w:sz w:val="17"/>
                <w:szCs w:val="17"/>
                <w:color w:val="auto"/>
              </w:rPr>
            </w:pPr>
          </w:p>
        </w:tc>
      </w:tr>
      <w:tr>
        <w:trPr>
          <w:trHeight w:val="218"/>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Horn</w:t>
            </w:r>
          </w:p>
        </w:tc>
      </w:tr>
      <w:tr>
        <w:trPr>
          <w:trHeight w:val="216"/>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2275"/>
        </w:trPr>
        <w:tc>
          <w:tcPr>
            <w:tcW w:w="5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Seer, Inc. (the “Company”) on Form 10-Q for the period ended March 31, 2025 as filed with the Securities and Exchange Commission on the date hereof (the “Report”), I, Omid Farokhzad, hereby certify, pursuant to 18 U.S.C. § 1350, as adopted pursuant to § 906 of the Sarbanes-Oxley Act of 2002, that:</w:t>
      </w:r>
    </w:p>
    <w:p>
      <w:pPr>
        <w:spacing w:after="0" w:line="162"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Omid Farokhzad</w:t>
            </w:r>
          </w:p>
        </w:tc>
      </w:tr>
      <w:tr>
        <w:trPr>
          <w:trHeight w:val="218"/>
        </w:trPr>
        <w:tc>
          <w:tcPr>
            <w:tcW w:w="5400" w:type="dxa"/>
            <w:vAlign w:val="bottom"/>
          </w:tcPr>
          <w:p>
            <w:pPr>
              <w:spacing w:after="0"/>
              <w:rPr>
                <w:sz w:val="18"/>
                <w:szCs w:val="18"/>
                <w:color w:val="auto"/>
              </w:rPr>
            </w:pP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Omid Farokhzad</w:t>
            </w:r>
          </w:p>
        </w:tc>
        <w:tc>
          <w:tcPr>
            <w:tcW w:w="4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540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54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4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Seer, Inc. (the “Company”) on Form 10-Q for the period ended March 31, 2025 as filed with the Securities and Exchange Commission on the date hereof (the “Report”), I, David Horn, hereby certify, pursuant to 18 U.S.C. § 1350, as adopted pursuant to §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2025</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By: /s/ David Horn</w:t>
            </w:r>
          </w:p>
        </w:tc>
        <w:tc>
          <w:tcPr>
            <w:tcW w:w="4240" w:type="dxa"/>
            <w:vAlign w:val="bottom"/>
          </w:tcPr>
          <w:p>
            <w:pPr>
              <w:spacing w:after="0"/>
              <w:rPr>
                <w:sz w:val="17"/>
                <w:szCs w:val="17"/>
                <w:color w:val="auto"/>
              </w:rPr>
            </w:pPr>
          </w:p>
        </w:tc>
      </w:tr>
      <w:tr>
        <w:trPr>
          <w:trHeight w:val="218"/>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Horn</w:t>
            </w:r>
          </w:p>
        </w:tc>
      </w:tr>
      <w:tr>
        <w:trPr>
          <w:trHeight w:val="216"/>
        </w:trPr>
        <w:tc>
          <w:tcPr>
            <w:tcW w:w="56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r>
      <w:tr>
        <w:trPr>
          <w:trHeight w:val="1627"/>
        </w:trPr>
        <w:tc>
          <w:tcPr>
            <w:tcW w:w="56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upperLetter"/>
      <w:start w:val="24"/>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6"/>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7"/>
    </w:lvl>
  </w:abstractNum>
  <w:abstractNum w:abstractNumId="11">
    <w:nsid w:val="8138641"/>
    <w:multiLevelType w:val="hybridMultilevel"/>
    <w:lvl w:ilvl="0">
      <w:lvlJc w:val="left"/>
      <w:lvlText w:val="%1."/>
      <w:numFmt w:val="decimal"/>
      <w:start w:val="8"/>
    </w:lvl>
  </w:abstractNum>
  <w:abstractNum w:abstractNumId="12">
    <w:nsid w:val="1E7FF521"/>
    <w:multiLevelType w:val="hybridMultilevel"/>
    <w:lvl w:ilvl="0">
      <w:lvlJc w:val="left"/>
      <w:lvlText w:val="%1."/>
      <w:numFmt w:val="decimal"/>
      <w:start w:val="9"/>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
      <w:numFmt w:val="bullet"/>
      <w:start w:val="1"/>
    </w:lvl>
    <w:lvl w:ilvl="1">
      <w:lvlJc w:val="left"/>
      <w:lvlText w:val="%2"/>
      <w:numFmt w:val="decimal"/>
      <w:start w:val="104"/>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293" Type="http://schemas.openxmlformats.org/officeDocument/2006/relationships/hyperlink" Target="https://www.sec.gov/Archives/edgar/data/1726445/000095017025030878/ck0001726445-ex10_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2025-05-13T15:56:07Z</dcterms:created>
  <dcterms:modified xsi:type="dcterms:W3CDTF">2025-05-13T15:56:07Z</dcterms:modified>
</cp:coreProperties>
</file>