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7920" w:type="dxa"/>
            <w:vAlign w:val="bottom"/>
            <w:gridSpan w:val="8"/>
          </w:tcPr>
          <w:p>
            <w:pPr>
              <w:jc w:val="center"/>
              <w:ind w:right="3244"/>
              <w:spacing w:after="0"/>
              <w:rPr>
                <w:sz w:val="20"/>
                <w:szCs w:val="20"/>
                <w:color w:val="auto"/>
              </w:rPr>
            </w:pPr>
            <w:r>
              <w:rPr>
                <w:rFonts w:ascii="Arial" w:cs="Arial" w:eastAsia="Arial" w:hAnsi="Arial"/>
                <w:sz w:val="16"/>
                <w:szCs w:val="16"/>
                <w:color w:val="auto"/>
                <w:w w:val="92"/>
              </w:rPr>
              <w:t>For the transition period from _______________ to _______________</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6"/>
                <w:szCs w:val="16"/>
                <w:color w:val="auto"/>
                <w:w w:val="93"/>
              </w:rPr>
              <w:t>Commission file number 001-39747</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0"/>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40"/>
              <w:spacing w:after="0"/>
              <w:rPr>
                <w:sz w:val="20"/>
                <w:szCs w:val="20"/>
                <w:color w:val="auto"/>
              </w:rPr>
            </w:pPr>
            <w:r>
              <w:rPr>
                <w:rFonts w:ascii="Arial" w:cs="Arial" w:eastAsia="Arial" w:hAnsi="Arial"/>
                <w:sz w:val="40"/>
                <w:szCs w:val="40"/>
                <w:b w:val="1"/>
                <w:bCs w:val="1"/>
                <w:color w:val="auto"/>
                <w:w w:val="97"/>
              </w:rPr>
              <w:t>SEER,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20" w:type="dxa"/>
            <w:vAlign w:val="bottom"/>
            <w:vMerge w:val="restart"/>
          </w:tcPr>
          <w:p>
            <w:pPr>
              <w:jc w:val="center"/>
              <w:ind w:left="345"/>
              <w:spacing w:after="0"/>
              <w:rPr>
                <w:sz w:val="20"/>
                <w:szCs w:val="20"/>
                <w:color w:val="auto"/>
              </w:rPr>
            </w:pPr>
            <w:r>
              <w:rPr>
                <w:rFonts w:ascii="Arial" w:cs="Arial" w:eastAsia="Arial" w:hAnsi="Arial"/>
                <w:sz w:val="14"/>
                <w:szCs w:val="14"/>
                <w:b w:val="1"/>
                <w:bCs w:val="1"/>
                <w:color w:val="auto"/>
                <w:w w:val="94"/>
              </w:rPr>
              <w:t>Delaware</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vMerge w:val="restart"/>
          </w:tcPr>
          <w:p>
            <w:pPr>
              <w:jc w:val="right"/>
              <w:ind w:right="1464"/>
              <w:spacing w:after="0"/>
              <w:rPr>
                <w:sz w:val="20"/>
                <w:szCs w:val="20"/>
                <w:color w:val="auto"/>
              </w:rPr>
            </w:pPr>
            <w:r>
              <w:rPr>
                <w:rFonts w:ascii="Arial" w:cs="Arial" w:eastAsia="Arial" w:hAnsi="Arial"/>
                <w:sz w:val="14"/>
                <w:szCs w:val="14"/>
                <w:b w:val="1"/>
                <w:bCs w:val="1"/>
                <w:color w:val="auto"/>
              </w:rPr>
              <w:t>82-1153150</w:t>
            </w:r>
          </w:p>
        </w:tc>
        <w:tc>
          <w:tcPr>
            <w:tcW w:w="0" w:type="dxa"/>
            <w:vAlign w:val="bottom"/>
          </w:tcPr>
          <w:p>
            <w:pPr>
              <w:spacing w:after="0"/>
              <w:rPr>
                <w:sz w:val="1"/>
                <w:szCs w:val="1"/>
                <w:color w:val="auto"/>
              </w:rPr>
            </w:pPr>
          </w:p>
        </w:tc>
      </w:tr>
      <w:tr>
        <w:trPr>
          <w:trHeight w:val="454"/>
        </w:trPr>
        <w:tc>
          <w:tcPr>
            <w:tcW w:w="33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20" w:type="dxa"/>
            <w:vAlign w:val="bottom"/>
          </w:tcPr>
          <w:p>
            <w:pPr>
              <w:jc w:val="center"/>
              <w:ind w:left="365"/>
              <w:spacing w:after="0"/>
              <w:rPr>
                <w:sz w:val="20"/>
                <w:szCs w:val="20"/>
                <w:color w:val="auto"/>
              </w:rPr>
            </w:pPr>
            <w:r>
              <w:rPr>
                <w:rFonts w:ascii="Arial" w:cs="Arial" w:eastAsia="Arial" w:hAnsi="Arial"/>
                <w:sz w:val="14"/>
                <w:szCs w:val="14"/>
                <w:b w:val="1"/>
                <w:bCs w:val="1"/>
                <w:color w:val="auto"/>
                <w:w w:val="93"/>
              </w:rPr>
              <w:t>(State or other jurisdiction of incorporation or</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6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320" w:type="dxa"/>
            <w:vAlign w:val="bottom"/>
          </w:tcPr>
          <w:p>
            <w:pPr>
              <w:jc w:val="center"/>
              <w:ind w:left="345"/>
              <w:spacing w:after="0"/>
              <w:rPr>
                <w:sz w:val="20"/>
                <w:szCs w:val="20"/>
                <w:color w:val="auto"/>
              </w:rPr>
            </w:pPr>
            <w:r>
              <w:rPr>
                <w:rFonts w:ascii="Arial" w:cs="Arial" w:eastAsia="Arial" w:hAnsi="Arial"/>
                <w:sz w:val="14"/>
                <w:szCs w:val="14"/>
                <w:b w:val="1"/>
                <w:bCs w:val="1"/>
                <w:color w:val="auto"/>
                <w:w w:val="93"/>
              </w:rPr>
              <w:t>organization)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3800 Bridge Parkway, Suite 102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Redwood City, California 94065</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820" w:type="dxa"/>
            <w:vAlign w:val="bottom"/>
            <w:gridSpan w:val="4"/>
          </w:tcPr>
          <w:p>
            <w:pPr>
              <w:jc w:val="center"/>
              <w:ind w:left="724"/>
              <w:spacing w:after="0"/>
              <w:rPr>
                <w:sz w:val="20"/>
                <w:szCs w:val="20"/>
                <w:color w:val="auto"/>
              </w:rPr>
            </w:pPr>
            <w:r>
              <w:rPr>
                <w:rFonts w:ascii="Arial" w:cs="Arial" w:eastAsia="Arial" w:hAnsi="Arial"/>
                <w:sz w:val="14"/>
                <w:szCs w:val="14"/>
                <w:b w:val="1"/>
                <w:bCs w:val="1"/>
                <w:color w:val="auto"/>
                <w:w w:val="94"/>
              </w:rPr>
              <w:t>650-453-0000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2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7"/>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gridSpan w:val="6"/>
          </w:tcPr>
          <w:p>
            <w:pPr>
              <w:jc w:val="center"/>
              <w:ind w:right="30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60"/>
              <w:spacing w:after="0"/>
              <w:rPr>
                <w:sz w:val="20"/>
                <w:szCs w:val="20"/>
                <w:color w:val="auto"/>
              </w:rPr>
            </w:pPr>
            <w:r>
              <w:rPr>
                <w:rFonts w:ascii="Arial" w:cs="Arial" w:eastAsia="Arial" w:hAnsi="Arial"/>
                <w:sz w:val="16"/>
                <w:szCs w:val="16"/>
                <w:i w:val="1"/>
                <w:iCs w:val="1"/>
                <w:color w:val="auto"/>
                <w:w w:val="94"/>
              </w:rPr>
              <w:t>Copies to:</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auto"/>
            </w:tcBorders>
          </w:tcPr>
          <w:p>
            <w:pPr>
              <w:jc w:val="center"/>
              <w:ind w:left="585"/>
              <w:spacing w:after="0"/>
              <w:rPr>
                <w:sz w:val="20"/>
                <w:szCs w:val="20"/>
                <w:color w:val="auto"/>
              </w:rPr>
            </w:pPr>
            <w:r>
              <w:rPr>
                <w:rFonts w:ascii="Arial" w:cs="Arial" w:eastAsia="Arial" w:hAnsi="Arial"/>
                <w:sz w:val="16"/>
                <w:szCs w:val="16"/>
                <w:b w:val="1"/>
                <w:bCs w:val="1"/>
                <w:color w:val="auto"/>
                <w:w w:val="88"/>
              </w:rPr>
              <w:t>Title of each class</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1"/>
              </w:rPr>
              <w:t>Trading Symbol(s)</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tcPr>
          <w:p>
            <w:pPr>
              <w:jc w:val="center"/>
              <w:ind w:right="244"/>
              <w:spacing w:after="0"/>
              <w:rPr>
                <w:sz w:val="20"/>
                <w:szCs w:val="20"/>
                <w:color w:val="auto"/>
              </w:rPr>
            </w:pPr>
            <w:r>
              <w:rPr>
                <w:rFonts w:ascii="Arial" w:cs="Arial" w:eastAsia="Arial" w:hAnsi="Arial"/>
                <w:sz w:val="16"/>
                <w:szCs w:val="16"/>
                <w:b w:val="1"/>
                <w:bCs w:val="1"/>
                <w:color w:val="auto"/>
                <w:w w:val="90"/>
              </w:rPr>
              <w:t>Name of Exchange on which registered</w:t>
            </w:r>
          </w:p>
        </w:tc>
        <w:tc>
          <w:tcPr>
            <w:tcW w:w="0" w:type="dxa"/>
            <w:vAlign w:val="bottom"/>
          </w:tcPr>
          <w:p>
            <w:pPr>
              <w:spacing w:after="0"/>
              <w:rPr>
                <w:sz w:val="1"/>
                <w:szCs w:val="1"/>
                <w:color w:val="auto"/>
              </w:rPr>
            </w:pPr>
          </w:p>
        </w:tc>
      </w:tr>
      <w:tr>
        <w:trPr>
          <w:trHeight w:val="224"/>
        </w:trPr>
        <w:tc>
          <w:tcPr>
            <w:tcW w:w="3320" w:type="dxa"/>
            <w:vAlign w:val="bottom"/>
          </w:tcPr>
          <w:p>
            <w:pPr>
              <w:jc w:val="center"/>
              <w:ind w:left="585"/>
              <w:spacing w:after="0"/>
              <w:rPr>
                <w:sz w:val="20"/>
                <w:szCs w:val="20"/>
                <w:color w:val="auto"/>
              </w:rPr>
            </w:pPr>
            <w:r>
              <w:rPr>
                <w:rFonts w:ascii="Arial" w:cs="Arial" w:eastAsia="Arial" w:hAnsi="Arial"/>
                <w:sz w:val="16"/>
                <w:szCs w:val="16"/>
                <w:color w:val="auto"/>
                <w:w w:val="91"/>
              </w:rPr>
              <w:t>Common Stock, par value $0.00001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gridSpan w:val="4"/>
            <w:vMerge w:val="restart"/>
          </w:tcPr>
          <w:p>
            <w:pPr>
              <w:jc w:val="center"/>
              <w:ind w:right="460"/>
              <w:spacing w:after="0"/>
              <w:rPr>
                <w:sz w:val="20"/>
                <w:szCs w:val="20"/>
                <w:color w:val="auto"/>
              </w:rPr>
            </w:pPr>
            <w:r>
              <w:rPr>
                <w:rFonts w:ascii="Arial" w:cs="Arial" w:eastAsia="Arial" w:hAnsi="Arial"/>
                <w:sz w:val="16"/>
                <w:szCs w:val="16"/>
                <w:color w:val="auto"/>
                <w:w w:val="91"/>
              </w:rPr>
              <w:t>SEER</w:t>
            </w:r>
          </w:p>
        </w:tc>
        <w:tc>
          <w:tcPr>
            <w:tcW w:w="3660" w:type="dxa"/>
            <w:vAlign w:val="bottom"/>
            <w:vMerge w:val="restart"/>
          </w:tcPr>
          <w:p>
            <w:pPr>
              <w:jc w:val="center"/>
              <w:ind w:right="244"/>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gridSpan w:val="4"/>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45"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17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500" w:type="dxa"/>
            <w:vAlign w:val="bottom"/>
          </w:tcPr>
          <w:p>
            <w:pPr>
              <w:ind w:left="258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48"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shares of common stock on The NASDAQ Stock Market on June 30, 2021, was approximately $1.6 billion.</w:t>
      </w:r>
    </w:p>
    <w:p>
      <w:pPr>
        <w:spacing w:after="0" w:line="11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of February 22, 2022, the registrant had 58,048,119 shares of Class A common stock, $0.00001 par value per share, and 4,055,190 of Class B common stock, $0.00001 par value per share, outstanding.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DOCUMENTS INCORPORATED BY REFERENCE</w:t>
      </w:r>
    </w:p>
    <w:p>
      <w:pPr>
        <w:spacing w:after="0" w:line="167"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Portions of the registrant’s definitive Proxy Statement relating to the 2022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3"/>
          </w:tcPr>
          <w:p>
            <w:pPr>
              <w:jc w:val="center"/>
              <w:ind w:right="4840"/>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Part I.</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540" w:type="dxa"/>
            <w:vAlign w:val="bottom"/>
            <w:gridSpan w:val="3"/>
          </w:tcPr>
          <w:p>
            <w:pPr>
              <w:spacing w:after="0"/>
              <w:rPr>
                <w:sz w:val="18"/>
                <w:szCs w:val="18"/>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840" w:type="dxa"/>
            <w:vAlign w:val="bottom"/>
            <w:gridSpan w:val="11"/>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1A.</w:t>
              </w:r>
            </w:hyperlink>
          </w:p>
        </w:tc>
        <w:tc>
          <w:tcPr>
            <w:tcW w:w="400" w:type="dxa"/>
            <w:vAlign w:val="bottom"/>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28</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74">
              <w:r>
                <w:rPr>
                  <w:rFonts w:ascii="Arial" w:cs="Arial" w:eastAsia="Arial" w:hAnsi="Arial"/>
                  <w:sz w:val="18"/>
                  <w:szCs w:val="18"/>
                  <w:color w:val="0000FF"/>
                  <w:w w:val="92"/>
                </w:rPr>
                <w:t>Item 1B.</w:t>
              </w:r>
            </w:hyperlink>
          </w:p>
        </w:tc>
        <w:tc>
          <w:tcPr>
            <w:tcW w:w="400" w:type="dxa"/>
            <w:vAlign w:val="bottom"/>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Unresolved Staff Comments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70</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2.</w:t>
              </w:r>
            </w:hyperlink>
          </w:p>
        </w:tc>
        <w:tc>
          <w:tcPr>
            <w:tcW w:w="140" w:type="dxa"/>
            <w:vAlign w:val="bottom"/>
            <w:tcBorders>
              <w:top w:val="single" w:sz="8" w:color="0000FF"/>
            </w:tcBorders>
            <w:gridSpan w:val="2"/>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Properties</w:t>
              </w:r>
            </w:hyperlink>
          </w:p>
        </w:tc>
        <w:tc>
          <w:tcPr>
            <w:tcW w:w="7560" w:type="dxa"/>
            <w:vAlign w:val="bottom"/>
            <w:gridSpan w:val="2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70</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3.</w:t>
              </w:r>
            </w:hyperlink>
          </w:p>
        </w:tc>
        <w:tc>
          <w:tcPr>
            <w:tcW w:w="540" w:type="dxa"/>
            <w:vAlign w:val="bottom"/>
            <w:gridSpan w:val="3"/>
          </w:tcPr>
          <w:p>
            <w:pPr>
              <w:spacing w:after="0"/>
              <w:rPr>
                <w:sz w:val="18"/>
                <w:szCs w:val="18"/>
                <w:color w:val="auto"/>
              </w:rPr>
            </w:pP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Legal Proceedings</w:t>
              </w:r>
            </w:hyperlink>
          </w:p>
        </w:tc>
        <w:tc>
          <w:tcPr>
            <w:tcW w:w="8260" w:type="dxa"/>
            <w:vAlign w:val="bottom"/>
            <w:gridSpan w:val="26"/>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70</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4.</w:t>
              </w:r>
            </w:hyperlink>
          </w:p>
        </w:tc>
        <w:tc>
          <w:tcPr>
            <w:tcW w:w="9600" w:type="dxa"/>
            <w:vAlign w:val="bottom"/>
            <w:gridSpan w:val="3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Mine Safety Disclosures</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70</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Part II.</w:t>
              </w:r>
            </w:hyperlink>
          </w:p>
        </w:tc>
        <w:tc>
          <w:tcPr>
            <w:tcW w:w="4800" w:type="dxa"/>
            <w:vAlign w:val="bottom"/>
            <w:gridSpan w:val="10"/>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5.</w:t>
              </w:r>
            </w:hyperlink>
          </w:p>
        </w:tc>
        <w:tc>
          <w:tcPr>
            <w:tcW w:w="460" w:type="dxa"/>
            <w:vAlign w:val="bottom"/>
            <w:gridSpan w:val="2"/>
          </w:tcPr>
          <w:p>
            <w:pPr>
              <w:spacing w:after="0"/>
              <w:rPr>
                <w:sz w:val="18"/>
                <w:szCs w:val="18"/>
                <w:color w:val="auto"/>
              </w:rPr>
            </w:pPr>
          </w:p>
        </w:tc>
        <w:tc>
          <w:tcPr>
            <w:tcW w:w="8080" w:type="dxa"/>
            <w:vAlign w:val="bottom"/>
            <w:tcBorders>
              <w:bottom w:val="single" w:sz="8" w:color="0000FF"/>
            </w:tcBorders>
            <w:gridSpan w:val="31"/>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Market for Registrant’s Common Equity, Related Stockholder Matters and Issuer Purchases of Equity Securities</w:t>
              </w:r>
            </w:hyperlink>
          </w:p>
        </w:tc>
        <w:tc>
          <w:tcPr>
            <w:tcW w:w="1520" w:type="dxa"/>
            <w:vAlign w:val="bottom"/>
          </w:tcPr>
          <w:p>
            <w:pPr>
              <w:spacing w:after="0"/>
              <w:rPr>
                <w:sz w:val="18"/>
                <w:szCs w:val="18"/>
                <w:color w:val="auto"/>
              </w:rPr>
            </w:pPr>
          </w:p>
        </w:tc>
        <w:tc>
          <w:tcPr>
            <w:tcW w:w="22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71</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6.</w:t>
              </w:r>
            </w:hyperlink>
          </w:p>
        </w:tc>
        <w:tc>
          <w:tcPr>
            <w:tcW w:w="460" w:type="dxa"/>
            <w:vAlign w:val="bottom"/>
            <w:gridSpan w:val="2"/>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[Reserved]</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71</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Item 7.</w:t>
              </w:r>
            </w:hyperlink>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46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Management’s Discussion and Analysis of Financial Condition and Results of Operations</w:t>
              </w:r>
            </w:hyperlink>
          </w:p>
        </w:tc>
        <w:tc>
          <w:tcPr>
            <w:tcW w:w="31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72</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Item 7A.</w:t>
              </w:r>
            </w:hyperlink>
          </w:p>
        </w:tc>
        <w:tc>
          <w:tcPr>
            <w:tcW w:w="400" w:type="dxa"/>
            <w:vAlign w:val="bottom"/>
          </w:tcPr>
          <w:p>
            <w:pPr>
              <w:spacing w:after="0"/>
              <w:rPr>
                <w:sz w:val="18"/>
                <w:szCs w:val="18"/>
                <w:color w:val="auto"/>
              </w:rPr>
            </w:pPr>
          </w:p>
        </w:tc>
        <w:tc>
          <w:tcPr>
            <w:tcW w:w="436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Quantitative and Qualitative Disclosures About Market Risk</w:t>
              </w:r>
            </w:hyperlink>
          </w:p>
        </w:tc>
        <w:tc>
          <w:tcPr>
            <w:tcW w:w="5240" w:type="dxa"/>
            <w:vAlign w:val="bottom"/>
            <w:gridSpan w:val="1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81</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Item 8.</w:t>
              </w:r>
            </w:hyperlink>
          </w:p>
        </w:tc>
        <w:tc>
          <w:tcPr>
            <w:tcW w:w="540" w:type="dxa"/>
            <w:vAlign w:val="bottom"/>
            <w:gridSpan w:val="3"/>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Financial Statements and Supplementary Data</w:t>
              </w:r>
            </w:hyperlink>
          </w:p>
        </w:tc>
        <w:tc>
          <w:tcPr>
            <w:tcW w:w="220" w:type="dxa"/>
            <w:vAlign w:val="bottom"/>
            <w:gridSpan w:val="4"/>
          </w:tcPr>
          <w:p>
            <w:pPr>
              <w:jc w:val="cente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83</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Item 9.</w:t>
              </w:r>
            </w:hyperlink>
          </w:p>
        </w:tc>
        <w:tc>
          <w:tcPr>
            <w:tcW w:w="540" w:type="dxa"/>
            <w:vAlign w:val="bottom"/>
            <w:gridSpan w:val="3"/>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Changes in and Disagreements With Accountants on Accounting and Financial Disclosure</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114</w:t>
              </w:r>
            </w:hyperlink>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Item 9A.</w:t>
              </w:r>
            </w:hyperlink>
          </w:p>
        </w:tc>
        <w:tc>
          <w:tcPr>
            <w:tcW w:w="400" w:type="dxa"/>
            <w:vAlign w:val="bottom"/>
          </w:tcPr>
          <w:p>
            <w:pPr>
              <w:spacing w:after="0"/>
              <w:rPr>
                <w:sz w:val="18"/>
                <w:szCs w:val="18"/>
                <w:color w:val="auto"/>
              </w:rPr>
            </w:pPr>
          </w:p>
        </w:tc>
        <w:tc>
          <w:tcPr>
            <w:tcW w:w="9600" w:type="dxa"/>
            <w:vAlign w:val="bottom"/>
            <w:gridSpan w:val="3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Controls and Procedures</w:t>
              </w:r>
            </w:hyperlink>
          </w:p>
        </w:tc>
        <w:tc>
          <w:tcPr>
            <w:tcW w:w="260" w:type="dxa"/>
            <w:vAlign w:val="bottom"/>
            <w:gridSpan w:val="5"/>
          </w:tcPr>
          <w:p>
            <w:pPr>
              <w:jc w:val="center"/>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115</w:t>
              </w:r>
            </w:hyperlink>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Item 9B.</w:t>
              </w:r>
            </w:hyperlink>
          </w:p>
        </w:tc>
        <w:tc>
          <w:tcPr>
            <w:tcW w:w="40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840" w:type="dxa"/>
            <w:vAlign w:val="bottom"/>
            <w:gridSpan w:val="24"/>
          </w:tcPr>
          <w:p>
            <w:pPr>
              <w:spacing w:after="0"/>
              <w:rPr>
                <w:sz w:val="18"/>
                <w:szCs w:val="18"/>
                <w:color w:val="auto"/>
              </w:rPr>
            </w:pPr>
          </w:p>
        </w:tc>
        <w:tc>
          <w:tcPr>
            <w:tcW w:w="260" w:type="dxa"/>
            <w:vAlign w:val="bottom"/>
            <w:tcBorders>
              <w:top w:val="single" w:sz="8" w:color="0000FF"/>
              <w:bottom w:val="single" w:sz="8" w:color="0000FF"/>
            </w:tcBorders>
            <w:gridSpan w:val="5"/>
          </w:tcPr>
          <w:p>
            <w:pPr>
              <w:jc w:val="center"/>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119</w:t>
              </w:r>
            </w:hyperlink>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Item 9C.</w:t>
              </w:r>
            </w:hyperlink>
          </w:p>
        </w:tc>
        <w:tc>
          <w:tcPr>
            <w:tcW w:w="400" w:type="dxa"/>
            <w:vAlign w:val="bottom"/>
          </w:tcPr>
          <w:p>
            <w:pPr>
              <w:spacing w:after="0"/>
              <w:rPr>
                <w:sz w:val="18"/>
                <w:szCs w:val="18"/>
                <w:color w:val="auto"/>
              </w:rPr>
            </w:pPr>
          </w:p>
        </w:tc>
        <w:tc>
          <w:tcPr>
            <w:tcW w:w="490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Disclosure Regarding Foreign Jurisdictions that Prevent Inspections</w:t>
              </w:r>
            </w:hyperlink>
          </w:p>
        </w:tc>
        <w:tc>
          <w:tcPr>
            <w:tcW w:w="4700" w:type="dxa"/>
            <w:vAlign w:val="bottom"/>
            <w:gridSpan w:val="7"/>
          </w:tcPr>
          <w:p>
            <w:pPr>
              <w:spacing w:after="0"/>
              <w:rPr>
                <w:sz w:val="18"/>
                <w:szCs w:val="18"/>
                <w:color w:val="auto"/>
              </w:rPr>
            </w:pPr>
          </w:p>
        </w:tc>
        <w:tc>
          <w:tcPr>
            <w:tcW w:w="260" w:type="dxa"/>
            <w:vAlign w:val="bottom"/>
            <w:tcBorders>
              <w:bottom w:val="single" w:sz="8" w:color="0000FF"/>
            </w:tcBorders>
            <w:gridSpan w:val="5"/>
          </w:tcPr>
          <w:p>
            <w:pPr>
              <w:jc w:val="center"/>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115</w:t>
              </w:r>
            </w:hyperlink>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0000FF"/>
            </w:tcBorders>
            <w:gridSpan w:val="8"/>
          </w:tcPr>
          <w:p>
            <w:pPr>
              <w:jc w:val="center"/>
              <w:ind w:right="20"/>
              <w:spacing w:after="0"/>
              <w:rPr>
                <w:rFonts w:ascii="Arial" w:cs="Arial" w:eastAsia="Arial" w:hAnsi="Arial"/>
                <w:sz w:val="18"/>
                <w:szCs w:val="18"/>
                <w:color w:val="0000FF"/>
                <w:w w:val="96"/>
              </w:rPr>
            </w:pPr>
            <w:hyperlink w:anchor="page124">
              <w:r>
                <w:rPr>
                  <w:rFonts w:ascii="Arial" w:cs="Arial" w:eastAsia="Arial" w:hAnsi="Arial"/>
                  <w:sz w:val="18"/>
                  <w:szCs w:val="18"/>
                  <w:color w:val="0000FF"/>
                  <w:w w:val="96"/>
                </w:rPr>
                <w:t>Part III.</w:t>
              </w:r>
            </w:hyperlink>
          </w:p>
        </w:tc>
        <w:tc>
          <w:tcPr>
            <w:tcW w:w="4760" w:type="dxa"/>
            <w:vAlign w:val="bottom"/>
            <w:gridSpan w:val="8"/>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Item 10.</w:t>
              </w:r>
            </w:hyperlink>
          </w:p>
        </w:tc>
        <w:tc>
          <w:tcPr>
            <w:tcW w:w="9600" w:type="dxa"/>
            <w:vAlign w:val="bottom"/>
            <w:gridSpan w:val="32"/>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Directors, Executive Officers and Corporate Governance</w:t>
              </w:r>
            </w:hyperlink>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9"/>
              </w:rPr>
            </w:pPr>
            <w:hyperlink w:anchor="page125">
              <w:r>
                <w:rPr>
                  <w:rFonts w:ascii="Arial" w:cs="Arial" w:eastAsia="Arial" w:hAnsi="Arial"/>
                  <w:sz w:val="18"/>
                  <w:szCs w:val="18"/>
                  <w:color w:val="0000FF"/>
                  <w:w w:val="89"/>
                </w:rPr>
                <w:t>Item 11.</w:t>
              </w:r>
            </w:hyperlink>
          </w:p>
        </w:tc>
        <w:tc>
          <w:tcPr>
            <w:tcW w:w="460" w:type="dxa"/>
            <w:vAlign w:val="bottom"/>
            <w:gridSpan w:val="2"/>
          </w:tcPr>
          <w:p>
            <w:pPr>
              <w:spacing w:after="0"/>
              <w:rPr>
                <w:sz w:val="18"/>
                <w:szCs w:val="18"/>
                <w:color w:val="auto"/>
              </w:rPr>
            </w:pPr>
          </w:p>
        </w:tc>
        <w:tc>
          <w:tcPr>
            <w:tcW w:w="4100" w:type="dxa"/>
            <w:vAlign w:val="bottom"/>
            <w:gridSpan w:val="14"/>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Executive Compensation</w:t>
              </w:r>
            </w:hyperlink>
          </w:p>
        </w:tc>
        <w:tc>
          <w:tcPr>
            <w:tcW w:w="5500" w:type="dxa"/>
            <w:vAlign w:val="bottom"/>
            <w:gridSpan w:val="18"/>
          </w:tcPr>
          <w:p>
            <w:pPr>
              <w:spacing w:after="0"/>
              <w:rPr>
                <w:sz w:val="18"/>
                <w:szCs w:val="18"/>
                <w:color w:val="auto"/>
              </w:rPr>
            </w:pPr>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Item 12.</w:t>
              </w:r>
            </w:hyperlink>
          </w:p>
        </w:tc>
        <w:tc>
          <w:tcPr>
            <w:tcW w:w="9600" w:type="dxa"/>
            <w:vAlign w:val="bottom"/>
            <w:gridSpan w:val="32"/>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Security Ownership of Certain Beneficial Owners and Management and Related Stockholder Matters</w:t>
              </w:r>
            </w:hyperlink>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r>
      <w:tr>
        <w:trPr>
          <w:trHeight w:val="210"/>
        </w:trPr>
        <w:tc>
          <w:tcPr>
            <w:tcW w:w="20" w:type="dxa"/>
            <w:vAlign w:val="bottom"/>
          </w:tcPr>
          <w:p>
            <w:pPr>
              <w:spacing w:after="0"/>
              <w:rPr>
                <w:sz w:val="18"/>
                <w:szCs w:val="18"/>
                <w:color w:val="auto"/>
              </w:rPr>
            </w:pPr>
          </w:p>
        </w:tc>
        <w:tc>
          <w:tcPr>
            <w:tcW w:w="1060" w:type="dxa"/>
            <w:vAlign w:val="bottom"/>
            <w:tcBorders>
              <w:top w:val="single" w:sz="8" w:color="0000FF"/>
            </w:tcBorders>
            <w:gridSpan w:val="4"/>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Item 13.</w:t>
              </w:r>
            </w:hyperlink>
          </w:p>
        </w:tc>
        <w:tc>
          <w:tcPr>
            <w:tcW w:w="7280" w:type="dxa"/>
            <w:vAlign w:val="bottom"/>
            <w:tcBorders>
              <w:top w:val="single" w:sz="8" w:color="0000FF"/>
            </w:tcBorders>
            <w:gridSpan w:val="30"/>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Certain Relationships and Related Transactions, and Director Independence</w:t>
              </w:r>
            </w:hyperlink>
          </w:p>
        </w:tc>
        <w:tc>
          <w:tcPr>
            <w:tcW w:w="2320" w:type="dxa"/>
            <w:vAlign w:val="bottom"/>
            <w:gridSpan w:val="2"/>
          </w:tcPr>
          <w:p>
            <w:pPr>
              <w:spacing w:after="0"/>
              <w:rPr>
                <w:sz w:val="18"/>
                <w:szCs w:val="18"/>
                <w:color w:val="auto"/>
              </w:rPr>
            </w:pPr>
          </w:p>
        </w:tc>
        <w:tc>
          <w:tcPr>
            <w:tcW w:w="560" w:type="dxa"/>
            <w:vAlign w:val="bottom"/>
            <w:tcBorders>
              <w:top w:val="single" w:sz="8" w:color="0000FF"/>
            </w:tcBorders>
            <w:gridSpan w:val="6"/>
          </w:tcPr>
          <w:p>
            <w:pPr>
              <w:jc w:val="center"/>
              <w:ind w:right="30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Item 14.</w:t>
              </w:r>
            </w:hyperlink>
          </w:p>
        </w:tc>
        <w:tc>
          <w:tcPr>
            <w:tcW w:w="9600" w:type="dxa"/>
            <w:vAlign w:val="bottom"/>
            <w:gridSpan w:val="32"/>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Principal Accounting Fees and Services</w:t>
              </w:r>
            </w:hyperlink>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16"/>
          </w:tcPr>
          <w:p>
            <w:pPr>
              <w:jc w:val="center"/>
              <w:ind w:right="4760"/>
              <w:spacing w:after="0"/>
              <w:rPr>
                <w:rFonts w:ascii="Arial" w:cs="Arial" w:eastAsia="Arial" w:hAnsi="Arial"/>
                <w:sz w:val="18"/>
                <w:szCs w:val="18"/>
                <w:color w:val="0000FF"/>
                <w:w w:val="89"/>
              </w:rPr>
            </w:pPr>
            <w:hyperlink w:anchor="page125">
              <w:r>
                <w:rPr>
                  <w:rFonts w:ascii="Arial" w:cs="Arial" w:eastAsia="Arial" w:hAnsi="Arial"/>
                  <w:sz w:val="18"/>
                  <w:szCs w:val="18"/>
                  <w:color w:val="0000FF"/>
                  <w:w w:val="89"/>
                </w:rPr>
                <w:t>Part IV.</w:t>
              </w:r>
            </w:hyperlink>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Item 15.</w:t>
              </w:r>
            </w:hyperlink>
          </w:p>
        </w:tc>
        <w:tc>
          <w:tcPr>
            <w:tcW w:w="4280" w:type="dxa"/>
            <w:vAlign w:val="bottom"/>
            <w:gridSpan w:val="17"/>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Exhibits, Financial Statement Schedules</w:t>
              </w:r>
            </w:hyperlink>
          </w:p>
        </w:tc>
        <w:tc>
          <w:tcPr>
            <w:tcW w:w="540" w:type="dxa"/>
            <w:vAlign w:val="bottom"/>
            <w:tcBorders>
              <w:top w:val="single" w:sz="8" w:color="0000FF"/>
            </w:tcBorders>
            <w:gridSpan w:val="6"/>
          </w:tcPr>
          <w:p>
            <w:pPr>
              <w:spacing w:after="0"/>
              <w:rPr>
                <w:sz w:val="18"/>
                <w:szCs w:val="18"/>
                <w:color w:val="auto"/>
              </w:rPr>
            </w:pPr>
          </w:p>
        </w:tc>
        <w:tc>
          <w:tcPr>
            <w:tcW w:w="4780" w:type="dxa"/>
            <w:vAlign w:val="bottom"/>
            <w:gridSpan w:val="9"/>
          </w:tcPr>
          <w:p>
            <w:pPr>
              <w:spacing w:after="0"/>
              <w:rPr>
                <w:sz w:val="18"/>
                <w:szCs w:val="18"/>
                <w:color w:val="auto"/>
              </w:rPr>
            </w:pPr>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121</w:t>
              </w:r>
            </w:hyperlink>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Item 16.</w:t>
              </w:r>
            </w:hyperlink>
          </w:p>
        </w:tc>
        <w:tc>
          <w:tcPr>
            <w:tcW w:w="9600" w:type="dxa"/>
            <w:vAlign w:val="bottom"/>
            <w:gridSpan w:val="32"/>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Form 10–K Summary</w:t>
              </w:r>
            </w:hyperlink>
          </w:p>
        </w:tc>
        <w:tc>
          <w:tcPr>
            <w:tcW w:w="560" w:type="dxa"/>
            <w:vAlign w:val="bottom"/>
            <w:gridSpan w:val="6"/>
          </w:tcPr>
          <w:p>
            <w:pPr>
              <w:jc w:val="center"/>
              <w:ind w:right="300"/>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125</w:t>
              </w:r>
            </w:hyperlink>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40" w:type="dxa"/>
            <w:vAlign w:val="bottom"/>
            <w:gridSpan w:val="17"/>
          </w:tcPr>
          <w:p>
            <w:pPr>
              <w:jc w:val="center"/>
              <w:ind w:right="4680"/>
              <w:spacing w:after="0"/>
              <w:rPr>
                <w:rFonts w:ascii="Arial" w:cs="Arial" w:eastAsia="Arial" w:hAnsi="Arial"/>
                <w:sz w:val="18"/>
                <w:szCs w:val="18"/>
                <w:color w:val="0000FF"/>
                <w:w w:val="88"/>
              </w:rPr>
            </w:pPr>
            <w:hyperlink w:anchor="page130">
              <w:r>
                <w:rPr>
                  <w:rFonts w:ascii="Arial" w:cs="Arial" w:eastAsia="Arial" w:hAnsi="Arial"/>
                  <w:sz w:val="18"/>
                  <w:szCs w:val="18"/>
                  <w:color w:val="0000FF"/>
                  <w:w w:val="88"/>
                </w:rPr>
                <w:t>Signatures</w:t>
              </w:r>
            </w:hyperlink>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209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3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addressable market, market growth, key performance indicators, capital requirements and our needs for additional financing;</w:t>
      </w:r>
    </w:p>
    <w:p>
      <w:pPr>
        <w:spacing w:after="0" w:line="194"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including among others, revenue, cost of revenue, gross profit, operating expenses, loss from operations and net losses;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commercialization plan, including our ability to attract customers during the broad release phase;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and expected pricing for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and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2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mission is to imagine and pioneer new ways to decode the secrets of the proteome to improve human health. Our initial product, the Proteograph Product Suite (Proteograph), leverages our proprietary engineered nanoparticle (NP) technology to provide unbiased, deep, rapid and large-scale access to the proteome. The Proteograph Product Suite is an integrated solution that is comprised of consumables, an automation instrument and software.</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13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 xml:space="preserve">Proteins are the functional units of many biological processes and dynamic indicators of physiology that can gauge health over time, inform disease progression and monitor therapeutic response. Despite the central role proteins play in biology, rich functional content derived from proteomics studies is relatively unexplored compared to the genome, since large-scale proteomic studies have not been possible.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that limit their scalability to small, under-powered studies. Targeted or biased methods enable interrogation of a limited number of known proteins per sample. Although targeted approaches are scalable, they lack the breadth and depth necessary to appropriately characterize the proteome and catalog its many protein variants. Therefore, we believe that proteomics researchers are forced into an unattractive trade-off between the number of samples in a study and the depth and breadth of the analysis. These trade-offs limit the ability to advance characterization of the proteome to match the characterization of the genome. We believe deep, unbiased, large-scale proteomic analysis is needed for a more complete understanding of biology.</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initially focused on driving adoption of the Proteograph with customers in the proteomics and genomics markets, with those researchers who recognize the value of large-scale, unbiased, deep proteomics. Allied Market Research estimates the proteomics market was $32 billion in 2019. We believe that the Proteograph’s unique capabilities will enable researchers to undertake unbiased studies not possible today, particularly those of larger scale, and will complement genomics studies by adding critical missing information that can provide functional context to genomic variation. According to the dbSNP database, over 1 billion individual genetic variants have been identified to date; however, fewer than 0.2% of those variants have been cataloged in the ClinVar database with a reported relationship between variation and phenotype.</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unbiased, deep and large-scale proteomics will help researchers map biological function of genomic variants, identify impactful disease and response-specific risk factors, and accelerate discovery of molecular mechanisms of health and disease. We believe these capabilities should broadly appeal to researchers and entities undertaking large-scale genomics studies and should attract spending from the genomics market, estimated by Technavio to be $21 billion in 2019. In addition, we believe the Proteograph is likely to enable novel content discovery that will lead to entirely new applications and market opportunities.</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initially focused on research applications for the Proteograph Product Suite and are selling and marketing the Proteograph for research use only (RUO). We commenced the third and final phase of our commercialization plan with broad release in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Detailed and complex biological information resides at the protein level. Virtually every function within a living organism occurs by the action of a protein or a group of proteins interacting with each other and in concert. Thus, proteomics is a key area of focus for researchers. Proteins are dynamic indicators of health status and can be used to monitor disease progression and therapeutic response. By contrast, the genome is a static indicator of what a person’s physiology could be, not an indicator of current physiological state. In short, the genome represents risk, while the proteome reflects status. Despite the physiological impact, the human proteome is relatively unexplored compared to the human genome.</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Through large-scale data collection and widespread adoption of molecular profiling techniques, over one billion genetic variations have been identified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that can be coupled with large bodies of genomic data, they will be better positioned to understand the relationship between variation and function and its impact on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97155</wp:posOffset>
            </wp:positionV>
            <wp:extent cx="4500245" cy="268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024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human proteome is more dynamic, diverse and complex in structure, composition and number of variants than either the genome or transcriptome. Starting from the genome, multiple biological steps take place to arrive at the proteome, each step creates increased complexity and diversity. The human genome has approximately 20,000 genes, which are estimated to give rise to more than 200,000 transcripts, which then give rise to 1,000,000 or more protein variants. As shown in Figure 2, this is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(PPIs).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83185</wp:posOffset>
            </wp:positionV>
            <wp:extent cx="4500245" cy="1877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024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Targeted Approaches to Proteomics</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Unlike DNA, the structures, chemistries and concentrations of proteins in any given sample are widely variable. Proteins also lack a direct amplification mechanism, which creates technological challenges for identifying them at low concentration.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targeted approach is limited in that ASRs do not have the capability to interrogate the entirety of the protein structure of the molecule that they bind to and may not distinguish important protein variants. The average length of a human protein is approximately 470 amino acids, whereas the average binding site of an ASR is an epitope with a length of five to eight amino acids. ASRs may not recognize differences between proteins outside of the epitope binding site and, therefore, may not differentiate among protein variants, as demonstrated in recent publications including </w:t>
      </w:r>
      <w:r>
        <w:rPr>
          <w:rFonts w:ascii="Arial" w:cs="Arial" w:eastAsia="Arial" w:hAnsi="Arial"/>
          <w:sz w:val="16"/>
          <w:szCs w:val="16"/>
          <w:i w:val="1"/>
          <w:iCs w:val="1"/>
          <w:color w:val="auto"/>
        </w:rPr>
        <w:t>Pietzner, M. et al</w:t>
      </w:r>
      <w:r>
        <w:rPr>
          <w:rFonts w:ascii="Arial" w:cs="Arial" w:eastAsia="Arial" w:hAnsi="Arial"/>
          <w:sz w:val="16"/>
          <w:szCs w:val="16"/>
          <w:color w:val="auto"/>
        </w:rPr>
        <w:t>. ASRs and other biased readout technologies are not optimal for discovery given the inherent complexity of proteins. A large number of ASRs can be designed to detect a large number of different proteins, but this approach is limited in its ability to measure new protein variations.</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Targeted approaches, in general, are useful when the scientist or clinician knows what is being analyzed. This is analogous to the role of microarrays in genomics, where a specific DNA fragment is used in a targeted or biased manner to confirm the presence of a specific mutation, or a single nucleotide polymorphism (SNP), whereas NGS employs an unbiased approach to interrogate the breadth of content in the genome. With an unbiased approach, as one scales the number of samples in a study, one inherently assays a broader set of novel content. With targeted approaches, regardless of the number of samples in a study, one will not gain any additional novel content beyond the specific targets of the assay.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Rather than interrogating proteins at the level of predefined epitopes, unbiased approaches can interrogate proteins at the peptide level, providing amino-acid level resolution to protein variants. However, current unbiased approaches do not scale well due to vastly different protein concentrations in plasma samples. Plasma protein concentration, for example, can span ten orders of magnitude from abundant proteins like albumin to some of the least abundant proteins, such as cytokines. The top 22 most abundant proteins account for approximately 99% of the total protein mass in the plasma, yet the many thousands of less abundant proteins comprising the other one percent of the total proteome by mass have significant impact on biology. Therefore, it is critical to be able to broadly and deeply detect proteins across the proteome, including those proteins that appear in low concentrations in plasma.</w:t>
      </w:r>
    </w:p>
    <w:p>
      <w:pPr>
        <w:spacing w:after="0" w:line="1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Mass spectrometry (MS) is a broadly used technique for detection of proteins and their variants for unbiased discovery, basic research and clinical applications. Given the wide dynamic range of protein concentrations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14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plasma and other biological samples, current MS methods for protein detection often require complex sample preparation workflows that involve depletion of abundant proteins and grouping remaining proteins and peptides into smaller units through fractionation. We believe current unbiased approaches in complex biosamples with a skewed dynamic range (e.g., blood plasma) are not widely adopted by researchers because the workflows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The study identified 4,500 different proteins across 16 samples, taking multiple months to complete.</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critical unmet need in proteomic analysis remains how to collect unbiased proteomic data on thousands of proteins in a sample spanning more than ten orders of dynamic range in concentration and to repeat this across thousands of samples in a reasonable amount of time and cost. Genomics faced a similar unmet need before the advent of NGS, which allowed for massively-parallel sampling.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Importance of an Unbiased Approach in the Discovery of Novel Content</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ability to perform unbiased sampling of content at scale in biology has been transformational to biological analysis.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genomics researchers faced similar challenges that researchers currently face in proteomics. The introduction of NGS enabled unbiased analysis at scale of small fragments of DNA, allowing researchers to, in parallel, sequence tens of millions (currently tens of billions) of fragments of DNA per sample. This transformative approach to sampling enabled genomic sequencing at scale and enabled the discovery of novel content.</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discovery of novel content created the path to genomic end-market opportunities across basic research and discovery, translational research and clinical applications, including early cancer detection, recurrence monitoring and non-invasive prenatal testing. While there are no assurances that the Proteograph Product Suite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 Figure 3 illustrates the concept of increasing content discovery with an unbiased approach as sample cohorts increase in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000375" cy="1997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037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Importance of Peptide-Level Resolution in the Understanding of Biology</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We believe that peptide-level resolution will be critical to the discovery of novel content and new biological insights. As one example, using data from our </w:t>
      </w:r>
      <w:r>
        <w:rPr>
          <w:rFonts w:ascii="Arial" w:cs="Arial" w:eastAsia="Arial" w:hAnsi="Arial"/>
          <w:sz w:val="17"/>
          <w:szCs w:val="17"/>
          <w:i w:val="1"/>
          <w:iCs w:val="1"/>
          <w:color w:val="auto"/>
        </w:rPr>
        <w:t xml:space="preserve">Nature Communications </w:t>
      </w:r>
      <w:r>
        <w:rPr>
          <w:rFonts w:ascii="Arial" w:cs="Arial" w:eastAsia="Arial" w:hAnsi="Arial"/>
          <w:sz w:val="17"/>
          <w:szCs w:val="17"/>
          <w:color w:val="auto"/>
        </w:rPr>
        <w:t>paper, we identified several biologically-important novel cancer biomarkers at the peptide level that would have been missed if we</w:t>
      </w:r>
      <w:r>
        <w:rPr>
          <w:rFonts w:ascii="Arial" w:cs="Arial" w:eastAsia="Arial" w:hAnsi="Arial"/>
          <w:sz w:val="17"/>
          <w:szCs w:val="17"/>
          <w:i w:val="1"/>
          <w:iCs w:val="1"/>
          <w:color w:val="auto"/>
        </w:rPr>
        <w:t xml:space="preserve"> </w:t>
      </w:r>
      <w:r>
        <w:rPr>
          <w:rFonts w:ascii="Arial" w:cs="Arial" w:eastAsia="Arial" w:hAnsi="Arial"/>
          <w:sz w:val="17"/>
          <w:szCs w:val="17"/>
          <w:color w:val="auto"/>
        </w:rPr>
        <w:t>had only focused on overall protein expression. One of those biomarkers, Bone Morphogenic Protein 1 (BMP1) has been reported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have a dual role in cancer, but the biology is not well understood. Figure 4 below demonstrates how BMP1 at the protein level ignores the variants of BMP1, showing no apparent difference in the overall expression pattern of BMP1 between cancer and healthy subjects. If one has resolution at the peptide level, individual variants of BMP1 can be seen. It is possible that these findings may help to explain the dual role of BMP1 in cancer. This insight is enabled because an unbiased approach is able to identify peptide sequences at the amino acid-level.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500245" cy="268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024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proprietary engineered nanoparticle technology overcomes the limitations of existing methods and is the foundation for the Proteograph Product Suite’s easy-to-use workflow for unbiased, deep, rapid and scalable proteomic analysis. Our approach is based on proprietary engineered NPs that enable unbiased sampling of intact proteins across the dynamic range of the proteome, capturing a myriad of molecular information at the level of protein variants as well as PPIs. Our NPs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a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encounter the protein, the selective sampling of proteins by our NPs is robust and highly reproducible.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1528445</wp:posOffset>
            </wp:positionH>
            <wp:positionV relativeFrom="page">
              <wp:posOffset>1014730</wp:posOffset>
            </wp:positionV>
            <wp:extent cx="4500245" cy="180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5002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A variety of different methods and materials are used to design and create different nanoparticles. Each nanoparticle can have distinct physicochemical properties that generate a unique protein corona pattern and a unique proteomic fingerprint. We believe the growing body of proteomic data coupled with advanced machine learning will allow us to continue to enhance the unique physicochemical properties of our nanoparticles.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across a broad range of sample types, to selectively, reproducibly and deeply sample the proteome in an unbiased way.</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3994785" cy="2194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94785" cy="21945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NPs enable the unique capabilities of the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complex workflows required by other unbiased proteomic approaches;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Proteograph Product Suite</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proprietary engineered NP technology forms the basis for our first product, the Proteograph Product Suite. The Proteograph is an integrated solution consisting of consumables, an automation instrument and software to perform unbiased, deep proteomic analysis at scale in a matter of hours. We designed the Proteograph workflow to be efficient and easy-to-use, and to leverage broadly used laboratory instrumentation to enable adoption in both decentralized and centralized settings, making deep, unbiased proteomics accessible to nearly any lab.</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Proteograph consumables consist of our NP panel and all other consumables necessary to assay samples in an automated workflow on our SP100 automation instrument. Our automated workflow is custom configured for researchers to assay samples in approximately seven hours, which includes thirty minutes of hands-on time and six and a half hours of automated instrument time. The output from the Proteograph workflow is peptides ready to be processed on an MS instrument. The Proteograph Product Suite is detector agnostic and, we believe, will be adaptable to other protein detection instruments in the future. The MS component of the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The Proteograph Analysis Suite, a data analytics software suite, provides quality control and allows researchers to analyze and interpret the output from the system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80010</wp:posOffset>
            </wp:positionV>
            <wp:extent cx="4500245"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02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our first Proteograph assay, we employ a panel of five NPs. The Proteograph consumables also include buffers and reagents for protein lysis and digestion, peptide purification, peptide quantification and the reconstitution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lyophilized materials. We designed the performance specifications of the Proteograph Product Suite to meet the core needs of the market in terms of protein coverage and sample throughput required for proteomic experiments that are unbiased and at-scale. The current product allows for the interrogation and processing of up to 16 samples in parallel on a single 96-well plate in approximately seven hours. Each sample incubates separately with each of the five nanoparticles, resulting in 80 wells of peptides in a 96-well plate.The remaining 16 wells are for integrated quality control samples to ensure consistent process performance and to aid in troubleshooting.</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ready availability of the non-particle reagents combined with our ability to efficiently design and fabricate different NPs with different chemical properties, greatly simplifies the development and production of future iterations or additional versions of the Proteograph assays to address potential customer needs, such as expanded coverage or specialized assays. Additionally, we can introduce new assays that include a different number of NPs and process different sample numbers.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designed the Proteograph assay to be run in a robust and automated manner on our SP100 automation instrument, which is a custom-configured industry-standard liquid handling workstation. Our SP100 instrument is designed to consistently run experiments and to enable studies of hundreds to thousands of samples. Our automated workflow allows for rapid highly parallel proteomic sampling with just thirty minutes of set-up time. The flexibility of our instrument, coupled with the inherent diversity of our NP technology, provides for many potential applications and study workflows that can suit particular experimental needs</w:t>
      </w:r>
    </w:p>
    <w:p>
      <w:pPr>
        <w:spacing w:after="0" w:line="134"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The Proteograph workflow is driven by the Instrument Control Software (ICS) on the SP100 automation instrument. The workflow has been configured to process one full 96-well plate at a time, in just seven hours, processing 16 samples in parallel for each 96-well plate run. Future workflows and NP panels will be able to be run on the SP100 automation instrument, with an accompanying software update. The output of the Proteograph assay and instrument is peptides that are quantified, dried, and can be reconstituted when ready to inject into a mass spectrometer. MS provides quantitative detection, either on an instrument provided by the user, or sent out for MS analysis to a third-party provider.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Proteograph Analysis Suite is designed for ease-of-use and was developed to help users arrive at insights quickly and efficiently following quantitative detection of peptides on an MS instrument. To accommodate varying customer needs, we have designed the Proteograph Analysis Suite to be deployed as cloud-based and, in the future, more localized solutions to accommodate different customer types and geographies. Our deployment options will provide a predefined workflow for data management and analysis that leverages publicly available MS data analysis tools, as well as proprietary data analyses developed by us. Without the Proteograph Analysis Suite, proteomics analysis requires expert knowledge and scalable high-performance computer infrastructure to run efficiently. We believe that the Proteograph Analysis Suite could accelerate adoption among non-proteomic experts by providing an intuitive user interface that automates and simplifies data handling, processing and analysis, and provides access to a scalable infrastructure that can be used by any lab.</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Another potential roadblock for researchers is understanding and evaluating the quality of their results. The Proteograph assay incorporates a series of controls for monitoring assay performance, and an integrated view of the results of these control runs. Using the Proteograph Analysis Suite, the customer can evaluate trends over time and implement performance boundaries around the expected values that flag unexpected outcomes in the data. Providing a simple, consistent interface for customers to evaluate the control data and generate a quality control (QC) report will help them understand our approach to QC in the Proteograph workflow and simplify support.</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expect that the Proteograph Product Suite will enable generation of large volumes of proteomic data, and we have developed the Proteograph Analysis Suite to ensure that handling, management and analysis of data does not create new bottlenecks for researchers. The Proteograph Analysis Suite offers ease of implementation and addresses key customer needs, which include integrated QC reporting, data management, data visualization, and statistical analysis tools. The Proteograph Analysis Suite is highly scalable and is designed to accommodate inputs from different MS platforms, rapidly expanding data volumes and emerging data analysis tools. Finally, as we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improve and extend our product portfolio, we expect to expand the Proteograph Analysis Suite to include advanced data analysis tools, including PPI analysis, mapping of PTMs, genetic polymorphisms, multi-omics integration, and systems biology framework analysis.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Sample to Data Using the Proteograph Product Suite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Proteomic analysis using the Proteograph Product Suite has five primary steps:</w:t>
      </w:r>
    </w:p>
    <w:p>
      <w:pPr>
        <w:spacing w:after="0" w:line="171" w:lineRule="exact"/>
        <w:rPr>
          <w:sz w:val="20"/>
          <w:szCs w:val="20"/>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Protein Corona Formation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Protein Corona Wash</w:t>
      </w:r>
      <w:r>
        <w:rPr>
          <w:rFonts w:ascii="Arial" w:cs="Arial" w:eastAsia="Arial" w:hAnsi="Arial"/>
          <w:sz w:val="18"/>
          <w:szCs w:val="18"/>
          <w:color w:val="auto"/>
        </w:rPr>
        <w:t>. NPs are then captured by a magnetic field, after which they undergo repeated cycles of wash with buffer to remove</w:t>
      </w:r>
      <w:r>
        <w:rPr>
          <w:rFonts w:ascii="Arial" w:cs="Arial" w:eastAsia="Arial" w:hAnsi="Arial"/>
          <w:sz w:val="18"/>
          <w:szCs w:val="18"/>
          <w:i w:val="1"/>
          <w:iCs w:val="1"/>
          <w:color w:val="auto"/>
        </w:rPr>
        <w:t xml:space="preserve"> </w:t>
      </w:r>
      <w:r>
        <w:rPr>
          <w:rFonts w:ascii="Arial" w:cs="Arial" w:eastAsia="Arial" w:hAnsi="Arial"/>
          <w:sz w:val="18"/>
          <w:szCs w:val="18"/>
          <w:color w:val="auto"/>
        </w:rPr>
        <w:t>unbound, or loosely bound, proteins.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Peptide Preparation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Mass Spectrometry</w:t>
      </w:r>
      <w:r>
        <w:rPr>
          <w:rFonts w:ascii="Arial" w:cs="Arial" w:eastAsia="Arial" w:hAnsi="Arial"/>
          <w:sz w:val="17"/>
          <w:szCs w:val="17"/>
          <w:color w:val="auto"/>
        </w:rPr>
        <w:t>. Digested peptides are prepared for measurement by dissolution in appropriate peptide reconstitution buffer suitable for MS</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at a volume and concentration that meets MS instrument and liquid chromatography gradient requirements.</w:t>
      </w:r>
    </w:p>
    <w:p>
      <w:pPr>
        <w:spacing w:after="0" w:line="92" w:lineRule="exact"/>
        <w:rPr>
          <w:rFonts w:ascii="Arial" w:cs="Arial" w:eastAsia="Arial" w:hAnsi="Arial"/>
          <w:sz w:val="17"/>
          <w:szCs w:val="17"/>
          <w:color w:val="auto"/>
        </w:rPr>
      </w:pPr>
    </w:p>
    <w:p>
      <w:pPr>
        <w:jc w:val="both"/>
        <w:ind w:left="660" w:right="10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the Proteograph Analysis Suite to identify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peptides and proteins in the sample. Quality control metrics are reported for the MS sample data, sample data summaries and output files are created, and initial cross-sample analyses are provided.</w:t>
      </w:r>
    </w:p>
    <w:p>
      <w:pPr>
        <w:spacing w:after="0" w:line="2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Given the seven-hour run time per plate for our initial five-NP panel, one Proteograph Product Suite coupled with two MS instruments can process 48 samples in approximately two and a half days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Proteograph Product Suite provides four critical attributes: (i) breadth of protein sampling; (ii) depth of coverage; (iii) accuracy and precision of measurement; and (iv) the ability to scale the number of samples processed in a study. We believe that the Proteograph Product Suite is the only product to provide these technical and operational capabilities in an integrated solution to enable large-scale proteomic analysis. The performance of the Proteograph Product Suite as it relates to these technical attributes is described below:</w:t>
      </w:r>
    </w:p>
    <w:p>
      <w:pPr>
        <w:spacing w:after="0" w:line="133" w:lineRule="exact"/>
        <w:rPr>
          <w:sz w:val="20"/>
          <w:szCs w:val="20"/>
          <w:color w:val="auto"/>
        </w:rPr>
      </w:pPr>
    </w:p>
    <w:p>
      <w:pPr>
        <w:ind w:left="660" w:right="14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Refers to the ability to conduct unbiased, highly parallel sampling of the proteome. Each uniquely engineered NP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captures hundreds of distinct intact proteins from a biosample based on their abundance and affinity for the NP surface. Sampling is particularly strong in complex biofluids such as plasma. Our unique NPs capture significantly more proteins and protein variants than current methods of unbiased proteomic analysis, as shown in Figure 8a below.</w:t>
      </w:r>
    </w:p>
    <w:p>
      <w:pPr>
        <w:spacing w:after="0" w:line="13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 head-to-head experiment, the Proteograph Product Suite was compared with other unbiased proteomics methods using the same biological sample. Neat plasma represents the simplest form of unbiased proteomic analysis, requiring minimal processing time, and resulted in a breadth of coverage of 312 proteins. By adding processing steps such as depletion of high abundance proteins and fractionation (separation of the remaining proteins into multiple fractions), the breadth of protein sampling increased to 670 proteins. However, with the Proteograph Product Suite, we detected 1,656 proteins in plasma, representing a major expansion in breadth of protein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 w:name="page15"/>
    <w:bookmarkEnd w:id="14"/>
    <w:p>
      <w:pPr>
        <w:spacing w:after="0" w:line="144" w:lineRule="exact"/>
        <w:rPr>
          <w:sz w:val="20"/>
          <w:szCs w:val="20"/>
          <w:color w:val="auto"/>
        </w:rPr>
      </w:pPr>
    </w:p>
    <w:p>
      <w:pPr>
        <w:ind w:left="328" w:hanging="328"/>
        <w:spacing w:after="0" w:line="275"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Refers to the Proteograph’s ability to evaluate the proteome across the wide dynamic range of protein abundance. The depth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coverage using our assay is compared to other unbiased proteomic methods shown in Figure 8b below. The Proteograph assay samples proteins across the entire dynamic range of the plasma proteome, as defined in the Human Plasma Proteome Project database (</w:t>
      </w:r>
      <w:r>
        <w:rPr>
          <w:rFonts w:ascii="Arial" w:cs="Arial" w:eastAsia="Arial" w:hAnsi="Arial"/>
          <w:sz w:val="17"/>
          <w:szCs w:val="17"/>
          <w:i w:val="1"/>
          <w:iCs w:val="1"/>
          <w:color w:val="auto"/>
        </w:rPr>
        <w:t>Schwenk et al</w:t>
      </w:r>
      <w:r>
        <w:rPr>
          <w:rFonts w:ascii="Arial" w:cs="Arial" w:eastAsia="Arial" w:hAnsi="Arial"/>
          <w:sz w:val="17"/>
          <w:szCs w:val="17"/>
          <w:color w:val="auto"/>
        </w:rPr>
        <w:t>.), with the 75th percentile point of depth of coverage shown with the orange bar. The depth of coverage for the Proteograph assay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86360</wp:posOffset>
            </wp:positionV>
            <wp:extent cx="4500245" cy="2348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02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8" w:right="220" w:hanging="328"/>
        <w:spacing w:after="0" w:line="271"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Refers to how close the measured abundance of a protein is to the true abundance in a sample. Accuracy of protein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abundance measurement can be demonstrated by MS signal intensity of the proteins sampled with the Proteograph assay, and comparing these values with measurements obtained directly by immuno-assay (ELISA). To demonstrate this, purified C-Reactive Protein (CRP) was added or “spiked” in to plasma at levels of 2x, 5x, 10x, and 100x of the baseline measured levels for CRP in the plasma. Samples with known concentrations of CRP were interrogated with the Proteograph Product Suite and ELISA. Figure 9 shows the linearity of measurement, as determined by MS signal intensity of four peptides within CRP when compared to the ELISA measurement of CRP. The Proteograph assay can distinguish changes in protein abundance with significant accuracy, as demonstrated by a slope response approximately equal to one and an r-squared value greater than 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88265</wp:posOffset>
            </wp:positionV>
            <wp:extent cx="2143125" cy="2143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5" w:name="page16"/>
    <w:bookmarkEnd w:id="15"/>
    <w:p>
      <w:pPr>
        <w:spacing w:after="0" w:line="144" w:lineRule="exact"/>
        <w:rPr>
          <w:sz w:val="20"/>
          <w:szCs w:val="20"/>
          <w:color w:val="auto"/>
        </w:rPr>
      </w:pPr>
    </w:p>
    <w:p>
      <w:pPr>
        <w:ind w:left="660" w:right="140" w:hanging="328"/>
        <w:spacing w:after="0" w:line="26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Precision of measurement. </w:t>
      </w:r>
      <w:r>
        <w:rPr>
          <w:rFonts w:ascii="Arial" w:cs="Arial" w:eastAsia="Arial" w:hAnsi="Arial"/>
          <w:sz w:val="17"/>
          <w:szCs w:val="17"/>
          <w:color w:val="auto"/>
        </w:rPr>
        <w:t>Refers to how close several measurements of protein abundance in the same sample are to each other. Less precision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measurement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The precision of the Proteograph Product Suite was compared with that of depletion, fractionation, and neat, by evaluating the same sample three times and calculating the CV% for the detected peptides and proteins. On average across the peptides, the median precision was 16.9 CV%. At this level of performance, the Proteograph has 80% statistical power to detect a 50% change in a peptide levels with only ten samples per sample group. Using the Proteograph, lower CV% is achieved than fractionation and depletion methods, while concurrently sampling significantly more proteins, as shown in Figure 8c. In general, in unbiased assays, CV%s are expected to increase as the number of analytes detected increases. However, the Proteograph assay can increase the number of analytes that it detects while achieving comparatively better CV%s. Although neat plasma has a lower CV%, it is limited in the breadth of protein coverage to 312 proteins compared to 1,656 proteins sampled by the Proteograph.</w:t>
      </w:r>
    </w:p>
    <w:p>
      <w:pPr>
        <w:spacing w:after="0" w:line="123" w:lineRule="exact"/>
        <w:rPr>
          <w:rFonts w:ascii="Arial" w:cs="Arial" w:eastAsia="Arial" w:hAnsi="Arial"/>
          <w:sz w:val="17"/>
          <w:szCs w:val="17"/>
          <w:color w:val="auto"/>
        </w:rPr>
      </w:pPr>
    </w:p>
    <w:p>
      <w:pPr>
        <w:ind w:left="660" w:right="12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Proteograph Product Suite enables rapid and large-scale proteomic sample processing in a seven-hour workflow,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unbiased solutions that can take days to weeks. With our current five-NP assay, we can process sixteen samples in a single run of the Proteograph SP100 instrument.Given the seven-hour run time per plate for our initial five-NP panel, one Proteograph Product Suite coupled with two MS instruments can process 48 samples in approximately two and a half days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3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the Proteograph will broadly appeal to researchers seeking an easy-to-use, scalable approach with a unique combination of attributes spanning breadth, depth, accuracy and precision of measurement and the speed and throughput necessary for large-scale proteomics studies. Sampling across the entire dynamic range has been one of the seminal challenges in the field of proteomics, as the range from the most abundant to the least abundant protein in biological samples can vary up to ten orders of magnitude, and the rich diversity of biology likely resides outside the most abundant proteins.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believe the two primary near-term markets for the Proteograph Product Suite are the proteomics market, which was $32 billion in 2019, according to Allied Market Research, and the genomics market, which was $21 billion in 2019, according to Technavio. Within these markets, potential applications of the Proteograph solution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While we initially plan to sell and market the Proteograph Product Suite for RUO, we believe that the capabilities of the Proteograph Product Suite may enable other applications. While we currently do not intend to pursue clinical diagnostics applications, we may in the future seek premarket approval or clearance for the Proteograph Product Suite in order to allow our customers to use the Proteograph in other product offerings. We believe that the Proteograph Product Suite’s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the Proteograph will uniquely provide large-scale, unbiased and deep proteomic information to complement genomic information, and enable researchers to gain a clearer picture of biology and a deeper understanding of genomic risk factors. Longer-term, we believe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capabilities offered by the Proteograph Product Suite and future products may potentially lead to new end-markets, applications, and business models that complement existing proteomics and genomics markets.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the Proteograph Product Suite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the Proteograph can leverage most MS instruments as a detector, we believe that we can take advantage of this installed base to accelerate adoption.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the Proteograph Product Suite can address all these applications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Technavio estimates the global genomics market was $21 billion in 2019 and is expected to grow to $38 billion by 2024, representing a 13% compound annual growth rate. We believe that large-scale deep, unbiased proteomics studies, such as those the Proteograph could enable, will provide important missing biological information to improve functional characterization of genomic variants, enabling large-scale proteogenomics. In genomics markets, complementing large-scale genomics analysis with large-scale proteomic analysis has the potential to enhance and accelerate our understanding of biology, human health and ultimately the treatment of disease. Therefore, we believe the Proteograph solution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believe that the Proteograph Product Suite will enable novel applications and insights leading to new end-markets, like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spun out a new entity, PrognomIQ, Inc. (PrognomIQ), which aims to develop and commercialize novel diagnostic tests that leverage the Proteograph Product Suite in combination with genomics and metabolomics information, and will be a participant in the existing ecosystem of early disease detection. More broadly, we believe the Proteograph solution has the potential to further stimulate growth of new applications and end-markets in additional ecosystems.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The Proteograph Product Suite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Proteograph Product Suite and its underlying NP technology have the following advantages:</w:t>
      </w:r>
    </w:p>
    <w:p>
      <w:pPr>
        <w:spacing w:after="0" w:line="171" w:lineRule="exact"/>
        <w:rPr>
          <w:sz w:val="20"/>
          <w:szCs w:val="20"/>
          <w:color w:val="auto"/>
        </w:rPr>
      </w:pPr>
    </w:p>
    <w:p>
      <w:pPr>
        <w:ind w:left="340" w:right="20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first commercially available solution to provide the combination of unbiased, deep, rapid and large-scale access to the proteome. </w:t>
      </w:r>
      <w:r>
        <w:rPr>
          <w:rFonts w:ascii="Arial" w:cs="Arial" w:eastAsia="Arial" w:hAnsi="Arial"/>
          <w:sz w:val="18"/>
          <w:szCs w:val="18"/>
          <w:color w:val="auto"/>
        </w:rPr>
        <w:t>While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proteomics technologies exist today, we believe that the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left="340" w:right="600"/>
        <w:spacing w:after="0" w:line="342" w:lineRule="auto"/>
        <w:rPr>
          <w:sz w:val="20"/>
          <w:szCs w:val="20"/>
          <w:color w:val="auto"/>
        </w:rPr>
      </w:pPr>
      <w:r>
        <w:rPr>
          <w:rFonts w:ascii="Arial" w:cs="Arial" w:eastAsia="Arial" w:hAnsi="Arial"/>
          <w:sz w:val="16"/>
          <w:szCs w:val="16"/>
          <w:color w:val="auto"/>
        </w:rPr>
        <w:t>Product Suite is the first and only product to provide the combination of these four attributes in a single integrated solution with an easy-to-use workflow. We believe these capabilities fill a gap that to date has been one of the rate-limiting steps in unlocking the complexity of biology.</w:t>
      </w:r>
    </w:p>
    <w:p>
      <w:pPr>
        <w:spacing w:after="0" w:line="70" w:lineRule="exact"/>
        <w:rPr>
          <w:sz w:val="20"/>
          <w:szCs w:val="20"/>
          <w:color w:val="auto"/>
        </w:rPr>
      </w:pPr>
    </w:p>
    <w:p>
      <w:pPr>
        <w:ind w:left="340" w:right="220" w:hanging="332"/>
        <w:spacing w:after="0" w:line="296"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unique solution that provides insight into protein variation and PPIs at a depth and scale that we believe sets a new standard for unbiased and deep proteomics and is unattainable with existing approaches. </w:t>
      </w:r>
      <w:r>
        <w:rPr>
          <w:rFonts w:ascii="Arial" w:cs="Arial" w:eastAsia="Arial" w:hAnsi="Arial"/>
          <w:sz w:val="16"/>
          <w:szCs w:val="16"/>
          <w:color w:val="auto"/>
        </w:rPr>
        <w:t>The ability to observe the myriad of possible protein variations, which go beyond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simple total protein abundance, with the accuracy and precision necessary to extract useful insights across large numbers of subjects, is a key differentiating attribute of our solution. Furthermore, capturing these variations at scale enables synergistic insights when combined with genomic variations, finally enabling the development of informative, individualized models of biology at population scale.</w:t>
      </w:r>
    </w:p>
    <w:p>
      <w:pPr>
        <w:spacing w:after="0" w:line="107" w:lineRule="exact"/>
        <w:rPr>
          <w:rFonts w:ascii="Arial" w:cs="Arial" w:eastAsia="Arial" w:hAnsi="Arial"/>
          <w:sz w:val="16"/>
          <w:szCs w:val="16"/>
          <w:color w:val="auto"/>
        </w:rPr>
      </w:pPr>
    </w:p>
    <w:p>
      <w:pPr>
        <w:ind w:left="340" w:right="60" w:hanging="332"/>
        <w:spacing w:after="0" w:line="320" w:lineRule="auto"/>
        <w:tabs>
          <w:tab w:leader="none" w:pos="335"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solution that will enable broad adoption by a wide variety of customers in both decentralized and centralized settings. </w:t>
      </w:r>
      <w:r>
        <w:rPr>
          <w:rFonts w:ascii="Arial" w:cs="Arial" w:eastAsia="Arial" w:hAnsi="Arial"/>
          <w:sz w:val="15"/>
          <w:szCs w:val="15"/>
          <w:color w:val="auto"/>
        </w:rPr>
        <w:t>The Proteograph Product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Suite is an integrated solution comprised of consumables, an automation instrument and software, and was designed to deliver ease-of-use, efficiency, robustness and reproducibility of results and to complement existing laboratory infrastructure. The Proteograph’s simple and integrated workflow enables the customer to use their own MS instrument or leverage a widely available installed base of MS instruments. We believe these characteristics will facilitate broad adoption of the Proteograph solution across a variety of laboratories and institutions in both decentralized and centralized settings.</w:t>
      </w:r>
    </w:p>
    <w:p>
      <w:pPr>
        <w:spacing w:after="0" w:line="92" w:lineRule="exact"/>
        <w:rPr>
          <w:rFonts w:ascii="Arial" w:cs="Arial" w:eastAsia="Arial" w:hAnsi="Arial"/>
          <w:sz w:val="15"/>
          <w:szCs w:val="15"/>
          <w:color w:val="auto"/>
        </w:rPr>
      </w:pPr>
    </w:p>
    <w:p>
      <w:pPr>
        <w:ind w:left="340" w:right="180" w:hanging="332"/>
        <w:spacing w:after="0" w:line="255"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core technology from which we can develop a range of products, applications and platforms. </w:t>
      </w:r>
      <w:r>
        <w:rPr>
          <w:rFonts w:ascii="Arial" w:cs="Arial" w:eastAsia="Arial" w:hAnsi="Arial"/>
          <w:sz w:val="18"/>
          <w:szCs w:val="18"/>
          <w:color w:val="auto"/>
        </w:rPr>
        <w:t>From our growing and diverse NP library, we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new panels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38"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core technology that provides significant operational leverage in research and development, manufacturing and commercialization. </w:t>
      </w:r>
      <w:r>
        <w:rPr>
          <w:rFonts w:ascii="Arial" w:cs="Arial" w:eastAsia="Arial" w:hAnsi="Arial"/>
          <w:sz w:val="18"/>
          <w:szCs w:val="18"/>
          <w:color w:val="auto"/>
        </w:rPr>
        <w:t>NPs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This capital-efficient and labor-efficient model has the potential to provide significant operating leverage to our organization.</w:t>
      </w:r>
    </w:p>
    <w:p>
      <w:pPr>
        <w:spacing w:after="0" w:line="133" w:lineRule="exact"/>
        <w:rPr>
          <w:rFonts w:ascii="Arial" w:cs="Arial" w:eastAsia="Arial" w:hAnsi="Arial"/>
          <w:sz w:val="18"/>
          <w:szCs w:val="18"/>
          <w:color w:val="auto"/>
        </w:rPr>
      </w:pPr>
    </w:p>
    <w:p>
      <w:pPr>
        <w:ind w:left="340" w:hanging="332"/>
        <w:spacing w:after="0" w:line="272"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solution with sustainable differentiation. </w:t>
      </w:r>
      <w:r>
        <w:rPr>
          <w:rFonts w:ascii="Arial" w:cs="Arial" w:eastAsia="Arial" w:hAnsi="Arial"/>
          <w:sz w:val="17"/>
          <w:szCs w:val="17"/>
          <w:color w:val="auto"/>
        </w:rPr>
        <w:t>The Proteograph is uniquely capable of generating robust, reproducible, deep and unbiased proteomic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and as more of this data gets created over our time and used by more customers to generate insights, we expect to create a cycle that will fuel further adoption of the Proteograph Product Suite throughout the industry. The Proteograph workflow was designed to fully integrate with customer workflows and provide a unique user experience, supported by our software packages, to create a sustainable solution within our customers’ organizations. The SP100 automation instrument, software, and NP technology are covered by numerous issued patents and pending patent applications, worldwide, covering improvements in NPs, assay methods and ways to leverage proteomic data and information for life sciences research and clinical diagnostic and drug discovery applications.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imagine and pioneer new ways to decode the secrets of the proteome to improve human health. Our growth strategy is to:</w:t>
      </w:r>
    </w:p>
    <w:p>
      <w:pPr>
        <w:spacing w:after="0" w:line="171" w:lineRule="exact"/>
        <w:rPr>
          <w:sz w:val="20"/>
          <w:szCs w:val="20"/>
          <w:color w:val="auto"/>
        </w:rPr>
      </w:pPr>
    </w:p>
    <w:p>
      <w:pPr>
        <w:ind w:left="340" w:right="26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the Proteograph Product Suite to enable researchers to create large-scale unbiased proteomic datasets that generate transformative scientific insights. </w:t>
      </w:r>
      <w:r>
        <w:rPr>
          <w:rFonts w:ascii="Arial" w:cs="Arial" w:eastAsia="Arial" w:hAnsi="Arial"/>
          <w:sz w:val="18"/>
          <w:szCs w:val="18"/>
          <w:color w:val="auto"/>
        </w:rPr>
        <w:t>The Proteograph Product Suite uniquely enables researchers and clinicians to generate unbiased, deep proteomic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at speed and scale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4" w:lineRule="exact"/>
        <w:rPr>
          <w:sz w:val="20"/>
          <w:szCs w:val="20"/>
          <w:color w:val="auto"/>
        </w:rPr>
      </w:pPr>
    </w:p>
    <w:p>
      <w:pPr>
        <w:ind w:left="340" w:right="940"/>
        <w:spacing w:after="0" w:line="277" w:lineRule="auto"/>
        <w:rPr>
          <w:sz w:val="20"/>
          <w:szCs w:val="20"/>
          <w:color w:val="auto"/>
        </w:rPr>
      </w:pPr>
      <w:r>
        <w:rPr>
          <w:rFonts w:ascii="Arial" w:cs="Arial" w:eastAsia="Arial" w:hAnsi="Arial"/>
          <w:sz w:val="18"/>
          <w:szCs w:val="18"/>
          <w:color w:val="auto"/>
        </w:rPr>
        <w:t>not previously possible. The utility and potential applications of these capabilities are broad, spanning across basic research and discovery, translational research, diagnostics and applied applications.</w:t>
      </w:r>
    </w:p>
    <w:p>
      <w:pPr>
        <w:spacing w:after="0" w:line="116" w:lineRule="exact"/>
        <w:rPr>
          <w:sz w:val="20"/>
          <w:szCs w:val="20"/>
          <w:color w:val="auto"/>
        </w:rPr>
      </w:pPr>
    </w:p>
    <w:p>
      <w:pPr>
        <w:ind w:left="340" w:right="60" w:hanging="332"/>
        <w:spacing w:after="0" w:line="293"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market development activities to establish the importance of large-scale proteomic data and the ability to access it</w:t>
      </w:r>
      <w:r>
        <w:rPr>
          <w:rFonts w:ascii="Arial" w:cs="Arial" w:eastAsia="Arial" w:hAnsi="Arial"/>
          <w:sz w:val="16"/>
          <w:szCs w:val="16"/>
          <w:color w:val="auto"/>
        </w:rPr>
        <w:t>. To expand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10"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40" w:right="18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build our commercial infrastructure and manufacturing capabilities to enable global customer base expansion. </w:t>
      </w:r>
      <w:r>
        <w:rPr>
          <w:rFonts w:ascii="Arial" w:cs="Arial" w:eastAsia="Arial" w:hAnsi="Arial"/>
          <w:sz w:val="18"/>
          <w:szCs w:val="18"/>
          <w:color w:val="auto"/>
        </w:rPr>
        <w:t>We are building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infrastructure to sell and support our products directly in the United States, the European Union and United Kingdom. We are expanding access to our products in other geographies, starting with select countries in Asia Pacific through distributors, and eventually to the rest of the world. We are also scaling our manufacturing capabilities in our facility in Redwood City, California, and will continually evaluate and optimize our manufacturing and supply chain footprint to meet our business objectives.</w:t>
      </w:r>
    </w:p>
    <w:p>
      <w:pPr>
        <w:spacing w:after="0" w:line="133" w:lineRule="exact"/>
        <w:rPr>
          <w:rFonts w:ascii="Arial" w:cs="Arial" w:eastAsia="Arial" w:hAnsi="Arial"/>
          <w:sz w:val="18"/>
          <w:szCs w:val="18"/>
          <w:color w:val="auto"/>
        </w:rPr>
      </w:pPr>
    </w:p>
    <w:p>
      <w:pPr>
        <w:ind w:left="340" w:right="20" w:hanging="332"/>
        <w:spacing w:after="0" w:line="296"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To help seed the growth of this ecosystem, we spun-out a new company called PrognomIQ, which plans to develop and commercialize diagnostic tests for early disease detection, leveraging the Proteograph Product Suite in combination with other omics technologies.</w:t>
      </w:r>
    </w:p>
    <w:p>
      <w:pPr>
        <w:spacing w:after="0" w:line="107" w:lineRule="exact"/>
        <w:rPr>
          <w:rFonts w:ascii="Arial" w:cs="Arial" w:eastAsia="Arial" w:hAnsi="Arial"/>
          <w:sz w:val="16"/>
          <w:szCs w:val="16"/>
          <w:color w:val="auto"/>
        </w:rPr>
      </w:pPr>
    </w:p>
    <w:p>
      <w:pPr>
        <w:ind w:left="340" w:hanging="332"/>
        <w:spacing w:after="0" w:line="273"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proprietary engineered NP technology to analyze other biomolecules such nucleic acids, metabolites and small molecules among others. As we continue to work closely with our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the Proteograph Product Suite</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We believe that researchers will use the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The Proteograph Product Suite is designed to enable the use of unbiased proteomic data at scale, which we believe will greatly accelerate these areas of basic research and discovery.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Proteograph Product Suite is designed to enable researchers to broadly explore the complexity and diversity of the proteome at the peptide and amino acid levels and discover many distinct protein variants. We expect that researchers will use the Proteograph solution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We believe that as researchers pursue large-scale proteomics studies, the literature that links disease biology to protein variants produced from alternative RNA splicing and from PTMs will exponentially increase.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The Proteograph generates large-scale unbiased proteomic data, which will facilitate mapping protein variants to genomic variants, and therefore, the advancement of the emerging proteogenomics field. Given the current level of access to genomic and transcriptomic information, as researchers conduct the large-scale proteomics studies that the Proteograph enables, we expect proteogenomic content to rapidly increase, providing functional information to existing genomics and gene expression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Access to the deep unbiased proteomic information provided by the Proteograph may enable researchers to better understand biological implications of known PPIs. Furthermore, given our highly parallel sampling of the proteome across multiple NPs and many samples, we believe researchers using the Proteograph Product Suite may be able to leverage machine learning methods on the resulting large data sets to derive novel PPIs.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Researchers can use the Proteograph to address translational research applications, which aim to shorten the cycle time from early discovery research to clinical application. The Proteograph Product Suite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the Proteograph can greatly enable the discovery of biomarkers through large-scale, unbiased and deep proteomics studies.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large-scale access to protein variant information that map to different states of health and disease, as enabled by the Proteograph and concurrent advances in proteogenomics, has the potential to lead to the discovery of personalized drug targets that could reach the hundred thousand range. We believe that the translational application of the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Clinical researchers can use the Proteograph Product Suite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Proteograph Product Suite may also be used to select and group patients in clinical studies based on their proteomics profiles. As our understanding of the complexity of biology increases with new data accrued from the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the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see significant opportunities for researchers to use the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the Proteograph solution potentially creating ecosystems, including proteomics and multi-omics based diagnostics in cancer and other complex disease areas. We expect that the Proteograph solution will be used by companies in the healthcare testing space, including PrognomIQ, and we will support all of these customers as the ecosystem grows. We plan to enable our customers by providing the Proteograph Product Suite for their basic research and translational research applications, as they develop their own diagnostic applications.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Outside of the areas related to human health, we believe there are opportunities for the Proteograph solution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the Proteograph can complement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the Proteograph Product Suite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has indicated that it plans to combine the protein data from the Proteograph with genomics and other omics data, to create a multi-omics approach to health and disease testing, which we believe will help us drive the adoption of the Proteograph Product Suite in these applications.</w:t>
      </w:r>
    </w:p>
    <w:p>
      <w:pPr>
        <w:spacing w:after="0" w:line="11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2022.</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The Brigham and Women’s Hospital, Inc.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The Proteograph Product Suite is an integrated solution comprising consumables, an automation instrument and software. We have developed the Proteograph solution to simplify and accelerate proteomics workflow, reduce labor and capital requirements, and deliver robust and reproducible performance. We will focus on growing the installed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 of the Proteograph across a wide variety of customer types and driving applications, scale of experimentation and discoveries that lead to increasing utilization of the Proteograph Product Suite by our customers.</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the Proteograph Product Suite and associated consumables in line with typical purchases of other life science instrumentation and consumables. We believe that we have priced the Proteograph Product Suite to be affordable to most researchers who can directly make the buying decision, without the need for additional levels of approval, simplifying our sales process. For example, we price the SP100 automation instrument on a comparable basis to other similar automated fluid handling systems currently available. We price the Proteograph consumables, on a per sample basis, in a range similar to that of other life sciences consumables that provide deep and unbiased omic information.</w:t>
      </w:r>
    </w:p>
    <w:p>
      <w:pPr>
        <w:spacing w:after="0" w:line="11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technology and key applications in easy-to-access, easy-to-understand, and scientifically rigorous and credible ways. We have partnered with select service facilities and core labs globally to be Centers of Excellence for the Proteograph solution. These sites have become our customers and provide fee-for service capabilities that allow interested parties to access and evaluate the Proteograph Product Suite using their own samples. We expect that these Centers of Excellence will actively promote the Proteograph solution and its capabilities and help us further raise awareness.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the Proteograph Product Suite, depending upon customer need. We recognize that excellent customer support can be a critical part of a customer experience, and we will invest accordingly in our technical and application support to achieve the desired levels of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are building out our commercial organization across marketing, sales, customer success, and technical support functions to support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expect to expand our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the Proteograph Product Suite does not have a large capital expenditure component, can leverage the existing installed base of MS instruments and complements large-scale genomics data ecosystems.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enter broad commercial availability. We obtain some of the reagents and components used in the Proteograph workflow from third-party suppliers. While some of these reagents and components are sourced from a single supplier, these products are readily available from numerous suppliers. While we perform some filling and packaging of the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designed the SP100 automation instrument and have outsourced the manufacturing of the SP100 automation instrument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the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Current companies that provide proteomics products include Agilent Technologies, Bruker, Danaher, DiaSorin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Quantum-Si and SomaLogic.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notification, known as 510(k), or premarket approval pursuant to the FDC Act prior to marketing, unless subject to an exemption.</w:t>
      </w:r>
    </w:p>
    <w:p>
      <w:pPr>
        <w:spacing w:after="0" w:line="17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label and sell our products for research use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3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 are</w:t>
      </w:r>
      <w:r>
        <w:rPr>
          <w:rFonts w:ascii="Arial" w:cs="Arial" w:eastAsia="Arial" w:hAnsi="Arial"/>
          <w:sz w:val="16"/>
          <w:szCs w:val="16"/>
          <w:color w:val="auto"/>
        </w:rPr>
        <w:t xml:space="preserve"> </w:t>
      </w:r>
      <w:r>
        <w:rPr>
          <w:rFonts w:ascii="Arial" w:cs="Arial" w:eastAsia="Arial" w:hAnsi="Arial"/>
          <w:sz w:val="16"/>
          <w:szCs w:val="16"/>
          <w:i w:val="1"/>
          <w:iCs w:val="1"/>
          <w:color w:val="auto"/>
        </w:rPr>
        <w:t>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2021, our owned patents and patent applications, if issued, are expected to expire between 2023 and 2043, in each case without taking into account any possible patent term adjustments or extensions and assuming payment of all appropriate maintenance, renewal, annuity, or other governmental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Such patent portfolio owned by us includes:</w:t>
      </w:r>
    </w:p>
    <w:p>
      <w:pPr>
        <w:spacing w:after="0" w:line="171" w:lineRule="exact"/>
        <w:rPr>
          <w:sz w:val="20"/>
          <w:szCs w:val="20"/>
          <w:color w:val="auto"/>
        </w:rPr>
      </w:pPr>
    </w:p>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biosensor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pending PCT patent application that is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pending PCT application that is directed to methods for analyzing protein and nucleic acid molecules in a biological sample;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identification and classification of biological states;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exclusively license U.S. patents and patent applications, as well as ex-U.S. patents and pending patent applications from BWH, as of December 31, 2021.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6"/>
          <w:szCs w:val="16"/>
          <w:i w:val="1"/>
          <w:iCs w:val="1"/>
          <w:color w:val="auto"/>
        </w:rPr>
        <w:t>“Risk factors—Risks Related to our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Brigham and Women’s Hospital</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1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use our product to analyze protein signatures in diseased vs. non-diseased samples undergoing drug perturbations in various clinical applications including cardiovascular disease.</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2021, Discovery Life Sciences, a biomedical and genomic research center, became one of our collaborators. In March 2021, the Salk Institute for Biological Studies, a multi-disciplinary research institute, focused on addressing challenging health issues, including cancer, Alzheimer’s, diabetes, became one of our collaborators. In January 2022, we entered into an agreement to form the Proteogenomics Consortium with Discovery Life Sciences and SCIEX. Through this multi-year effort, Discovery will expand and offer unbiased proteomics capabilities to their existing genomics customers using the Proteograph Product Suite and the SCIEX ZenoTOF 7600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Wolfgang Parak, Ph.D., Ralph Weissleder, M.D. and Luis Diaz,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Our employees are guided by our mission to imagine and pioneer news ways to decode the secrets of the proteome to improve human health. Our core values Better Together, Customer Centric, Difference Makers, People First and Trailblazers guide us on our path toward achieving our mission. Our core values set the foundation for how we conduct business, interact with each other and our customers and evaluate employee performance.</w:t>
      </w:r>
    </w:p>
    <w:p>
      <w:pPr>
        <w:spacing w:after="0" w:line="9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December 31, 2021, we had 118 employees, all based in the United States, many of whom hold masters and doctorate degrees. Of these employees, 62 were engaged in in research and development activities, 13 were engaged in manufacturing and operations, and 43 were engaged in selling, general and administrative activities. We consider our relationship with our employees to be good. None of our employees are represented by a labor union or covered under a collective bargaining agreement.</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or that can be accessed through, our website should not be considered to be part of this Annual Report.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published studies referenced throughout this Annual Report and the citations for those studies are listed below. The studies listed below are not a part of this prospectus and are not incorporated by reference in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Bludau, I. et al. Proteomic and interactomic insights into the molecular basis of cell functional diversity. </w:t>
      </w:r>
      <w:r>
        <w:rPr>
          <w:rFonts w:ascii="Arial" w:cs="Arial" w:eastAsia="Arial" w:hAnsi="Arial"/>
          <w:sz w:val="17"/>
          <w:szCs w:val="17"/>
          <w:i w:val="1"/>
          <w:iCs w:val="1"/>
          <w:color w:val="auto"/>
        </w:rPr>
        <w:t>Nat Rev Molec Cell Biol</w:t>
      </w:r>
      <w:r>
        <w:rPr>
          <w:rFonts w:ascii="Arial" w:cs="Arial" w:eastAsia="Arial" w:hAnsi="Arial"/>
          <w:sz w:val="17"/>
          <w:szCs w:val="17"/>
          <w:color w:val="auto"/>
        </w:rPr>
        <w:t xml:space="preserve"> </w:t>
      </w:r>
      <w:r>
        <w:rPr>
          <w:rFonts w:ascii="Arial" w:cs="Arial" w:eastAsia="Arial" w:hAnsi="Arial"/>
          <w:sz w:val="17"/>
          <w:szCs w:val="17"/>
          <w:b w:val="1"/>
          <w:bCs w:val="1"/>
          <w:color w:val="auto"/>
        </w:rPr>
        <w:t>21,</w:t>
      </w:r>
      <w:r>
        <w:rPr>
          <w:rFonts w:ascii="Arial" w:cs="Arial" w:eastAsia="Arial" w:hAnsi="Arial"/>
          <w:sz w:val="17"/>
          <w:szCs w:val="17"/>
          <w:color w:val="auto"/>
        </w:rPr>
        <w:t xml:space="preserve"> 327–340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Blume, J.E. et al. Rapid, deep and precise profiling of the plasma proteome with multi-nanoparticle protein corona. </w:t>
      </w:r>
      <w:r>
        <w:rPr>
          <w:rFonts w:ascii="Arial" w:cs="Arial" w:eastAsia="Arial" w:hAnsi="Arial"/>
          <w:sz w:val="18"/>
          <w:szCs w:val="18"/>
          <w:i w:val="1"/>
          <w:iCs w:val="1"/>
          <w:color w:val="auto"/>
        </w:rPr>
        <w:t>Nat. Commun.</w:t>
      </w:r>
      <w:r>
        <w:rPr>
          <w:rFonts w:ascii="Arial" w:cs="Arial" w:eastAsia="Arial" w:hAnsi="Arial"/>
          <w:sz w:val="18"/>
          <w:szCs w:val="18"/>
          <w:color w:val="auto"/>
        </w:rPr>
        <w:t xml:space="preserve"> 11 (2020).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Keshishian, H. et al. Quantitative, multiplexed workflow for deep analysis of human blood plasma and biomarker discovery by mass spectrometry. </w:t>
      </w:r>
      <w:r>
        <w:rPr>
          <w:rFonts w:ascii="Arial" w:cs="Arial" w:eastAsia="Arial" w:hAnsi="Arial"/>
          <w:sz w:val="16"/>
          <w:szCs w:val="16"/>
          <w:i w:val="1"/>
          <w:iCs w:val="1"/>
          <w:color w:val="auto"/>
        </w:rPr>
        <w:t>Nat.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Proc. </w:t>
      </w:r>
      <w:r>
        <w:rPr>
          <w:rFonts w:ascii="Arial" w:cs="Arial" w:eastAsia="Arial" w:hAnsi="Arial"/>
          <w:sz w:val="18"/>
          <w:szCs w:val="18"/>
          <w:color w:val="auto"/>
        </w:rPr>
        <w:t>12 1683-1701 (2017).</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Keshishian, H. et al. Multiplexed, quantitative workflow for sensitive biomarker discovery in plasma yields novel candidates for early myocardial injury.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Molec &amp; Cellular Proteomics </w:t>
      </w:r>
      <w:r>
        <w:rPr>
          <w:rFonts w:ascii="Arial" w:cs="Arial" w:eastAsia="Arial" w:hAnsi="Arial"/>
          <w:sz w:val="18"/>
          <w:szCs w:val="18"/>
          <w:color w:val="auto"/>
        </w:rPr>
        <w:t>14(9) 2375-2393 (2015).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Pietzner, M. et al. Synergistic insights into human health from aptamer- and antibody-based proteomic profiling. </w:t>
      </w:r>
      <w:r>
        <w:rPr>
          <w:rFonts w:ascii="Arial" w:cs="Arial" w:eastAsia="Arial" w:hAnsi="Arial"/>
          <w:sz w:val="17"/>
          <w:szCs w:val="17"/>
          <w:i w:val="1"/>
          <w:iCs w:val="1"/>
          <w:color w:val="auto"/>
        </w:rPr>
        <w:t>Nat Commun.</w:t>
      </w:r>
      <w:r>
        <w:rPr>
          <w:rFonts w:ascii="Arial" w:cs="Arial" w:eastAsia="Arial" w:hAnsi="Arial"/>
          <w:sz w:val="17"/>
          <w:szCs w:val="17"/>
          <w:color w:val="auto"/>
        </w:rPr>
        <w:t xml:space="preserve"> 12, 6822 (2021).</w:t>
      </w:r>
    </w:p>
    <w:p>
      <w:pPr>
        <w:spacing w:after="0" w:line="18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 xml:space="preserve">Schwenk, J.M. et al. The Human Plasma Proteome Draft of 2017: Building on the Human Plasma Peptide 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47, D607-D613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numerous risks and uncertainties that you should consider before investing in our company, as more fully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principal factors and uncertainties that make investing in our company risky include, among others:</w:t>
      </w:r>
    </w:p>
    <w:p>
      <w:pPr>
        <w:spacing w:after="0" w:line="157" w:lineRule="exact"/>
        <w:rPr>
          <w:sz w:val="20"/>
          <w:szCs w:val="20"/>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only recently commenced the broad commercial release of the Proteograph Product Suite, and we may not be able to successfully implement this release as planned;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commercial release success depends on broad scientific and market acceptance of the Proteograph, which we may fail to achieve;</w:t>
      </w:r>
    </w:p>
    <w:p>
      <w:pPr>
        <w:spacing w:after="0" w:line="18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identify and recruit qualified employees, and retain or maintain our employee base, it may adversely impact our business and operations; and</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previously identified material weaknesses in our internal control over financial reporting, and if we fail to maintain an effective system of internal controls, or otherwise fail to comply with the Sarbanes-Oxley Act of 2002 now that we are a large accelerated filer, we may not be able to accurately and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4"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report our financial results, which may adversely affect our business and investor confidence in us and, as a result, the value of our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early-stage life sciences technology company, and we have incurred significant losses since we were formed in 2017, and expect to continue to incur losses in the future. We incurred net losses of $71.2 million and $32.8 million in 2021 and 2020, respectively. As of December 31, 2021, we had an accumulated deficit of $126.5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only recently broadly commercialized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the Proteograph Product Suite on our anticipated timeline;</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left="660" w:right="8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the Proteograph Product Suite,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ability to drive adoption of the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 with third-party distributorships, and their ability to promote and sell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prices at which we will be able to sell the Proteograph Product Suite;</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volume and mix of our sales between the Proteograph Product Suite and associated consumables, or changes in the manufacturing or sales costs related to our products;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the Proteograph, including lead time needed to procure SP100 automation instruments from our third-party contract manufacturer;</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supply chain, and distributors; and</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general industry, economic and market conditions such as inflation and other factors, including factors unrelated to our operating performance or the operating performance of our competitors.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only recently commenced the broad release phase of our commercialization plan, and we may not be able to continue this release as planned.</w:t>
      </w:r>
    </w:p>
    <w:p>
      <w:pPr>
        <w:spacing w:after="0" w:line="2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only recently initiated the broad commercial release phase for the Proteograph Product Suite, and we may not be able to successfully execute on this phase as planned due to:</w:t>
      </w:r>
    </w:p>
    <w:p>
      <w:pPr>
        <w:spacing w:after="0" w:line="116" w:lineRule="exact"/>
        <w:rPr>
          <w:sz w:val="20"/>
          <w:szCs w:val="20"/>
          <w:color w:val="auto"/>
        </w:rPr>
      </w:pPr>
    </w:p>
    <w:p>
      <w:pPr>
        <w:ind w:left="660" w:right="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the Proteograph Product Suite with key opinion leaders and other customers in a timely fashion;</w:t>
      </w:r>
    </w:p>
    <w:p>
      <w:pPr>
        <w:spacing w:after="0" w:line="116"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longer-than expected lead times to establish customer contacts, complete responsive presentations including platform evaluations tailored to specific requests, and move expeditiously from quote to order to revenue to receipt of payment due to the budgetary constraints of academic organizations, laboratories, biopharmaceutical companies and others;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during broad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continuing the build-out of our sales, customer support and marketing organization as needed for broad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ramping up manufacturing, either internally or through our suppliers, to meet the expected demand for broad commercialization; and</w:t>
      </w:r>
    </w:p>
    <w:p>
      <w:pPr>
        <w:spacing w:after="0" w:line="194" w:lineRule="exact"/>
        <w:rPr>
          <w:rFonts w:ascii="Arial" w:cs="Arial" w:eastAsia="Arial" w:hAnsi="Arial"/>
          <w:sz w:val="16"/>
          <w:szCs w:val="16"/>
          <w:color w:val="auto"/>
        </w:rPr>
      </w:pPr>
    </w:p>
    <w:p>
      <w:pPr>
        <w:ind w:left="660" w:right="1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and research industries, our business operations, and resources and the operations of our customers, suppliers and supply chain, and distributors.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the extent our broad commercial release phase is delayed or unsuccessful, our financial results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execute on our broad commercial release phase as planned, our success depends on broad scientific and market acceptance of the Proteograph Product Suite, which we may fail to achieve.</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Proteograph Product Suite to perform intended use applications broadly in the hands of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rate of adoption of the Proteograph Product Suite by academic institutions, laboratories, biopharmaceutical companies and others;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we charge for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the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prior to and during the broad commercial release of the Proteograph Product Suite. To perform sales, marketing, distribution, and customer service and support successfully, we will face a number of risks, including:</w:t>
      </w:r>
    </w:p>
    <w:p>
      <w:pPr>
        <w:spacing w:after="0" w:line="134"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If our sales and marketing efforts, or those of any third-party sales and distribution partners, are not successful, the Proteograph may not gain market acceptance, which could materially impact our business operations.</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produce our SP100 automation instrument and NPs. For instance, “stay-at-home” orders in California, and specifically San Mateo County where our headquarters is located, that require businesses to implement certain social distancing protocols and other written health and safety plans and measures and which could affect productivity and morale, could be reinstated. We have continued to operate within the rules applicable to our business; however, an extended implementation of these governmental mandates could further impact our ability to operate effectively and conduct ongoing research and development or other activities. For onsite work in our Redwood City and San Diego offices, we require employees to show proof of vaccination and perform testing. The COVID-19 pandemic and a skilled labor shortage in general have also had an effect on our ability to attract, recruit and interview candidates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near term, we expect that substantially all of our revenue will be derived from sales of the Proteograph Product Suite, including our instruments and associated consumables, to academic, research and commercial customers. We have moved into broad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27" w:lineRule="exact"/>
        <w:rPr>
          <w:sz w:val="20"/>
          <w:szCs w:val="20"/>
          <w:color w:val="auto"/>
        </w:rPr>
      </w:pPr>
    </w:p>
    <w:p>
      <w:pPr>
        <w:ind w:left="660" w:right="14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newly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On October 13, 2021, we announced that Mr. Ostadan will be taking a leave of absence as an officer of the Company for personal reasons, beginning on November 20, 2021, and lasting approximately three months. Mr. Ostadan returned on a part-time basis as the Company’s President beginning on February 28, 2022 and his part-time status is expected to last approximately ten months for ongoing personal reasons. 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the Proteograph Product Suite from the time it is commercialized through the foreseeable future.</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we have recently moved into broad commercialization, if we are able to successfully broadly commercialize the Proteograph, we expect that we will generate substantially all of our revenue from the sale of the Proteograph Product Suite and associated consumables. There can be no assurance that we will be able to successfully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2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0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commercial companies, academic institutions and other research institutions. Certain of these customers’ funding will be, in turn, provided by various state, federal and international government agencies. As a result, the demand for the Proteograph Product Suite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strategy and funding by commercial companies in their efforts around therapeutic and diagnostic product development and their adoption and use of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opinions in the scientific community, including researchers’ opinions of the utility of the Proteograph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citation of the Proteograph Product Suite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We rely on single suppliers for some of the components of the Proteograph Product Suite, including a single contract manufacturer to manufacture and supply our instruments. If these supplier or manufacturers should fail or not perform satisfactorily, our ability to meet demand and supply the Proteograph Product Suite would be adversely affected.</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the Proteograph solution or supply our instruments on the timelines we require, our business and commercialization efforts would be harmed.</w:t>
      </w:r>
    </w:p>
    <w:p>
      <w:pPr>
        <w:spacing w:after="0" w:line="12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the event it becomes necessary to utilize one or more different contract manufacturers for automated liquid handling workstations, products, or product components associated with the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the Proteograph Product Suite, and our business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1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the Proteograph Product Suite, and adversely affect our business, financial condition, and results of operations.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Proteograph Product Suite utilizes novel and complex technology and may develop or contain undetected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3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the Proteograph Product Suite contains defects, we may experience:</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achieve market acceptance for the Proteograph or expansion of the Proteograph Product Suite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the Proteograph Analysis Suite, our commercialization efforts and therefore business and results of operations could suffer.</w:t>
      </w:r>
    </w:p>
    <w:p>
      <w:pPr>
        <w:spacing w:after="0" w:line="11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success of the Proteograph Product Suite depends, in part, on our ability to design and deploy the Proteograph Analysis Suite in a manner that enables the integration with our potential customers’ systems and accommodates our customers’ needs. Without the Proteograph Analysis Suite, quality control of the workflow and data analysis is less accessible and robust and it may be difficult for our customers to understand and evaluate the quality of their results.</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and will continue to spend significant amounts of effort developing the Proteograph Analysis Suite, and potential enhanced versions over time, to meet our customers’ and potential customers’ evolving needs. There is no assurance that the development or deployment of the Proteograph Analysis Suite, or any potential enhancements, will be compelling to our customers. In addition, we may experience delays in our release dates of the Proteograph Analysis Suite, and there can be no assurance that the Proteograph Analysis Suite will be released according to schedule. If our software development and deployment plan, which may include participation from third party vendors and licensors, does not accurately anticipate customer demands, or if we fail to develop the Proteograph Analysis Suite in a manner that satisfies customer preferences in a timely and cost-effective manner, the Proteograph Product Suite may fail to gain market acceptance. The occurrence of any one or more of the foregoing could negatively affect our business, financial condition, and results of operations.</w:t>
      </w:r>
    </w:p>
    <w:p>
      <w:pPr>
        <w:spacing w:after="0" w:line="13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As we commercialize the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300" w:hanging="328"/>
        <w:spacing w:after="0" w:line="30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03" w:lineRule="exact"/>
        <w:rPr>
          <w:rFonts w:ascii="Arial" w:cs="Arial" w:eastAsia="Arial" w:hAnsi="Arial"/>
          <w:sz w:val="16"/>
          <w:szCs w:val="16"/>
          <w:color w:val="auto"/>
        </w:rPr>
      </w:pPr>
    </w:p>
    <w:p>
      <w:pPr>
        <w:ind w:left="660" w:right="4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 including, without limitation, trade retaliation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100" w:hanging="328"/>
        <w:spacing w:after="0" w:line="31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current commercial model includes direct sales in the United States, and we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distributors can choose the level of effort that they apply to selling our products relative to others in their portfolio.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emerging growth companies that have developed, or are developing, proteomic products and solutions, such as Nautilus Biotechnology, Olink Proteomics, Quanterix, Quantum-Si and SomaLogic.</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Reporting</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Effective December 31, 2021, we no longer qualify as an emerging growth company and the reduced compliance requirements to emerging growth companies no longer apply to us. As such, our auditor is required to attest to the effectiveness of our internal control over financial reporting beginning with this annual report on Form 10-K. We must implement and maintain substantial internal control systems and procedures to satisfy the reporting requirements under the Securities Exchange Act of 1934.</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now that we are a large accelerated filer, we may not be able to accurately and timely report our financial results, which may adversely affect our business and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16" w:lineRule="exact"/>
        <w:rPr>
          <w:sz w:val="20"/>
          <w:szCs w:val="20"/>
          <w:color w:val="auto"/>
        </w:rPr>
      </w:pPr>
    </w:p>
    <w:p>
      <w:pPr>
        <w:ind w:left="660" w:right="4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2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identify.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17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If we sought and received regulatory clearance or approval for certain of our products, we would be subject to ongoing FDA obligations and continued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regulatory oversight and review, including the general controls listed above and the FDA’s QSRs for our development and manufacturing operations. In</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products are subject to regulatory clearance or approval, our business, financial condition, or results of operations could be adversely affected.</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M&amp;A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funding development and marketing efforts of the Proteograph Product Suite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6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commercializing the Proteograph Product Suite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entering into an agreement with any particular target or obtain the expected benefits of any acquisition or investment.</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As of December 31, 2021, we held approximately 19% of the outstanding capital stock of PrognomIQ. We may not realize the potential benefits of forming PrognomIQ for a variety of reasons, including:</w:t>
      </w:r>
    </w:p>
    <w:p>
      <w:pPr>
        <w:spacing w:after="0" w:line="1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the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position in PrognomIQ may add complexities to our business from a finance, tax and accounting perspective.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0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1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December 2014, the USPTO has published and continues to publish revised guidelines for patent examiners to apply when examining process claims for patent eligibility.</w:t>
      </w:r>
    </w:p>
    <w:p>
      <w:pPr>
        <w:spacing w:after="0" w:line="1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Proceedings to enforce our or our licensor’s patent rights in foreign jurisdictions could result in substantial cost and divert our efforts and attention from other aspects of our business, could put our and our licensor’s patents at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288" w:lineRule="auto"/>
        <w:rPr>
          <w:sz w:val="20"/>
          <w:szCs w:val="20"/>
          <w:color w:val="auto"/>
        </w:rPr>
      </w:pPr>
      <w:r>
        <w:rPr>
          <w:rFonts w:ascii="Arial" w:cs="Arial" w:eastAsia="Arial" w:hAnsi="Arial"/>
          <w:sz w:val="16"/>
          <w:szCs w:val="16"/>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and technologies, including the Proteograph Product Suite for an adequate amount of time.</w:t>
      </w:r>
    </w:p>
    <w:p>
      <w:pPr>
        <w:spacing w:after="0" w:line="1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identical to ours, which could have a material adverse effect on our business, financial condition and results of operations.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33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1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44"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two patent families, one of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our Proteograph Product Suite, or we could lose certain rights to grant sublicenses.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5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and our licensed pending patent applications, or those that we may own or license in the future, will not lead to issued patents;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and our licensor(s),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be sustained.</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degree to which our launch and commercialization of our products meets the expectations of securities analysts and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being less than anticipated or 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Recently, stock markets in general, and the market for life sciences technology companies in particular, have experienced significant price and volume fluctuations that have often been unrelated or disproportionate to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6" w:name="page67"/>
    <w:bookmarkEnd w:id="66"/>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February 28, 2022, the holders of our Class B common stock hold in the aggregate 45.7% of the voting power of our capital stock.</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action, we may incur additional costs associated with resolving such action in other jurisdictions, which could harm our results of operations.</w:t>
      </w:r>
    </w:p>
    <w:p>
      <w:pPr>
        <w:spacing w:after="0" w:line="171" w:lineRule="exact"/>
        <w:rPr>
          <w:sz w:val="20"/>
          <w:szCs w:val="20"/>
          <w:color w:val="auto"/>
        </w:rPr>
      </w:pPr>
    </w:p>
    <w:p>
      <w:pPr>
        <w:jc w:val="both"/>
        <w:ind w:right="34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stockholders are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2021 we had U.S. federal and state net operating loss carryforwards (NOLs) of $94.0 million and $84.5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public company, we continue to incur significant legal, accounting, compliance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1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95" w:lineRule="exact"/>
        <w:rPr>
          <w:sz w:val="20"/>
          <w:szCs w:val="20"/>
          <w:color w:val="auto"/>
        </w:rPr>
      </w:pPr>
    </w:p>
    <w:p>
      <w:pPr>
        <w:ind w:right="96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facilities in Redwood City and those of our third-party manufacturers are vulnerable to natural disasters, public health crises, including the impact of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becomes effective on January 1, 2023, and on June 8, 2021, Colorado enacted the Colorado Privacy Act, or CPA, which takes effect on July 1, 2023. The CPA and CDPA share similarities with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3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February 2032. In addition, we lease approximately 6,000 square of office space in San Diego, California under a lease that runs through September 2023. We do not own any real property and believe that our current facilities are sufficient to meet our ongoing needs and that, if we require additional space, we will be able to obtain additional facilities on commercially reasonable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4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“SEER” since December 4, 2020. Prior to that date, there was no public trading market for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not listed or traded on any stock exchange.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February 22, 2022, there were 49 holders of record of our Class A common stock and 6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8, 2020, we closed our initial public offering, or IPO, of 10,592,106 shares of common stock (inclusive of 1,381,579 shares of common stock from the full exercise of the overallotment option of shares granted to the underwriters). The offer and sale of all of the shares in the initial public offering were registered under the Securities Act pursuant to a registration statement on Form S-1 (File Nos. 333-250035 and 333-251116), which was declared effective by the SEC on December 3, 2020. J.P. Morgan Securities LLC, Morgan Stanley &amp; Co. LLC, BofA Securities, Inc. and Cowen and Company, LLC acted as the underwriters. The public offering price of the shares sold in the offering was $19.00 per share. The total gross proceeds from the offering were $201.3 million.</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After deducting underwriting discounts and commissions of $14.1 million and offering expenses paid or payable by us of approximately $3.3 million, the net proceeds from the offering were approximately $183.9 million.</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IPO prospectus filed with the SEC on December 4, 2020 pursuant to rule 424(b) of the Securities Act. We invested the funds received in short-term and long-term, interest-bearing investment-grade securities and government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mission is to imagine and pioneer new ways to decode the secrets of the proteome to improve human health. Our initial product, the Proteograph Product Suite (Proteograph), leverages our proprietary engineered nanoparticle (NP) technology to provide unbiased, deep, rapid and large-scale access to the proteome. The Proteograph Product Suite is an integrated solution that is comprised of consumables, an automation instrument and software.</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3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the Proteograph consumables. We expect a highly efficient sales model because our workflow integrates with most existing proteomics laboratories’ workflows and also complements large-scale genomics research.</w:t>
      </w:r>
    </w:p>
    <w:p>
      <w:pPr>
        <w:spacing w:after="0" w:line="10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broadly commercializing the Proteograph Product Suite through a direct sales channel in the United States, and through both direct and distributor sales channels in regions outside the United States. Given our recent launch of broad commercialization, we have built, and will continue to build, sales, marketing, support and product distribution capabilities. We will continue to build the necessary infrastructure for these activities in the United States, European Union, the United Kingdom, and other countries and regions, including Asia-Pacific, as we execute on our broad release commercialization strategy for the Proteograph.</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enter broad commercial availability. We obtain some of the reagents and components used in the Proteograph workflow from third-party suppliers. While some of these reagents and components are sourced from a single supplier, these products are readily available from numerous suppliers. While we perform some filling and packaging of the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is on a fixed schedule during the initial term of the agreement, with tiered pricing dependent upon the number of units purchased in a twelve-month period.</w:t>
      </w:r>
    </w:p>
    <w:p>
      <w:pPr>
        <w:spacing w:after="0" w:line="13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On December 8, 2020, we completed our IPO, in which we sold 10,592,106 shares of Class A common stock at a price to the public of $19.00 per share, resulting in net proceeds of $183.9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years ended December 31, 2021 and 2020, we incurred a net loss of $71.2 million and $32.8 million and used $46.3 million and $20.8 million of cash in operations, respectively. As of December 31, 2021, we had an accumulated deficit of $126.5 million and cash, cash equivalents, and investments of $493.3 million. We expect to continue to incur significant and increasing losses and do not expect positive cash flows from operations for the foreseeable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broadly commercialize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build our sales, marketing, service, support and distribution infrastructure as part of our broad commercialization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the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build the infrastructure to operate and scale as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2020, we transferred certain assets related to human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 as of December 31, 2021.</w:t>
      </w:r>
    </w:p>
    <w:p>
      <w:pPr>
        <w:spacing w:after="0" w:line="1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has indicated that it plans to combine the protein data from the Proteograph solution with genomics and other -omics data, to create a multi-omics approach to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and disease testing. We believe PrognomIQ’s use of proteomics and the potential for other similar companies which use proteomics in their research and products will help us drive the adoption of the Proteograph Product Suite in these applications. We have entered into certain agreements with PrognomIQ.</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Dr. Ma has fully transitioned to PrognomIQ, but will remain our consultant through April 2022. In addition, three of our other employees also transitioned to PrognomIQ. We provided general transition services and support, including laboratory and office space to PrognomIQ during the transition period.</w:t>
      </w:r>
    </w:p>
    <w:p>
      <w:pPr>
        <w:spacing w:after="0" w:line="13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granted PrognomIQ a non-exclusive license to certain patents and patent applications that we own and a non-exclusive sublicense to certain patent applications we exclusively licensed from Brigham and Women’s Hospital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 In accordance with the non-exclusive license agreement with PrognomIQ, we entered into a supply agreement with PrognomIQ in June 2021. The PrognomIQ supply agreement provides that we will supply PrognomIQ with the Proteograph Product Suite and associated consumables.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manufacturing and commercial operations.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A portion of our revenue is generated by sales to a related party and we anticipate a portion of our revenue to continue to be generated by sales to such related party. Our grant-funded activities are expected to decrease as a percentage of total revenue as we decrease grant-funded activities and continue to ramp up commercialization of the Proteograph Product Suite.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utilize third-party manufacturers for production of our SP100 instrument and we manufacture our NPs and assemble our assay kits internally. Cost of goods sold consists primarily of costs of the components of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and allocated overhead.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6"/>
          </w:tcPr>
          <w:p>
            <w:pPr>
              <w:ind w:left="58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120" w:type="dxa"/>
            <w:vAlign w:val="bottom"/>
          </w:tcPr>
          <w:p>
            <w:pPr>
              <w:ind w:left="24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Pr>
          <w:p>
            <w:pPr>
              <w:ind w:left="240"/>
              <w:spacing w:after="0"/>
              <w:rPr>
                <w:sz w:val="20"/>
                <w:szCs w:val="20"/>
                <w:color w:val="auto"/>
              </w:rPr>
            </w:pPr>
            <w:r>
              <w:rPr>
                <w:rFonts w:ascii="Arial" w:cs="Arial" w:eastAsia="Arial" w:hAnsi="Arial"/>
                <w:sz w:val="18"/>
                <w:szCs w:val="18"/>
                <w:color w:val="auto"/>
              </w:rPr>
              <w:t>Related party</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and 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6"/>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909 %</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120" w:type="dxa"/>
            <w:vAlign w:val="bottom"/>
          </w:tcPr>
          <w:p>
            <w:pPr>
              <w:ind w:left="240"/>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Related party</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34,305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other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9920" w:firstLine="8"/>
        <w:spacing w:after="0" w:line="514" w:lineRule="auto"/>
        <w:tabs>
          <w:tab w:leader="none" w:pos="135"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6,617</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5,961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909 %</w:t>
            </w:r>
          </w:p>
        </w:tc>
      </w:tr>
    </w:tbl>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Revenue increased by $6.0 million, or 909%, from $0.7 million in 2020 to $6.6 million in 2021, due to sales of products related to the Proteograph Product Suite in the year ended December 31, 2021. Revenue recognized primarily consisted of sales of the Proteograph SP100 instrument, consumable kits and platform evaluations, of which $2.3 million was attributed to related parties and $0.5 million was attributable to a research-related service agreement. Revenue related to our grant-funded activities related to our Small Business Innovation Research (SBIR) grant from the National Institutes of Health Grant (NIH) decreased between the two periods by ($0.1) million and research collaboration revenue decreased by ($0.3)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0"/>
        </w:trPr>
        <w:tc>
          <w:tcPr>
            <w:tcW w:w="5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60" w:type="dxa"/>
            <w:vAlign w:val="bottom"/>
            <w:gridSpan w:val="5"/>
          </w:tcPr>
          <w:p>
            <w:pPr>
              <w:jc w:val="right"/>
              <w:ind w:right="1282"/>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3,205</w:t>
            </w:r>
          </w:p>
        </w:tc>
        <w:tc>
          <w:tcPr>
            <w:tcW w:w="110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3,205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Cost of revenue for the year ended December 31, 2021 was $3.2 million compared to $0 for the year ended December 31, 2020, primarily due to the initial sales of the Proteograph Product Suite. Cost of revenue related to the Proteograph Product Suite consist of costs of the SP100 instrument, consumable kits and other related costs, including labor and overhead.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09"/>
        </w:trPr>
        <w:tc>
          <w:tcPr>
            <w:tcW w:w="5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8"/>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29,121</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10,179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R&amp;D expenses increased by $10.2 million, or 54%, from $18.9 million in 2020 to $29.1 million in 2021. The increase was primarily due to an increase in product development efforts related to the Proteograph Product Suite including $11.1 million in employee compensation costs and other related expenses, including stock-based compensation. This was offset by a decrease in clinical study fees of ($0.8) million related to the costs associated with the ramp down of site enrollment for clinical studies related to the collection of biological samples for research use. These clinical studies are related to the assets transferred to PrognomIQ.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8"/>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45,764</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30,401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r>
    </w:tbl>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general and administrative expenses increased by $30.4 million, or 198%, from $15.4 million in 2020 to $45.8 million in 2021, primarily due to a $7.5 million increase in employee compensation and other related expenses, and a $13.3 million increase in stock-based compensation. Other increases are attributable to $0.8 million in marketing costs related to the Limited Release phase of our commercial launch, and costs related to becoming a publicly traded company including a $4.2 million increase in professional and consulting fees related to accounting and audit services, and a $4.7 million increase in general business expenses which includes insurance premiums.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3"/>
          </w:tcPr>
          <w:p>
            <w:pPr>
              <w:jc w:val="right"/>
              <w:ind w:right="239"/>
              <w:spacing w:after="0"/>
              <w:rPr>
                <w:sz w:val="20"/>
                <w:szCs w:val="20"/>
                <w:color w:val="auto"/>
              </w:rPr>
            </w:pPr>
            <w:r>
              <w:rPr>
                <w:rFonts w:ascii="Arial" w:cs="Arial" w:eastAsia="Arial" w:hAnsi="Arial"/>
                <w:sz w:val="14"/>
                <w:szCs w:val="14"/>
                <w:i w:val="1"/>
                <w:iCs w:val="1"/>
                <w:color w:val="auto"/>
                <w:w w:val="95"/>
              </w:rPr>
              <w:t>(dollars in thousands)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5"/>
              </w:rPr>
              <w:t>(570)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4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other income decreased by ($0.6) million or (65%), from $0.9 million in 2020 to $0.3 million in 2021. Short-term interest rate yields decreased significantly during fiscal year 2020 and remained low during fiscal year 2021. These decreases were partially offset quantitatively by higher amounts of cash invested in money market funds and U.S. Treasury securities during fiscal year 2020 and fiscal year 2021 as a result of multiple private and public financing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Annual Report to operate our business and to meet our cash requirements.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IPO that closed on December 8, 2020, we sold 10,592,106 shares of Class A common stock and received net proceeds of $183.9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and received net proceeds of $103.0 million after deducting offering costs, underwriting discounts and commissions.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81"/>
        </w:trPr>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(20,828)</w:t>
            </w:r>
          </w:p>
        </w:tc>
        <w:tc>
          <w:tcPr>
            <w:tcW w:w="10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(170,878)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w w:val="92"/>
              </w:rPr>
              <w:t>(34,558)</w:t>
            </w:r>
          </w:p>
        </w:tc>
        <w:tc>
          <w:tcPr>
            <w:tcW w:w="10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8"/>
              </w:rPr>
              <w:t>371,486</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316,100</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2021, cash used in operating activities was $46.3 million, attributable to a net loss of $71.2 million, partially offset by a net change in our net operating assets and liabilities of ($5.9) million and non-cash charges of $30.7 million. Non-cash charges primarily consisted of $25.9 million in stock-based compensation, $2.6 million of depreciation and amortization, $1.2 million of net amortization of premiums on available-for-sales securities and $1.0 million of non-cash operating lease expense. The change in our net operating assets and liabilities was primarily due to an increase in inventory levels of $3.6 million, an increase in accounts receivable of $2.5 million and a decrease of $0.6 million in accrued research and development and partially offset by an increase in accounts payable of $1.6 million.</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2020, cash used in operating activities was $20.8 million, attributable to a net loss of ($32.8) million, partially offset by a net change in our net operating assets and liabilities of $2.7 million and non-cash charges of $9.2 million. Non-cash charges primarily consisted of $7.3 million in stock-based compensation, $1.6 million of depreciation and amortization and $0.3 million of net amortization of premiums on available-for-sales securities. The change in our net operating assets and liabilities was primarily due to increased accrued liabilities related to employee-related compensation of $1.3 million, and professional, consulting and legal fees related to our initial public offering of $1.1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2021, cash used in investing activities was $170.9 million, which related to cashflow used in purchases of available-for-sale securities, net of proceeds from maturities of ($164.0) million, in addition to ($6.9)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2020, cash used in investing activities was $34.6 million, which related to cashflows provided by purchases of available-for-sale securities, net of proceeds from maturities of $30.0 million, in addition to $4.5 million in payments primarily for laboratory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2021, cash provided by financing activities was $116.6 million. This was primarily attributable to net proceeds of $103.0 million from issuance of common stock upon our follow-on offering, net of issuance costs, $11.4 million in short-swing profits from a beneficial owner and $1.9 million from the exercise of stock options.</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2020, cash provided by financing activities was $371.5 million. This was attributable to net proceeds of $183.9 million from issuance of common stock upon initial public offering, net of issuance costs, net proceeds of $130.3 million from the concurrent private placement, net of issuance costs, and net proceeds of $54.9 million from the issuance of Series D-1 convertible preferred stock, net of issuance costs.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spacing w:after="0" w:line="9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first quarter of 2022, the annual base rent will be $0.9 million in the first twelve months of the lease term (subject to an abatement period of nine months), and increases on an annual basis to $1.2 million in the final twelve months of the lease term. The amendment also provides for tenant incentives in the amount of $2.4 million.</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April 2021, we entered into a lease amendment for this facility to further expand the office and laboratory space for an approximate term of eleven years. Payments associated with this operating lease agreement will result in additional operating lease obligations not included in the above paragraph of approximately $160,000 per month plus operating expenses.</w:t>
      </w:r>
    </w:p>
    <w:p>
      <w:pPr>
        <w:spacing w:after="0" w:line="13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have certain purchase commitments related to our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$5.5 million as of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revenue is generated primarily from the sale of products and services. Product revenue consists of sales of an instrument with embedded software essential to the instrument’s functionality and consumables as well as platform evaluation agreements. Service revenue primarily consists of revenue received from the generation and analysis of proteomic data on behalf of our customers.</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1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spacing w:after="0" w:line="9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Our contracts with our customer generally do not include rights of return or a significant financing component.</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3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hanging="328"/>
        <w:spacing w:after="0" w:line="25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Fair value of common stock—Prior to our IPO, there was no public market for our common stock. As such,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For valuations after the completion of our initial public offering, the fair value of each share of underlying common stock is based on the closing price of our Class A common stock as reported on the date of grant.</w:t>
      </w:r>
    </w:p>
    <w:p>
      <w:pPr>
        <w:spacing w:after="0" w:line="137"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term—The expected term for options granted to employees and directors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 The expected term for options granted to non-employees is the contractual term.</w:t>
      </w:r>
    </w:p>
    <w:p>
      <w:pPr>
        <w:spacing w:after="0" w:line="133"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volatility—As we had no publicly available stock price information prior to our IPO and limited publicly available stock price information subsequent to our IPO,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exposure to market risk relates to our cash, cash equivalents, and investments. The goals of our investment policy are preservation of capital, fulfillment of liquidity needs and capturing a market rate of return based on our investment policy parameters and market conditions. We select investments that maximize interest income to the extent possible within these guidelines. To achieve our goals, we maintain a portfolio of cash equivalents and investments in securities of high credit quality and with varying maturities to match projected cash needs. The securities in our investment portfolio are not leveraged and are classified as available-for-sale.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primarily consists of U.S. government securities. Our investment policy, approved by our Board of Directors, limits the amount we may invest in any one type of investment issuer, thereby reducing credit risk concentrations. All investments are carried at market value, which approximates cost. We do not use derivative financial instruments in our investment portfolio. If market interest rates were to increase or decrease by one hundred basis points, the fair value of our investment portfolio as of December 31, 2021 would increase or decrease by an immaterial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960" w:type="dxa"/>
            <w:vAlign w:val="bottom"/>
            <w:gridSpan w:val="3"/>
          </w:tcPr>
          <w:p>
            <w:pPr>
              <w:jc w:val="center"/>
              <w:ind w:left="2573"/>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8120" w:type="dxa"/>
            <w:vAlign w:val="bottom"/>
            <w:gridSpan w:val="7"/>
          </w:tcPr>
          <w:p>
            <w:pPr>
              <w:spacing w:after="0" w:line="201" w:lineRule="exact"/>
              <w:rPr>
                <w:rFonts w:ascii="Arial" w:cs="Arial" w:eastAsia="Arial" w:hAnsi="Arial"/>
                <w:sz w:val="18"/>
                <w:szCs w:val="18"/>
                <w:color w:val="0000FF"/>
              </w:rPr>
            </w:pPr>
            <w:hyperlink w:anchor="page88">
              <w:r>
                <w:rPr>
                  <w:rFonts w:ascii="Arial" w:cs="Arial" w:eastAsia="Arial" w:hAnsi="Arial"/>
                  <w:sz w:val="18"/>
                  <w:szCs w:val="18"/>
                  <w:color w:val="0000FF"/>
                </w:rPr>
                <w:t xml:space="preserve">Report of Independent Registered Public Accounting Firm (PCAOB ID </w:t>
              </w:r>
            </w:hyperlink>
            <w:r>
              <w:rPr>
                <w:rFonts w:ascii="Arial" w:cs="Arial" w:eastAsia="Arial" w:hAnsi="Arial"/>
                <w:sz w:val="18"/>
                <w:szCs w:val="18"/>
                <w:color w:val="000000"/>
              </w:rPr>
              <w:t>34</w:t>
            </w:r>
            <w:hyperlink w:anchor="page88">
              <w:r>
                <w:rPr>
                  <w:rFonts w:ascii="Arial" w:cs="Arial" w:eastAsia="Arial" w:hAnsi="Arial"/>
                  <w:sz w:val="18"/>
                  <w:szCs w:val="18"/>
                  <w:u w:val="single" w:color="auto"/>
                  <w:color w:val="0000FF"/>
                </w:rPr>
                <w:t>)</w:t>
              </w:r>
            </w:hyperlink>
          </w:p>
        </w:tc>
        <w:tc>
          <w:tcPr>
            <w:tcW w:w="2900" w:type="dxa"/>
            <w:vAlign w:val="bottom"/>
            <w:gridSpan w:val="2"/>
          </w:tcPr>
          <w:p>
            <w:pPr>
              <w:jc w:val="center"/>
              <w:ind w:left="2633"/>
              <w:spacing w:after="0" w:line="201"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84</w:t>
              </w:r>
            </w:hyperlink>
          </w:p>
        </w:tc>
        <w:tc>
          <w:tcPr>
            <w:tcW w:w="60" w:type="dxa"/>
            <w:vAlign w:val="bottom"/>
          </w:tcPr>
          <w:p>
            <w:pPr>
              <w:spacing w:after="0"/>
              <w:rPr>
                <w:sz w:val="17"/>
                <w:szCs w:val="17"/>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Consolidated Balance Sheets</w:t>
              </w:r>
            </w:hyperlink>
          </w:p>
        </w:tc>
        <w:tc>
          <w:tcPr>
            <w:tcW w:w="3100" w:type="dxa"/>
            <w:vAlign w:val="bottom"/>
            <w:gridSpan w:val="5"/>
          </w:tcPr>
          <w:p>
            <w:pPr>
              <w:spacing w:after="0"/>
              <w:rPr>
                <w:sz w:val="18"/>
                <w:szCs w:val="18"/>
                <w:color w:val="auto"/>
              </w:rPr>
            </w:pPr>
          </w:p>
        </w:tc>
        <w:tc>
          <w:tcPr>
            <w:tcW w:w="2920" w:type="dxa"/>
            <w:vAlign w:val="bottom"/>
          </w:tcPr>
          <w:p>
            <w:pPr>
              <w:spacing w:after="0"/>
              <w:rPr>
                <w:sz w:val="18"/>
                <w:szCs w:val="18"/>
                <w:color w:val="auto"/>
              </w:rPr>
            </w:pPr>
          </w:p>
        </w:tc>
        <w:tc>
          <w:tcPr>
            <w:tcW w:w="2900" w:type="dxa"/>
            <w:vAlign w:val="bottom"/>
            <w:gridSpan w:val="2"/>
          </w:tcPr>
          <w:p>
            <w:pPr>
              <w:jc w:val="center"/>
              <w:ind w:left="2633"/>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87</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120" w:type="dxa"/>
            <w:vAlign w:val="bottom"/>
            <w:gridSpan w:val="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Consolidated Statements of Operations and Comprehensive Loss</w:t>
              </w:r>
            </w:hyperlink>
          </w:p>
        </w:tc>
        <w:tc>
          <w:tcPr>
            <w:tcW w:w="2900" w:type="dxa"/>
            <w:vAlign w:val="bottom"/>
            <w:gridSpan w:val="2"/>
          </w:tcPr>
          <w:p>
            <w:pPr>
              <w:jc w:val="center"/>
              <w:ind w:left="2633"/>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88</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680" w:type="dxa"/>
            <w:vAlign w:val="bottom"/>
            <w:gridSpan w:val="5"/>
          </w:tcPr>
          <w:p>
            <w:pPr>
              <w:spacing w:after="0"/>
              <w:rPr>
                <w:rFonts w:ascii="Arial" w:cs="Arial" w:eastAsia="Arial" w:hAnsi="Arial"/>
                <w:sz w:val="18"/>
                <w:szCs w:val="18"/>
                <w:color w:val="0000FF"/>
                <w:w w:val="96"/>
              </w:rPr>
            </w:pPr>
            <w:hyperlink w:anchor="page93">
              <w:r>
                <w:rPr>
                  <w:rFonts w:ascii="Arial" w:cs="Arial" w:eastAsia="Arial" w:hAnsi="Arial"/>
                  <w:sz w:val="18"/>
                  <w:szCs w:val="18"/>
                  <w:color w:val="0000FF"/>
                  <w:w w:val="96"/>
                </w:rPr>
                <w:t>Consolidated Statements of Changes in Stockholders’ Equity</w:t>
              </w:r>
            </w:hyperlink>
          </w:p>
        </w:tc>
        <w:tc>
          <w:tcPr>
            <w:tcW w:w="3440" w:type="dxa"/>
            <w:vAlign w:val="bottom"/>
            <w:gridSpan w:val="2"/>
          </w:tcPr>
          <w:p>
            <w:pPr>
              <w:spacing w:after="0"/>
              <w:rPr>
                <w:sz w:val="18"/>
                <w:szCs w:val="18"/>
                <w:color w:val="auto"/>
              </w:rPr>
            </w:pPr>
          </w:p>
        </w:tc>
        <w:tc>
          <w:tcPr>
            <w:tcW w:w="2900" w:type="dxa"/>
            <w:vAlign w:val="bottom"/>
            <w:gridSpan w:val="2"/>
          </w:tcPr>
          <w:p>
            <w:pPr>
              <w:jc w:val="center"/>
              <w:ind w:left="2633"/>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89</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gridSpan w:val="2"/>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Consolidated Statements of Cash Flows</w:t>
              </w:r>
            </w:hyperlink>
          </w:p>
        </w:tc>
        <w:tc>
          <w:tcPr>
            <w:tcW w:w="1520" w:type="dxa"/>
            <w:vAlign w:val="bottom"/>
            <w:gridSpan w:val="2"/>
          </w:tcPr>
          <w:p>
            <w:pPr>
              <w:spacing w:after="0"/>
              <w:rPr>
                <w:sz w:val="18"/>
                <w:szCs w:val="18"/>
                <w:color w:val="auto"/>
              </w:rPr>
            </w:pPr>
          </w:p>
        </w:tc>
        <w:tc>
          <w:tcPr>
            <w:tcW w:w="3720" w:type="dxa"/>
            <w:vAlign w:val="bottom"/>
            <w:gridSpan w:val="3"/>
          </w:tcPr>
          <w:p>
            <w:pPr>
              <w:spacing w:after="0"/>
              <w:rPr>
                <w:sz w:val="18"/>
                <w:szCs w:val="18"/>
                <w:color w:val="auto"/>
              </w:rPr>
            </w:pPr>
          </w:p>
        </w:tc>
        <w:tc>
          <w:tcPr>
            <w:tcW w:w="2900" w:type="dxa"/>
            <w:vAlign w:val="bottom"/>
            <w:gridSpan w:val="2"/>
          </w:tcPr>
          <w:p>
            <w:pPr>
              <w:jc w:val="center"/>
              <w:ind w:left="2633"/>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90</w:t>
              </w:r>
            </w:hyperlink>
          </w:p>
        </w:tc>
        <w:tc>
          <w:tcPr>
            <w:tcW w:w="60" w:type="dxa"/>
            <w:vAlign w:val="bottom"/>
          </w:tcPr>
          <w:p>
            <w:pPr>
              <w:spacing w:after="0"/>
              <w:rPr>
                <w:sz w:val="18"/>
                <w:szCs w:val="18"/>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gridSpan w:val="3"/>
          </w:tcPr>
          <w:p>
            <w:pP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Notes to Consolidated Financial Statements</w:t>
              </w:r>
            </w:hyperlink>
          </w:p>
        </w:tc>
        <w:tc>
          <w:tcPr>
            <w:tcW w:w="4960" w:type="dxa"/>
            <w:vAlign w:val="bottom"/>
            <w:gridSpan w:val="4"/>
          </w:tcPr>
          <w:p>
            <w:pPr>
              <w:spacing w:after="0"/>
              <w:rPr>
                <w:sz w:val="18"/>
                <w:szCs w:val="18"/>
                <w:color w:val="auto"/>
              </w:rPr>
            </w:pPr>
          </w:p>
        </w:tc>
        <w:tc>
          <w:tcPr>
            <w:tcW w:w="2900" w:type="dxa"/>
            <w:vAlign w:val="bottom"/>
            <w:gridSpan w:val="2"/>
          </w:tcPr>
          <w:p>
            <w:pPr>
              <w:jc w:val="center"/>
              <w:ind w:left="2633"/>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91</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88" w:name="page89"/>
    <w:bookmarkEnd w:id="8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audited the accompanying consolidated balance sheets of Seer, Inc. and subsidiary (the "Company") as of December 31, 2021 and 2020, the related consolidated statements of operations and comprehensive loss,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2022,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effective January 1, 2021 due to the adoption of Financial Accounting Standards Board (“FASB”) Accounting Standard Update (“ASU”)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the modified retrospective approach.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 Revenue Recognition – Product and Services - Refer to Notes 2 and 5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Company’s services primarily consist of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 This process involves identifying the contract with a customer, determining performance obligations in the contract, determining the transaction price, allocating the transaction price to the distinct performance obligations in the contract, and recognizing revenue when the performance obligations have been satisfied. For the year ended December 31, 2021, the Company recognized product and services revenue of $6.4 million.</w:t>
      </w:r>
    </w:p>
    <w:p>
      <w:pPr>
        <w:spacing w:after="0" w:line="1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regularly enters into contracts that include various combinations of products and services, which are generally distinct and accounted for as separate performance obligations.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In instances where right of payment or transfer of title is contingent upon the customer’s acceptance of the product, revenue is deferred until all acceptance criteria have been met.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Given the significant judgments made by management to determine whether various combinations of products and services are distinct and accounted for as separate performance obligations, whether performance obligations have been satisfied, and the standalone selling price of performance obligations, performing audit procedures to evaluate the reasonableness of management’s judgments in the recognition of product and services revenue required a high degree of auditor judgment and an increased extent of effort, including the involvement of more experienced engagement team members. We have identified the revenue recognition of product and services revenue a critical audit matter.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audit procedures related to the significant judgments made by management in the recognition of products and services revenue included the following, among others:</w:t>
      </w:r>
    </w:p>
    <w:p>
      <w:pPr>
        <w:spacing w:after="0" w:line="116" w:lineRule="exact"/>
        <w:rPr>
          <w:sz w:val="20"/>
          <w:szCs w:val="20"/>
          <w:color w:val="auto"/>
        </w:rPr>
      </w:pPr>
    </w:p>
    <w:p>
      <w:pPr>
        <w:ind w:left="180" w:hanging="172"/>
        <w:spacing w:after="0" w:line="263"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the Company’s revenue recognition process, including those over management’s determination of distinct performance obligations, determination of the timing of revenue recognition when performance obligations are satisfied, and determination of the standalone selling prices of performance obligations.</w:t>
      </w:r>
    </w:p>
    <w:p>
      <w:pPr>
        <w:spacing w:after="0" w:line="129" w:lineRule="exact"/>
        <w:rPr>
          <w:rFonts w:ascii="Arial" w:cs="Arial" w:eastAsia="Arial" w:hAnsi="Arial"/>
          <w:sz w:val="18"/>
          <w:szCs w:val="18"/>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the reasonableness of the Company’s significant accounting policies related to product and services revenue recognition.</w:t>
      </w:r>
    </w:p>
    <w:p>
      <w:pPr>
        <w:spacing w:after="0" w:line="171" w:lineRule="exact"/>
        <w:rPr>
          <w:rFonts w:ascii="Arial" w:cs="Arial" w:eastAsia="Arial" w:hAnsi="Arial"/>
          <w:sz w:val="18"/>
          <w:szCs w:val="18"/>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selected a sample of recorded product and services revenue transactions and performed the following procedures:</w:t>
      </w:r>
    </w:p>
    <w:p>
      <w:pPr>
        <w:spacing w:after="0" w:line="171" w:lineRule="exact"/>
        <w:rPr>
          <w:rFonts w:ascii="Arial" w:cs="Arial" w:eastAsia="Arial" w:hAnsi="Arial"/>
          <w:sz w:val="18"/>
          <w:szCs w:val="18"/>
          <w:color w:val="auto"/>
        </w:rPr>
      </w:pPr>
    </w:p>
    <w:p>
      <w:pPr>
        <w:ind w:left="820" w:right="660" w:hanging="326"/>
        <w:spacing w:after="0" w:line="342" w:lineRule="auto"/>
        <w:tabs>
          <w:tab w:leader="none" w:pos="816" w:val="left"/>
        </w:tabs>
        <w:numPr>
          <w:ilvl w:val="1"/>
          <w:numId w:val="38"/>
        </w:numPr>
        <w:rPr>
          <w:rFonts w:ascii="Arial" w:cs="Arial" w:eastAsia="Arial" w:hAnsi="Arial"/>
          <w:sz w:val="16"/>
          <w:szCs w:val="16"/>
          <w:color w:val="auto"/>
        </w:rPr>
      </w:pPr>
      <w:r>
        <w:rPr>
          <w:rFonts w:ascii="Arial" w:cs="Arial" w:eastAsia="Arial" w:hAnsi="Arial"/>
          <w:sz w:val="16"/>
          <w:szCs w:val="16"/>
          <w:color w:val="auto"/>
        </w:rPr>
        <w:t>Obtained and read customer source documents such as contracts, master agreements, and/or amendments thereto, to evaluate if relevant contractual terms have been appropriately identified and considered by management in making revenue recognition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ind w:left="820" w:right="760" w:hanging="326"/>
        <w:spacing w:after="0" w:line="277" w:lineRule="auto"/>
        <w:tabs>
          <w:tab w:leader="none" w:pos="8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management’s application of the Company’s accounting policy and tested revenue recognition for the distinct performance obligations by comparing management’s judgments to the underlying source documents.</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calculations of product and services revenue.</w:t>
      </w:r>
    </w:p>
    <w:p>
      <w:pPr>
        <w:spacing w:after="0" w:line="171" w:lineRule="exact"/>
        <w:rPr>
          <w:rFonts w:ascii="Arial" w:cs="Arial" w:eastAsia="Arial" w:hAnsi="Arial"/>
          <w:sz w:val="18"/>
          <w:szCs w:val="18"/>
          <w:color w:val="auto"/>
        </w:rPr>
      </w:pPr>
    </w:p>
    <w:p>
      <w:pPr>
        <w:ind w:left="820" w:hanging="326"/>
        <w:spacing w:after="0" w:line="277" w:lineRule="auto"/>
        <w:tabs>
          <w:tab w:leader="none" w:pos="8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appropriateness of management’s determination of the timing of revenue recognition and obtained third party evidence of transfer of control of the products and services to the customer.</w:t>
      </w:r>
    </w:p>
    <w:p>
      <w:pPr>
        <w:spacing w:after="0" w:line="116" w:lineRule="exact"/>
        <w:rPr>
          <w:rFonts w:ascii="Arial" w:cs="Arial" w:eastAsia="Arial" w:hAnsi="Arial"/>
          <w:sz w:val="18"/>
          <w:szCs w:val="18"/>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reasonableness of management’s determination of standalone selling prices by performing the following:</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application of the Company’s accounting policy and mathematical accuracy of the determined standalone selling prices.</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Tested the completeness and accuracy of the source data used in management’s calculations.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167,261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Related party receivables</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411,699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539,139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40"/>
              <w:spacing w:after="0" w:line="176" w:lineRule="exact"/>
              <w:rPr>
                <w:sz w:val="20"/>
                <w:szCs w:val="20"/>
                <w:color w:val="auto"/>
              </w:rPr>
            </w:pPr>
            <w:r>
              <w:rPr>
                <w:rFonts w:ascii="Arial" w:cs="Arial" w:eastAsia="Arial" w:hAnsi="Arial"/>
                <w:sz w:val="18"/>
                <w:szCs w:val="18"/>
                <w:color w:val="auto"/>
                <w:w w:val="89"/>
              </w:rPr>
              <w:t>Preferred stock, $0.00001 par value; 5,000,000 shares authorized as of December 31, 2021 and 2020; zero</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400"/>
              <w:spacing w:after="0"/>
              <w:rPr>
                <w:sz w:val="20"/>
                <w:szCs w:val="20"/>
                <w:color w:val="auto"/>
              </w:rPr>
            </w:pPr>
            <w:r>
              <w:rPr>
                <w:rFonts w:ascii="Arial" w:cs="Arial" w:eastAsia="Arial" w:hAnsi="Arial"/>
                <w:sz w:val="18"/>
                <w:szCs w:val="18"/>
                <w:color w:val="auto"/>
              </w:rPr>
              <w:t>shares issued and outstanding as of December 31, 2021 and 2020</w:t>
            </w:r>
          </w:p>
        </w:tc>
        <w:tc>
          <w:tcPr>
            <w:tcW w:w="38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7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Class A common stock, $0.00001 par value; 94,000,000 shares authorized as of December 31, 2021 and</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2"/>
              </w:rPr>
              <w:t>2020; 57,493,005 and 53,395,319 shares issued and outstanding as of December 31, 2021 and 2020,</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240"/>
              <w:spacing w:after="0" w:line="176" w:lineRule="exact"/>
              <w:rPr>
                <w:sz w:val="20"/>
                <w:szCs w:val="20"/>
                <w:color w:val="auto"/>
              </w:rPr>
            </w:pPr>
            <w:r>
              <w:rPr>
                <w:rFonts w:ascii="Arial" w:cs="Arial" w:eastAsia="Arial" w:hAnsi="Arial"/>
                <w:sz w:val="18"/>
                <w:szCs w:val="18"/>
                <w:color w:val="auto"/>
                <w:w w:val="92"/>
              </w:rPr>
              <w:t>Class B common stock, $0.00001 par value; 6,000,000 shares authorized as of December 31, 2021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400"/>
              <w:spacing w:after="0" w:line="176" w:lineRule="exact"/>
              <w:rPr>
                <w:sz w:val="20"/>
                <w:szCs w:val="20"/>
                <w:color w:val="auto"/>
              </w:rPr>
            </w:pPr>
            <w:r>
              <w:rPr>
                <w:rFonts w:ascii="Arial" w:cs="Arial" w:eastAsia="Arial" w:hAnsi="Arial"/>
                <w:sz w:val="18"/>
                <w:szCs w:val="18"/>
                <w:color w:val="auto"/>
                <w:w w:val="94"/>
              </w:rPr>
              <w:t>2020; 4,522,478 and 5,865,732 shares issued and outstanding as of December 31, 2021 and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7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92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502,916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539,139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33"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9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7"/>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Product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Related party</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and other</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Product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Related party</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r>
      <w:tr>
        <w:trPr>
          <w:trHeight w:val="250"/>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21"/>
                <w:szCs w:val="21"/>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tcPr>
          <w:p>
            <w:pPr>
              <w:spacing w:after="0"/>
              <w:rPr>
                <w:sz w:val="21"/>
                <w:szCs w:val="2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shd w:val="clear" w:color="auto" w:fill="CCEEFF"/>
          </w:tcPr>
          <w:p>
            <w:pPr>
              <w:spacing w:after="0"/>
              <w:rPr>
                <w:sz w:val="21"/>
                <w:szCs w:val="2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21"/>
                <w:szCs w:val="2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(71,169)</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shd w:val="clear" w:color="auto" w:fill="CCEEFF"/>
          </w:tcPr>
          <w:p>
            <w:pPr>
              <w:spacing w:after="0"/>
              <w:rPr>
                <w:sz w:val="21"/>
                <w:szCs w:val="2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available-for-sale securities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(32,745)</w:t>
            </w:r>
          </w:p>
        </w:tc>
        <w:tc>
          <w:tcPr>
            <w:tcW w:w="100" w:type="dxa"/>
            <w:vAlign w:val="bottom"/>
          </w:tcPr>
          <w:p>
            <w:pPr>
              <w:spacing w:after="0"/>
              <w:rPr>
                <w:sz w:val="19"/>
                <w:szCs w:val="19"/>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44"/>
        </w:trPr>
        <w:tc>
          <w:tcPr>
            <w:tcW w:w="79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60,863,950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13,216,657</w:t>
            </w:r>
          </w:p>
        </w:tc>
        <w:tc>
          <w:tcPr>
            <w:tcW w:w="100" w:type="dxa"/>
            <w:vAlign w:val="bottom"/>
          </w:tcPr>
          <w:p>
            <w:pPr>
              <w:spacing w:after="0"/>
              <w:rPr>
                <w:sz w:val="21"/>
                <w:szCs w:val="21"/>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39"/>
              <w:spacing w:after="0" w:line="142"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725,579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Issuance of Series D-1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$104</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8"/>
              </w:rPr>
              <w:t>Issuance of Class A common stock upon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rPr>
              <w:t>initial public offering, net of issuance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10,592,106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183,866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183,866</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costs of $17,277</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Class A common stock in</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w w:val="93"/>
              </w:rPr>
              <w:t>connection with private placement, net of</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7,105,262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130,275</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costs of $4,725</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8"/>
              </w:rPr>
              <w:t>Conversion of convertible preferred stock</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162,848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into Class A common stock</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Distribution of PrognomIQ shares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(32,775)</w:t>
            </w:r>
          </w:p>
        </w:tc>
        <w:tc>
          <w:tcPr>
            <w:tcW w:w="0" w:type="dxa"/>
            <w:vAlign w:val="bottom"/>
          </w:tcPr>
          <w:p>
            <w:pPr>
              <w:spacing w:after="0"/>
              <w:rPr>
                <w:sz w:val="1"/>
                <w:szCs w:val="1"/>
                <w:color w:val="auto"/>
              </w:rPr>
            </w:pPr>
          </w:p>
        </w:tc>
      </w:tr>
      <w:tr>
        <w:trPr>
          <w:trHeight w:val="23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59,261,051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431,609</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rPr>
              <w:t>exercise of options and release of</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1,107,059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stock units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Issuance of Class A common stock upon</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w w:val="96"/>
              </w:rPr>
              <w:t>follow-on offering, net of issuance costs</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102,959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102,959</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$7,591</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in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rPr>
              <w:t>connection with employee stock</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17,929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purchase plan</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Return of profit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11,403</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25,927</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(71,169)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(71,169)</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62,015,483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629,981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(126,530)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502,916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62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7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(71,169)</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9"/>
              </w:rPr>
              <w:t>(32,775)</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25,927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7,348</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40"/>
              <w:spacing w:after="0"/>
              <w:rPr>
                <w:sz w:val="20"/>
                <w:szCs w:val="20"/>
                <w:color w:val="auto"/>
              </w:rPr>
            </w:pPr>
            <w:r>
              <w:rPr>
                <w:rFonts w:ascii="Arial" w:cs="Arial" w:eastAsia="Arial" w:hAnsi="Arial"/>
                <w:sz w:val="14"/>
                <w:szCs w:val="14"/>
                <w:color w:val="auto"/>
              </w:rPr>
              <w:t>Net amortization of premium on available-for-sale securities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240"/>
              <w:spacing w:after="0"/>
              <w:rPr>
                <w:sz w:val="20"/>
                <w:szCs w:val="20"/>
                <w:color w:val="auto"/>
              </w:rPr>
            </w:pPr>
            <w:r>
              <w:rPr>
                <w:rFonts w:ascii="Arial" w:cs="Arial" w:eastAsia="Arial" w:hAnsi="Arial"/>
                <w:sz w:val="14"/>
                <w:szCs w:val="14"/>
                <w:color w:val="auto"/>
              </w:rPr>
              <w:t>Non-cash operating lease expense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Related party receivables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912</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Deferred rent</w:t>
            </w: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460"/>
              <w:spacing w:after="0"/>
              <w:rPr>
                <w:sz w:val="20"/>
                <w:szCs w:val="20"/>
                <w:color w:val="auto"/>
              </w:rPr>
            </w:pPr>
            <w:r>
              <w:rPr>
                <w:rFonts w:ascii="Arial" w:cs="Arial" w:eastAsia="Arial" w:hAnsi="Arial"/>
                <w:sz w:val="14"/>
                <w:szCs w:val="14"/>
                <w:color w:val="auto"/>
              </w:rPr>
              <w:t>Accrued research and development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784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used in 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(46,347)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(20,828)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8"/>
                <w:szCs w:val="18"/>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(279,956)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(87,724)</w:t>
            </w:r>
          </w:p>
        </w:tc>
        <w:tc>
          <w:tcPr>
            <w:tcW w:w="8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116,000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57,750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Investment in equity method investee</w:t>
            </w: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09"/>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(170,878)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(34,558)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follow-on public offering, net of issuance costs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102,959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return of profit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exercise of Class A common stock options including early exercised options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8"/>
                <w:szCs w:val="18"/>
                <w:color w:val="auto"/>
              </w:rPr>
            </w:pPr>
          </w:p>
        </w:tc>
      </w:tr>
      <w:tr>
        <w:trPr>
          <w:trHeight w:val="20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in connection with employee stock purchase plan</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 issuance costs</w:t>
            </w: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54,896</w:t>
            </w:r>
          </w:p>
        </w:tc>
        <w:tc>
          <w:tcPr>
            <w:tcW w:w="8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Class A common stock upon initial public offering, net of issuance costs</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185,063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Proceeds of issuance of Class A common stock in private placement</w:t>
            </w: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4"/>
              </w:rPr>
              <w:t>130,275</w:t>
            </w:r>
          </w:p>
        </w:tc>
        <w:tc>
          <w:tcPr>
            <w:tcW w:w="80" w:type="dxa"/>
            <w:vAlign w:val="bottom"/>
          </w:tcPr>
          <w:p>
            <w:pPr>
              <w:spacing w:after="0"/>
              <w:rPr>
                <w:sz w:val="16"/>
                <w:szCs w:val="16"/>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09"/>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116,634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371,486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4"/>
        </w:trPr>
        <w:tc>
          <w:tcPr>
            <w:tcW w:w="78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(100,591)</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316,100</w:t>
            </w:r>
          </w:p>
        </w:tc>
        <w:tc>
          <w:tcPr>
            <w:tcW w:w="8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333,928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17,828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233,337</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333,928</w:t>
            </w:r>
          </w:p>
        </w:tc>
        <w:tc>
          <w:tcPr>
            <w:tcW w:w="80" w:type="dxa"/>
            <w:vAlign w:val="bottom"/>
          </w:tcPr>
          <w:p>
            <w:pPr>
              <w:spacing w:after="0"/>
              <w:rPr>
                <w:sz w:val="18"/>
                <w:szCs w:val="18"/>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5"/>
        </w:trPr>
        <w:tc>
          <w:tcPr>
            <w:tcW w:w="78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96"/>
        </w:trPr>
        <w:tc>
          <w:tcPr>
            <w:tcW w:w="7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9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8"/>
        </w:trPr>
        <w:tc>
          <w:tcPr>
            <w:tcW w:w="7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8"/>
                <w:szCs w:val="18"/>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Lease liability obtained in exchange for right-of-use assets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23,232</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162,848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Offering costs in accounts payable</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6"/>
                <w:szCs w:val="16"/>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 in accrued expenses</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20"/>
          </w:cols>
          <w:pgMar w:left="380" w:top="121" w:right="399" w:bottom="5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187960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 w:right="399" w:bottom="561"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Seer, Inc. (the Company) was incorporated in Delaware on March 16, 2017, and is headquartered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3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registration statement on Form S-1 related to its initial public offering (IPO) was declared effective on December 3, 2020 by the Securities and Exchange Commission (SEC), and the Company’s Class A common stock began trading on the Nasdaq Global Select Market on December 4, 2020. On December 8, 2020, the Company completed its IPO, in which the Company sold 10,592,106 shares of Class A common stock, including 1,381,579 shares of Class A common stock that were offered and sold pursuant to the full exercise of the underwriters’ option to purchase additional shares, at a price to the public of $19.00 per share. Including the option exercise, the Company received net proceeds of $183.9 million after deducting offering costs, underwriting discounts, and commissions of $17.4 million.</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Concurrent with the IPO, the Company issued 7,105,262 shares of its Class A common stock in a private placement for net proceeds of $130.3 million after deducting offering costs, underwriting discounts and commissions of $4.7 million. In addition, 526,315 shares of Class B common stock converted into Class A common stock in connection with the sale of such shares by an existing shareholder in a secondary transaction and 2,803,737 shares of Class B common stock were voluntarily converted to an equal amount of Class A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As of December 31, 2021, the Company has incurred significant losses and has had negative cash flows from operations. As of December 31, 2021, the Company had cash, cash equivalents and investments of $493.3 million and an accumulated deficit of $126.5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December 31, 2021 provides sufficient capital resources to continue its operations for at least 12 months from the issuance date of the accompanying consolidated financial statements.</w:t>
      </w:r>
    </w:p>
    <w:p>
      <w:pPr>
        <w:spacing w:after="0" w:line="10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consolidated financial statements include the accounts of Seer, Inc. and its wholly-owned subsidiary.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fiscal year 2021, two customers accounted for 35% and 12% of the Company’s total revenue. In fiscal year 2020, total revenue was immaterial.</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2021, there were three customers which represented 34%, 23%, and 19% of the total accounts receivable balance. As of December 31, 2020, total accounts receivable were immaterial..</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its competitors developing new technological innovations, the need to successfully commercialize and gain market acceptance of the Company’s products, protection of its proprietary technology, and the need to secure and maintain adequate product inventory through its own manufacturing and through manufacturing arrangements with third parties. If the Company does not successfully commercialize or partner any of its products, it will be unable to generate product revenue sufficient to achieve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and phased commercial launch plan have been similarly impacted by COVID-19, which may limit the Company’s ability to achieve its planned progress. In addition, Company personnel have experienced delays in accessing customers in certain countries with strict COVID-19 policies to provide installation and training services. COVID-19 has adversely affected the broader economy, which could affect the Company’s financing prospects. Continued disruptions from COVID-19 could harm the Company’s operations and the Company cannot anticipate all the ways in which it could be adversely impacted by health epidemics such as COVID-19.</w:t>
      </w:r>
    </w:p>
    <w:p>
      <w:pPr>
        <w:spacing w:after="0" w:line="12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COVID-19 pandemic has mainly impacted some of the Company’s suppliers who have experienced a surge in demand for their products resulting in supply delays for critical hardware, instrumentation and medical and testing supplies used for product development and commercialization. The Company continues to monitor and assess the effects of the COVID-19 pandemic on its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560"/>
        <w:spacing w:after="0" w:line="438" w:lineRule="auto"/>
        <w:rPr>
          <w:sz w:val="20"/>
          <w:szCs w:val="20"/>
          <w:color w:val="auto"/>
        </w:rPr>
      </w:pPr>
      <w:r>
        <w:rPr>
          <w:rFonts w:ascii="Arial" w:cs="Arial" w:eastAsia="Arial" w:hAnsi="Arial"/>
          <w:sz w:val="18"/>
          <w:szCs w:val="18"/>
          <w:color w:val="auto"/>
        </w:rPr>
        <w:t xml:space="preserve">As of December 31, 2021, the Company has an equity method investment in PrognomIQ. Refer to Note 10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December 31, 2021 and 2020, all amounts recorded as cash and cash equivalents consist of money market funds and are stated at fair value.</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Restricted cash as of December 31, 2021 and 2020 represents cash held by a financial institution as security for a letter of credit issued to the lessor for one of the Company’s operating leases and is classified as noncurrent.</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7"/>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38"/>
        </w:trPr>
        <w:tc>
          <w:tcPr>
            <w:tcW w:w="6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333,585</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333,928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2021, the Company classifies its available-for-sale securities as short-term investments or long-term investments based on the remaining contractual maturity of the securities.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2021, the Company did not recognize any impairment charges on its investments.</w:t>
      </w:r>
    </w:p>
    <w:p>
      <w:pPr>
        <w:spacing w:after="0" w:line="13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Any unrealized losses on available-for-sale debt securities that are attributed to credit risk are recorded to the consolidated statements of operations and comprehensive loss through an allowance for credit losses. During the year ended December 31, 2021, the Company did not recognize any such impairment charges on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December 31,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Inventory is recorded at the lower of standard cost, which approximates actual cost on a weighted-average basis, or net realizable value,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consolidated balance sheet and any resulting gain or loss is included as a part of income (loss) from operations within the consolidated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during the fourth quarter of 2021 effective as of January 1, 2021, as discussed below in the section titled Recently Adopted Accounting Pronouncements. Under ASC 842, the Company determines if an arrangement is or contains a lease at contract inception.</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3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elected to not separate non-lease components from the associated lease components and to not recognize right-of-use assets and lease liabilities for leases with a term of twelve months or less. Variable lease payments are primarily related to property taxes, insurance and common area maintenance, and are recognized as lease costs when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instances where right of payment or transfer of title is contingent upon the customer’s acceptance of the product, revenue is deferred until all acceptance criteria have been met. 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 or a significant financing component.</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and Other Revenue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 Advance payments for goods or services for future research and development activities are deferred as prepaid expenses and expensed as the goods are delivered or the related services are performed.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consolidated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2021, there have been no material differences from the Company’s estimated accrued research and development expenses to actual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legal, administration and human resources, allocated costs, including rent, depreciation, information technology, insurance, utilities, professional service fees, and other general overhead costs to support the Company’s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Scholes valuation model. For share-based payment awards that vest subject to the satisfaction of a service requirement, the fair value of the awards is recognized as expense on a straight-line basis over the requisite service period in which the awards are expected to vest. For share-based payment awards with performance-based vesting conditions, the fair value of the awards is recognized as expense using the accelerated attribution method over the vesting period. Forfeitures are accounted for in the period in which they occur. Share-based payment awards that include a service condition and a performance condition are expected to vest when the performance condition is probable of being met.</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grants prior to the Company’s IPO in December 2020, the grant-date fair market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stock options granted to employees and directors, the expected term is calculated using the simplified method for “plain vanilla” stock option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expected term for stock options granted to non-employees is the contractual term.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 and tax basis of assets and liabilities using enacted tax rates in effect for the year in which the differences are expected to reverse.</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2021 and 2020, there were no interest and penalties.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and loss on the Company’s available-for-sale investments related to unrealized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6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is intended to simplify the accounting for income taxes. This standard removes certain exceptions to the general principles in Topic 740 and also clarifies and amends existing standards to improve consistent application. The Company adopted this standard as of January 1, 2021, which did not have a material impact on its financial statements as of the adoption date.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January 2020, the FASB issued ASU No. 2020-01, </w:t>
      </w:r>
      <w:r>
        <w:rPr>
          <w:rFonts w:ascii="Arial" w:cs="Arial" w:eastAsia="Arial" w:hAnsi="Arial"/>
          <w:sz w:val="18"/>
          <w:szCs w:val="18"/>
          <w:i w:val="1"/>
          <w:iCs w:val="1"/>
          <w:color w:val="auto"/>
        </w:rPr>
        <w:t>Investments—Equity Securities (Topic 321), Investments—Equity Method and Joint Ventures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323), and Derivatives and Hedging (Topic 815)</w:t>
      </w:r>
      <w:r>
        <w:rPr>
          <w:rFonts w:ascii="Arial" w:cs="Arial" w:eastAsia="Arial" w:hAnsi="Arial"/>
          <w:sz w:val="18"/>
          <w:szCs w:val="18"/>
          <w:color w:val="auto"/>
        </w:rPr>
        <w:t>. This standard clarifies the interaction between accounting standards related to equity securities,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 and certain derivative instruments. The Company adopted this standard as of January 1, 2021, which did not have a material impact on its financial statements as of the adoption date.</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standard clarifies the definition of a lease and requires a lessee to recognize in the statement of financial position a liability to make lease payments (the lease liability) and a right-to-use asset representing its right to use the underlying asset for the lease term. Since the Company ceased to be an emerging growth company as of December 31, 2021, the Company adopted this standard during the fourth quarter of 2021 effective as of January 1, 2021, using the modified retrospective method by applying the new standard to all leases existing as of the effective date and not restating comparative periods. The Company elected the practical expedients to not reassess whether any expired or existing contracts are or contain leases, carry forward its historical lease classification and not reassess initial direct costs for existing leases. The Company also elected the practical expedient to use hindsight in determining the lease term and in assessing impairment of the Company’s ROU assets upon transition. The impact of adoption and additional disclosures required by the standard have been included in “Significant Accounting Policies - Leases” above and in Note 9. Upon adoption of ASC 842 effective January 1, 2021, the Company recorded an operating ROU asset of $5.7 million, operating lease liabilities of $7.8 million and derecognized deferred rent of $2.1 million. Prior period amounts before January 1, 2021 have not been adjusted and continue to be reported in accordance with the Company’s historical accounting under previous lease guidance, ASC 840: </w:t>
      </w:r>
      <w:r>
        <w:rPr>
          <w:rFonts w:ascii="Arial" w:cs="Arial" w:eastAsia="Arial" w:hAnsi="Arial"/>
          <w:sz w:val="16"/>
          <w:szCs w:val="16"/>
          <w:i w:val="1"/>
          <w:iCs w:val="1"/>
          <w:color w:val="auto"/>
        </w:rPr>
        <w:t>Leases (Topic 840)</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November 2021, the FASB issued ASU No. 2021-10, </w:t>
      </w:r>
      <w:r>
        <w:rPr>
          <w:rFonts w:ascii="Arial" w:cs="Arial" w:eastAsia="Arial" w:hAnsi="Arial"/>
          <w:sz w:val="18"/>
          <w:szCs w:val="18"/>
          <w:i w:val="1"/>
          <w:iCs w:val="1"/>
          <w:color w:val="auto"/>
        </w:rPr>
        <w:t>Government Assistance (ASC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This standard requires annual disclosures that increase the transparency of transactions involving government grants, including the type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the accounting for those transactions and the effect of those transactions on an entity’s financial statements. This standard is effective for fiscal years beginning after December 15, 2021, with early adoption permitted. The Company does not expect this standard to have a material impact on its consolidated financial statements and related disclosures.</w:t>
      </w:r>
    </w:p>
    <w:p>
      <w:pPr>
        <w:spacing w:after="0" w:line="13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3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Classification:</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7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0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232,813</w:t>
            </w:r>
          </w:p>
        </w:tc>
        <w:tc>
          <w:tcPr>
            <w:tcW w:w="10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3"/>
                <w:szCs w:val="23"/>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28"/>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232,813</w:t>
            </w: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260,447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260,447</w:t>
            </w:r>
          </w:p>
        </w:tc>
      </w:tr>
      <w:tr>
        <w:trPr>
          <w:trHeight w:val="26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30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232,813</w:t>
            </w:r>
          </w:p>
        </w:tc>
        <w:tc>
          <w:tcPr>
            <w:tcW w:w="100" w:type="dxa"/>
            <w:vAlign w:val="bottom"/>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260,447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2"/>
                <w:szCs w:val="22"/>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493,260</w:t>
            </w: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8"/>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
        </w:trPr>
        <w:tc>
          <w:tcPr>
            <w:tcW w:w="3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26"/>
        </w:trPr>
        <w:tc>
          <w:tcPr>
            <w:tcW w:w="34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Classification:</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70"/>
        </w:trPr>
        <w:tc>
          <w:tcPr>
            <w:tcW w:w="340" w:type="dxa"/>
            <w:vAlign w:val="bottom"/>
          </w:tcPr>
          <w:p>
            <w:pPr>
              <w:spacing w:after="0"/>
              <w:rPr>
                <w:sz w:val="23"/>
                <w:szCs w:val="23"/>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6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333,585</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333,585</w:t>
            </w:r>
          </w:p>
        </w:tc>
      </w:tr>
      <w:tr>
        <w:trPr>
          <w:trHeight w:val="270"/>
        </w:trPr>
        <w:tc>
          <w:tcPr>
            <w:tcW w:w="340" w:type="dxa"/>
            <w:vAlign w:val="bottom"/>
          </w:tcPr>
          <w:p>
            <w:pPr>
              <w:spacing w:after="0"/>
              <w:rPr>
                <w:sz w:val="23"/>
                <w:szCs w:val="23"/>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r>
      <w:tr>
        <w:trPr>
          <w:trHeight w:val="264"/>
        </w:trPr>
        <w:tc>
          <w:tcPr>
            <w:tcW w:w="340" w:type="dxa"/>
            <w:vAlign w:val="bottom"/>
          </w:tcPr>
          <w:p>
            <w:pPr>
              <w:spacing w:after="0"/>
              <w:rPr>
                <w:sz w:val="22"/>
                <w:szCs w:val="22"/>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w w:val="94"/>
              </w:rPr>
              <w:t>Total assets measured at fair value</w:t>
            </w:r>
          </w:p>
        </w:tc>
        <w:tc>
          <w:tcPr>
            <w:tcW w:w="306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333,585</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98,278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431,863</w:t>
            </w: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232,813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232,813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260,447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493,796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493,260</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7"/>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333,585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431,863</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2021 and 2020, unrealized losses on available-for-sale investments are not attributable to credit risk and are considered to be temporary. No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2021,</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$93.2 million of available-for-sale investments had remaining maturities between one and two years. The remainder of the available-for-sale investments have a remaining maturity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27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OTHER FINANCIAL STATEMENT INFORMATION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Inventory</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color w:val="auto"/>
              </w:rPr>
              <w:t>Inventory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5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spacing w:after="0"/>
              <w:rPr>
                <w:sz w:val="21"/>
                <w:szCs w:val="21"/>
                <w:color w:val="auto"/>
              </w:rPr>
            </w:pPr>
          </w:p>
        </w:tc>
        <w:tc>
          <w:tcPr>
            <w:tcW w:w="59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8"/>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Work-in-progress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5"/>
          </w:tcPr>
          <w:p>
            <w:pPr>
              <w:jc w:val="right"/>
              <w:ind w:right="5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Construction-in-progress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$2.6 million and $1.6 million for the years ended December 31,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5"/>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6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Restricted stock liability, current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accrued expenses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 revenue consists of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PrognomIQ, as further discussed in Note 10. Grant revenues consist of services performed specifically for the reimbursement of research-related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For the year ended December 31, 2021 and 2020, the Company recognized $3.6 million and $0 of product revenue to non-related customers. As of December 31, 2021 and 2020, the Company recorded $0.4 million and $0 of deferred revenue related to product sales.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year ended December 31, 2021 and 2020 the Company recognized $0.5 million and $0 of service revenue to non-related customers. In March 2020, the Company entered into a sponsored research service agreement with a pharmaceutical company for a total consideration of $0.5 million of which</w:t>
      </w:r>
    </w:p>
    <w:p>
      <w:pPr>
        <w:ind w:right="260"/>
        <w:spacing w:after="0" w:line="260" w:lineRule="auto"/>
        <w:rPr>
          <w:sz w:val="20"/>
          <w:szCs w:val="20"/>
          <w:color w:val="auto"/>
        </w:rPr>
      </w:pPr>
      <w:r>
        <w:rPr>
          <w:rFonts w:ascii="Arial" w:cs="Arial" w:eastAsia="Arial" w:hAnsi="Arial"/>
          <w:sz w:val="18"/>
          <w:szCs w:val="18"/>
          <w:color w:val="auto"/>
        </w:rPr>
        <w:t>$0.3 million was received and recorded as deferred revenue as of December 31, 2020. All of these deferred service revenues were recognized during the year ended December 31, 2021. As of December 31, 2021, there were $0 of deferred service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activity for the year ended December 31, 2021 and 2020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34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6"/>
        </w:trPr>
        <w:tc>
          <w:tcPr>
            <w:tcW w:w="6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ind w:left="34"/>
              <w:spacing w:after="0"/>
              <w:rPr>
                <w:sz w:val="20"/>
                <w:szCs w:val="20"/>
                <w:color w:val="auto"/>
              </w:rPr>
            </w:pPr>
            <w:r>
              <w:rPr>
                <w:rFonts w:ascii="Arial" w:cs="Arial" w:eastAsia="Arial" w:hAnsi="Arial"/>
                <w:sz w:val="18"/>
                <w:szCs w:val="18"/>
                <w:color w:val="auto"/>
                <w:w w:val="86"/>
              </w:rPr>
              <w:t>250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6"/>
              </w:rPr>
              <w:t>376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(250)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86"/>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non-cancelable amounts that will be invoiced and recognized as revenues in future periods. The Company expects to recognize substantially all of the remaining transaction price in the next 12 months.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fiscal year 2021, 21% of our total revenue was generated outside of the United States, primarily from countries in Asia. In fiscal year 2020, no revenues were generated outside of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and other revenue</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February 2019, the Company entered into a sponsored research agreement with a biotechnology company under which the Company was required to execute certain research and development activities. During the year ended December 31, 2021 and 2020, the Company recognized research revenue of $0 and $0.3 million, with respect to this research agreement.</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August 2019, the Company received a notice of a Small Business Innovation Research grant award from the National Institutes of Health, which will provide funding of approximately $1.1 million to the Company for its development of research applications. In June 2020, the Company received a notice that additional grant consideration of $0.9 million will be awarded. During the year ended December 31, 2021 and 2020, the Company recognized grant revenue of $0.2 million and $0.4 million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CAPITAL STOCK AND STOCKHOLDERS’ EQUITY</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2021, the Company is authorized to issue 105,000,000 shares of capital stock consisting of 94,000,000 shares of Class A common stock, 6,000,000 shares of Class B common stock, and 5,000,000 shares of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issued and outstanding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18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34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6"/>
        </w:trPr>
        <w:tc>
          <w:tcPr>
            <w:tcW w:w="6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4"/>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57,493,005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53,395,319</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4,522,478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5,865,732</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62,015,483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59,261,051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issued and outstanding on the consolidated balance sheets and consolidated statements of changes in stockholders' equity includes shares related to early exercised options and restricted stock that are subject to repurchase.</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consolidated statements of changes in stockholders’ equity and as cash provided by financing activities on the consolidated statements of cash flows.</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INCENTIVE PLANS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13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an ISO cannot be less than the fair market value of the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As of December 31, 2021, there are 8,299,622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Class A common stock reserved for issuance under the 2020 Plan, 5,129,240 shares of which are available for issuance in connection with grants of future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2021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6"/>
                <w:szCs w:val="16"/>
                <w:color w:val="auto"/>
              </w:rPr>
            </w:pPr>
          </w:p>
        </w:tc>
        <w:tc>
          <w:tcPr>
            <w:tcW w:w="144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9,551,105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483,194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1,678,042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46.89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(1,040,515)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(355,708)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19.64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9,832,924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139,143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December 31,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3,062,451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5.32</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8.03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55,309</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weighted-average grant-date fair value of stock options granted to employees during the years ended December 31, 2021 and 2020, was $28.93 and $4.26 per share, respectively. The total intrinsic value of stock options exercised during the years ended December 31, 2021 and 2020, was $46.5 million and $1.6 million, respectively. As of December 31, 2021, the total unrecognized stock-based compensation related to unvested stock options was $60.8 million, which the Company expects to recognize over a remaining weighted-average period of 2.71 years.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stock options granted to employees, directors, and non-employees is calculated using the Black-Scholes option pricing model using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4"/>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42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62.5%</w:t>
            </w:r>
          </w:p>
        </w:tc>
        <w:tc>
          <w:tcPr>
            <w:tcW w:w="880" w:type="dxa"/>
            <w:vAlign w:val="bottom"/>
          </w:tcPr>
          <w:p>
            <w:pPr>
              <w:ind w:left="20"/>
              <w:spacing w:after="0"/>
              <w:rPr>
                <w:sz w:val="20"/>
                <w:szCs w:val="20"/>
                <w:color w:val="auto"/>
              </w:rPr>
            </w:pPr>
            <w:r>
              <w:rPr>
                <w:rFonts w:ascii="Arial" w:cs="Arial" w:eastAsia="Arial" w:hAnsi="Arial"/>
                <w:sz w:val="18"/>
                <w:szCs w:val="18"/>
                <w:color w:val="auto"/>
              </w:rPr>
              <w:t>- 71.4%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Pr>
          <w:p>
            <w:pPr>
              <w:ind w:left="20"/>
              <w:spacing w:after="0"/>
              <w:rPr>
                <w:sz w:val="20"/>
                <w:szCs w:val="20"/>
                <w:color w:val="auto"/>
              </w:rPr>
            </w:pPr>
            <w:r>
              <w:rPr>
                <w:rFonts w:ascii="Arial" w:cs="Arial" w:eastAsia="Arial" w:hAnsi="Arial"/>
                <w:sz w:val="18"/>
                <w:szCs w:val="18"/>
                <w:color w:val="auto"/>
              </w:rPr>
              <w:t>- 70.6%</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6.00 - 10.00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5.00 - 10.00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2017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consolidated balance sheets and reclassified to stockholders’ equity as the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activity of restricted shares of Class A common stock for the year ended December 31, 2021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6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940" w:type="dxa"/>
            <w:vAlign w:val="bottom"/>
            <w:tcBorders>
              <w:top w:val="single" w:sz="8" w:color="auto"/>
            </w:tcBorders>
            <w:shd w:val="clear" w:color="auto" w:fill="CCEEFF"/>
          </w:tcPr>
          <w:p>
            <w:pPr>
              <w:jc w:val="center"/>
              <w:ind w:left="1233"/>
              <w:spacing w:after="0"/>
              <w:rPr>
                <w:sz w:val="20"/>
                <w:szCs w:val="20"/>
                <w:color w:val="auto"/>
              </w:rPr>
            </w:pPr>
            <w:r>
              <w:rPr>
                <w:rFonts w:ascii="Arial" w:cs="Arial" w:eastAsia="Arial" w:hAnsi="Arial"/>
                <w:sz w:val="18"/>
                <w:szCs w:val="18"/>
                <w:color w:val="auto"/>
                <w:w w:val="89"/>
              </w:rPr>
              <w:t>775,641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center"/>
              <w:ind w:left="1193"/>
              <w:spacing w:after="0"/>
              <w:rPr>
                <w:sz w:val="20"/>
                <w:szCs w:val="20"/>
                <w:color w:val="auto"/>
              </w:rPr>
            </w:pPr>
            <w:r>
              <w:rPr>
                <w:rFonts w:ascii="Arial" w:cs="Arial" w:eastAsia="Arial" w:hAnsi="Arial"/>
                <w:sz w:val="18"/>
                <w:szCs w:val="18"/>
                <w:color w:val="auto"/>
                <w:w w:val="90"/>
              </w:rPr>
              <w:t>10,728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940" w:type="dxa"/>
            <w:vAlign w:val="bottom"/>
            <w:tcBorders>
              <w:bottom w:val="single" w:sz="8" w:color="auto"/>
            </w:tcBorders>
            <w:shd w:val="clear" w:color="auto" w:fill="CCEEFF"/>
          </w:tcPr>
          <w:p>
            <w:pPr>
              <w:jc w:val="center"/>
              <w:ind w:left="1233"/>
              <w:spacing w:after="0"/>
              <w:rPr>
                <w:sz w:val="20"/>
                <w:szCs w:val="20"/>
                <w:color w:val="auto"/>
              </w:rPr>
            </w:pPr>
            <w:r>
              <w:rPr>
                <w:rFonts w:ascii="Arial" w:cs="Arial" w:eastAsia="Arial" w:hAnsi="Arial"/>
                <w:sz w:val="18"/>
                <w:szCs w:val="18"/>
                <w:color w:val="auto"/>
                <w:w w:val="89"/>
              </w:rPr>
              <w:t>174,300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a two- to three-year period from the 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year ended December 31, 2021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6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491,318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325,378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the total unrecognized stock-based compensation related to RSUs was $14.4 million, which the Company expects to recognize over a remaining weighted-average period of 1.72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total of 1,195,327 shares of Class A common stock are reserved for issuance under the ESPP as of December 31, 2021. During the year ended December 31, 2021, 17,929 shares of Class A common stock were issued under the ESPP. As of December 31, 2021, the total unrecognized stock-based compensation related to the ESPP was $0.2 million, which the Company expects to recognize over a remaining weighted-average period of 0.37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ESPP shares is estimated using the Black-Scholes option pricing model, based on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336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w w:val="96"/>
              </w:rPr>
              <w:t>Year Ended</w:t>
            </w:r>
          </w:p>
        </w:tc>
      </w:tr>
      <w:tr>
        <w:trPr>
          <w:trHeight w:val="195"/>
        </w:trPr>
        <w:tc>
          <w:tcPr>
            <w:tcW w:w="3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jc w:val="center"/>
              <w:ind w:left="856"/>
              <w:spacing w:after="0"/>
              <w:rPr>
                <w:sz w:val="20"/>
                <w:szCs w:val="20"/>
                <w:color w:val="auto"/>
              </w:rPr>
            </w:pPr>
            <w:r>
              <w:rPr>
                <w:rFonts w:ascii="Arial" w:cs="Arial" w:eastAsia="Arial" w:hAnsi="Arial"/>
                <w:sz w:val="14"/>
                <w:szCs w:val="14"/>
                <w:b w:val="1"/>
                <w:bCs w:val="1"/>
                <w:color w:val="auto"/>
                <w:w w:val="93"/>
              </w:rPr>
              <w:t>December 31, 2021</w:t>
            </w:r>
          </w:p>
        </w:tc>
      </w:tr>
      <w:tr>
        <w:trPr>
          <w:trHeight w:val="40"/>
        </w:trPr>
        <w:tc>
          <w:tcPr>
            <w:tcW w:w="33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3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0.1%</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100" w:type="dxa"/>
            <w:vAlign w:val="bottom"/>
          </w:tcPr>
          <w:p>
            <w:pPr>
              <w:jc w:val="right"/>
              <w:spacing w:after="0"/>
              <w:rPr>
                <w:sz w:val="20"/>
                <w:szCs w:val="20"/>
                <w:color w:val="auto"/>
              </w:rPr>
            </w:pPr>
            <w:r>
              <w:rPr>
                <w:rFonts w:ascii="Arial" w:cs="Arial" w:eastAsia="Arial" w:hAnsi="Arial"/>
                <w:sz w:val="18"/>
                <w:szCs w:val="18"/>
                <w:color w:val="auto"/>
              </w:rPr>
              <w:t>56.9%</w:t>
            </w:r>
          </w:p>
        </w:tc>
        <w:tc>
          <w:tcPr>
            <w:tcW w:w="1260" w:type="dxa"/>
            <w:vAlign w:val="bottom"/>
          </w:tcPr>
          <w:p>
            <w:pPr>
              <w:ind w:left="20"/>
              <w:spacing w:after="0"/>
              <w:rPr>
                <w:sz w:val="20"/>
                <w:szCs w:val="20"/>
                <w:color w:val="auto"/>
              </w:rPr>
            </w:pPr>
            <w:r>
              <w:rPr>
                <w:rFonts w:ascii="Arial" w:cs="Arial" w:eastAsia="Arial" w:hAnsi="Arial"/>
                <w:sz w:val="18"/>
                <w:szCs w:val="18"/>
                <w:color w:val="auto"/>
              </w:rPr>
              <w:t>- 67.4%</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- 0.50</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360" w:type="dxa"/>
            <w:vAlign w:val="bottom"/>
            <w:gridSpan w:val="2"/>
          </w:tcPr>
          <w:p>
            <w:pPr>
              <w:jc w:val="center"/>
              <w:ind w:left="856"/>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consolidated statements of operations and comprehensive loss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9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center"/>
              <w:ind w:right="9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w:t>
            </w:r>
          </w:p>
        </w:tc>
      </w:tr>
      <w:tr>
        <w:trPr>
          <w:trHeight w:val="21"/>
        </w:trPr>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October 2020, in connection with the transition of our former Chief Business Officer to a consulting role, the vesting of 461,876 share-based awards were accelerated. An additional 76,304 options to purchase Class A common stock are expected to vest over the term of the consulting agreement pursuant to the terms and conditions of the original options. The total amount of stock-based compensation associated with the modification is $2.8 million, of which $2.3 million was recorded on the date of the modification.</w:t>
      </w: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EMPLOYEE BENEFIT PLANS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2021 and 2020.</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January 4, 2019, the Company entered into a lease agreement for office and laboratory space in Redwood City, California. The lease term commenced in November 2019 and was set to end on September 30, 2029. The Company entered into an amendment to the lease agreement in June 2020 that makes certain changes to the original lease, including (i) additional office and laboratory space in the same building (the Expansion Premises) and (ii) an extension of the expiration date of the original lease to 127.5 months following the delivery date of the Expansion Premises, which is estimated to be in the first quarter of 2022. The Company entered into another amendment to the lease agreement in April 2021 that further expanded the office and laboratory space and commenced in May 2021. The same lease term applies to all space leased under the lease and its amendments and the Company has an option to renew all such leased space for an additional five-year term at then-current market rates. In connection with the lease and its amendments, the Company maintains a letter of credit issued to the lessor in the amount of $0.5 million and $0.3 million as of December 31, 2021 and 2020, respectively, which is secured by restricted cash that is classified as noncurrent at each date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period from June 2020 through May 2021, the Company was provided with temporary space. The Company was not required to pay additional rent for the temporary space, but was required to pay property taxes, insurance and normal maintenance costs with respect to the temporary space.</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January 1, 2021, the Company adopted ASC 842 and the following disclosures as of and for the year ended December 31, 2021 are presented under ASC 842. As of December 31, 2021, the remaining weighted-average lease term was 10.8 years and the weighted-average incremental borrowing rate used to determine the operating lease liabilities was 5.9%.</w:t>
      </w:r>
    </w:p>
    <w:p>
      <w:pPr>
        <w:spacing w:after="0" w:line="13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the year ended December 31, 2021, the Company incurred $2.8 million of lease costs, of which $0.1 million is related to the Company’s short-term lease and $0.7 million is related to variable lease payments, which are primarily comprised of common area maintenance and include costs associated with the temporary space. During the year ended December 31, 2020, the Company incurred $0.7 million in rent expense.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2021, future minimum commitments under the Company’s non-cancelable facility operating lease, in accordance with ASC 842,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2,855</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18,495</w:t>
            </w:r>
          </w:p>
        </w:tc>
      </w:tr>
      <w:tr>
        <w:trPr>
          <w:trHeight w:val="223"/>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Present value adjustment for minimum lease commitments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total undiscounted future minimum lease payments associated with the Expansion Premises are approximately $10.5 million and are not included in the table above. The Company has not recognized an ROU asset or aggregate lease liability as of December 31, 2021 for the Expansion Premises as the Company did not control the underlying assets at any time during the year ended December 31, 2021.</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2020, future minimum commitments under the Company’s non-cancelable facility operating lease, in accordance with ASC 840, Lease Accounting,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enforceable or subject to change. These outstanding commitments amounted to $5.5 million and $3.1 million as of December 31,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2021 and 2020, the Company does not have any material indemnification claims that were probable or reasonably possible and consequently has not recorded related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PROGNOMIQ, INC.</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PrognomIQ constitutes a related party and, as of December 31, 2021 and 2020, the Company recorded $1.3 million and $0.1 million in related party receivables, respectively, on the consolidated balance sheets representing amounts due from product sales and services and for general transition services and support provided. Revenue received from PrognomIQ is recorded as related party revenue on the consolidated statements of operations and comprehensive loss and is comprised of the sale of instruments and consumables, and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pacing w:after="0" w:line="20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23495</wp:posOffset>
            </wp:positionV>
            <wp:extent cx="20485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jc w:val="both"/>
        <w:ind w:left="8620"/>
        <w:spacing w:after="0"/>
        <w:tabs>
          <w:tab w:leader="none" w:pos="10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23495</wp:posOffset>
            </wp:positionV>
            <wp:extent cx="20485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20" w:type="dxa"/>
            <w:vAlign w:val="bottom"/>
          </w:tcPr>
          <w:p>
            <w:pPr>
              <w:spacing w:after="0" w:line="176" w:lineRule="exact"/>
              <w:rPr>
                <w:sz w:val="20"/>
                <w:szCs w:val="20"/>
                <w:color w:val="auto"/>
              </w:rPr>
            </w:pPr>
            <w:r>
              <w:rPr>
                <w:rFonts w:ascii="Arial" w:cs="Arial" w:eastAsia="Arial" w:hAnsi="Arial"/>
                <w:sz w:val="18"/>
                <w:szCs w:val="18"/>
                <w:color w:val="auto"/>
                <w:w w:val="89"/>
              </w:rPr>
              <w:t>Weighted-average common shares used in computing net loss per share attributable to common stockholders,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0628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0628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06285"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(71,169)</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980" w:type="dxa"/>
            <w:vAlign w:val="bottom"/>
          </w:tcPr>
          <w:p>
            <w:pPr>
              <w:jc w:val="right"/>
              <w:ind w:right="90"/>
              <w:spacing w:after="0"/>
              <w:rPr>
                <w:sz w:val="20"/>
                <w:szCs w:val="20"/>
                <w:color w:val="auto"/>
              </w:rPr>
            </w:pPr>
            <w:r>
              <w:rPr>
                <w:rFonts w:ascii="Arial" w:cs="Arial" w:eastAsia="Arial" w:hAnsi="Arial"/>
                <w:sz w:val="18"/>
                <w:szCs w:val="18"/>
                <w:color w:val="auto"/>
                <w:w w:val="86"/>
              </w:rPr>
              <w:t>60,863,950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13,216,657</w:t>
            </w:r>
          </w:p>
        </w:tc>
        <w:tc>
          <w:tcPr>
            <w:tcW w:w="0" w:type="dxa"/>
            <w:vAlign w:val="bottom"/>
          </w:tcPr>
          <w:p>
            <w:pPr>
              <w:spacing w:after="0"/>
              <w:rPr>
                <w:sz w:val="1"/>
                <w:szCs w:val="1"/>
                <w:color w:val="auto"/>
              </w:rPr>
            </w:pPr>
          </w:p>
        </w:tc>
      </w:tr>
      <w:tr>
        <w:trPr>
          <w:trHeight w:val="21"/>
        </w:trPr>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8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-7620</wp:posOffset>
            </wp:positionV>
            <wp:extent cx="9944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-213995</wp:posOffset>
            </wp:positionV>
            <wp:extent cx="9944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-616585</wp:posOffset>
            </wp:positionV>
            <wp:extent cx="9944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580"/>
            <w:col w:w="2580"/>
          </w:cols>
          <w:pgMar w:left="320" w:top="121" w:right="339" w:bottom="1440" w:gutter="0" w:footer="0" w:header="0"/>
          <w:type w:val="continuous"/>
        </w:sectPr>
      </w:pPr>
    </w:p>
    <w:p>
      <w:pPr>
        <w:spacing w:after="0" w:line="4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1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7920" w:type="dxa"/>
            <w:vAlign w:val="bottom"/>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8"/>
        </w:trPr>
        <w:tc>
          <w:tcPr>
            <w:tcW w:w="7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9,832,924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9,551,105</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tcPr>
          <w:p>
            <w:pPr>
              <w:jc w:val="right"/>
              <w:spacing w:after="0"/>
              <w:rPr>
                <w:sz w:val="20"/>
                <w:szCs w:val="20"/>
                <w:color w:val="auto"/>
              </w:rPr>
            </w:pPr>
            <w:r>
              <w:rPr>
                <w:rFonts w:ascii="Arial" w:cs="Arial" w:eastAsia="Arial" w:hAnsi="Arial"/>
                <w:sz w:val="18"/>
                <w:szCs w:val="18"/>
                <w:color w:val="auto"/>
              </w:rPr>
              <w:t>174,300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775,641</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491,318</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10,747,590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10,818,064</w:t>
            </w:r>
          </w:p>
        </w:tc>
      </w:tr>
      <w:tr>
        <w:trPr>
          <w:trHeight w:val="20"/>
        </w:trPr>
        <w:tc>
          <w:tcPr>
            <w:tcW w:w="7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184"/>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Stock-based compensation tax deduction over book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Gain on PrognomIQ transaction</w:t>
            </w: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Executive compensation limitations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64"/>
        </w:trPr>
        <w:tc>
          <w:tcPr>
            <w:tcW w:w="80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22,385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9,374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reserves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the Company’s incorporation in 2017. Such objective evidence limits the ability to consider other subjective evidence, such as our projections for future growth. On the basis of this evaluation, as of December 31, 2021 and 2020, a full valuation allowance has been recorded against the Company’s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For the years ended December 31, 2021 and 2020, the net changes in the net valuation allowance were an increase of $17.8 million and an increase of $6.2 million, respectively.</w:t>
      </w:r>
    </w:p>
    <w:p>
      <w:pPr>
        <w:spacing w:after="0" w:line="127" w:lineRule="exact"/>
        <w:rPr>
          <w:sz w:val="20"/>
          <w:szCs w:val="20"/>
          <w:color w:val="auto"/>
        </w:rPr>
      </w:pPr>
    </w:p>
    <w:p>
      <w:pPr>
        <w:ind w:right="740"/>
        <w:spacing w:after="0" w:line="286" w:lineRule="auto"/>
        <w:rPr>
          <w:sz w:val="20"/>
          <w:szCs w:val="20"/>
          <w:color w:val="auto"/>
        </w:rPr>
      </w:pPr>
      <w:r>
        <w:rPr>
          <w:rFonts w:ascii="Arial" w:cs="Arial" w:eastAsia="Arial" w:hAnsi="Arial"/>
          <w:sz w:val="17"/>
          <w:szCs w:val="17"/>
          <w:color w:val="auto"/>
        </w:rPr>
        <w:t>As of December 31, 2021 and 2020, the Company had federal net operating loss carryforwards of approximately $94.0 million and $36.2 million, respectively, which will carry forward indefinitely. At December 31, 2021 and 2020, the Company had state net operating loss carryforwards of approximately $84.5 million and $33.0 million, respectively, which will begin to expire in 2035 for state tax purposes.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the Company had federal research and development credit carryforwards of approximately $1.5 million and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$0.2 million, respectively, which begin to expire in 2037 and state research and development credit carryforwards of approximately $1.6 million and $0.7 million, respectively, which will carry forward indefinitely.</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study in the current year. The Company does not believe that per Section 382 there will be a deferral or limitation on the utilization of the net operating loss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2021 and 2020, the Company had unrecognized tax benefits of approximately $0.8 million and $0.3 million, respectively. The amount of unrecognized tax benefits is not expected to significantly change over the next 12 months. If recognized, unrecognized tax benefits would not have an impact on the Company’s effective tax rate due to the Company’s full valuation allowance position. The beginning and ending unrecognized tax benefits amounts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337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264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(154)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w w:val="93"/>
              </w:rPr>
              <w:t>(80)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6"/>
              </w:rPr>
              <w:t>656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153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6"/>
              </w:rPr>
              <w:t>839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337</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2021.</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year ended December 31, 2021 and 2020,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consolidated financial statements for the year ended December 31, 2021.</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events subsequent from December 31, 2021 through March 1, 2022, the date at which the financial statements as of and for the years ended December 31, 2021 and 2020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line="140" w:lineRule="exact"/>
        <w:rPr>
          <w:sz w:val="20"/>
          <w:szCs w:val="20"/>
          <w:color w:val="auto"/>
        </w:rPr>
      </w:pPr>
    </w:p>
    <w:p>
      <w:pPr>
        <w:ind w:right="2639"/>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9" w:name="page120"/>
    <w:bookmarkEnd w:id="1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2021,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As disclosed in Part II Item 9A Controls and Procedures in our Annual Report on Form 10-K for the year ended December 31, 2020, we identified material weaknesses in each of the following components of the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3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insufficient accounting personnel to enable segregation of duties relating to the general ledger, disbursement, and certain accounting functions;</w:t>
      </w:r>
    </w:p>
    <w:p>
      <w:pPr>
        <w:spacing w:after="0" w:line="194" w:lineRule="exact"/>
        <w:rPr>
          <w:rFonts w:ascii="Arial" w:cs="Arial" w:eastAsia="Arial" w:hAnsi="Arial"/>
          <w:sz w:val="16"/>
          <w:szCs w:val="16"/>
          <w:color w:val="auto"/>
        </w:rPr>
      </w:pPr>
    </w:p>
    <w:p>
      <w:pPr>
        <w:ind w:left="660" w:right="7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2021, management implemented our previously disclosed remediation plan that included: (i) hiring six finance department employees with appropriate expertise, including our CFO and Controller; (ii) retaining an accounting consulting firm to provide additional depth and breath to our technical and financial reporting capabilities; and (iii) implementing formal financial reporting processes and internal controls and building out our financial management and reporting systems infrastructure, which includes ongoing senior management review, and establishing our audit committee oversight.</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fourth quarter of 2021, we completed our testing of the operating effectiveness of the implemented controls and found them to be effective. As of December 31, 2021, our management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an evaluation, under the supervision and with the participation of our CEO and CFO, of the effectiveness of our internal control over financial reporting based upon the framework in the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COSO. Based upon that evaluation, our CEO and CFO concluded that our internal control over financial reporting was effective as of December 31, 2021 and that the material weaknesses have been remediated as of December 31, 2021.</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Deloitte &amp; Touche LLP, an independent registered public accounting firm that audited the consolidated financial statements included in this Annual Report on Form 10-K, has also audited the effectiveness of our internal control over financial reporting as of December 31, 2021, as stated in their report which appears herein under Part II, Item 9A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Except for the changes in connection with our implementation of the remediation plan discussed above, there have been no other changes in our internal control over financial reporting (as defined in Rules 13a-15(f) or 15d-15(f) of the Exchange Act) that occurred during the period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200" w:lineRule="exact"/>
        <w:rPr>
          <w:sz w:val="20"/>
          <w:szCs w:val="20"/>
          <w:color w:val="auto"/>
        </w:rPr>
      </w:pPr>
    </w:p>
    <w:p>
      <w:pPr>
        <w:spacing w:after="0" w:line="345" w:lineRule="exact"/>
        <w:rPr>
          <w:sz w:val="20"/>
          <w:szCs w:val="20"/>
          <w:color w:val="auto"/>
        </w:rPr>
      </w:pPr>
    </w:p>
    <w:p>
      <w:pPr>
        <w:ind w:right="502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Seer,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Seer, Inc. and subsidiary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2021, of the Company and our report dated March 1, 2022, expressed an unqualified opinion on those financial statements and included an explanatory paragraph regarding the Company’s change in its method of accounting for leases in fiscal year 2021 due to the adoption of ASC Topic 842, </w:t>
      </w:r>
      <w:r>
        <w:rPr>
          <w:rFonts w:ascii="Arial" w:cs="Arial" w:eastAsia="Arial" w:hAnsi="Arial"/>
          <w:sz w:val="18"/>
          <w:szCs w:val="18"/>
          <w:i w:val="1"/>
          <w:iCs w:val="1"/>
          <w:color w:val="auto"/>
        </w:rPr>
        <w:t>Leases.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23" w:name="page124"/>
    <w:bookmarkEnd w:id="1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4" w:name="page125"/>
    <w:bookmarkEnd w:id="124"/>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5" w:name="page126"/>
    <w:bookmarkEnd w:id="125"/>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Financial Statements: The financial statements filed as part of this Annual Report are included in Part II, Item 8 of this Annual Report.</w:t>
      </w:r>
    </w:p>
    <w:p>
      <w:pPr>
        <w:spacing w:after="0" w:line="182"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12"/>
          </w:tcPr>
          <w:p>
            <w:pPr>
              <w:ind w:left="10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tcPr>
          <w:p>
            <w:pPr>
              <w:ind w:left="680"/>
              <w:spacing w:after="0"/>
              <w:rPr>
                <w:sz w:val="20"/>
                <w:szCs w:val="20"/>
                <w:color w:val="auto"/>
              </w:rPr>
            </w:pPr>
            <w:r>
              <w:rPr>
                <w:rFonts w:ascii="Arial" w:cs="Arial" w:eastAsia="Arial" w:hAnsi="Arial"/>
                <w:sz w:val="14"/>
                <w:szCs w:val="14"/>
                <w:b w:val="1"/>
                <w:bCs w:val="1"/>
                <w:color w:val="auto"/>
              </w:rPr>
              <w:t>File No.</w:t>
            </w: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520"/>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800" w:type="dxa"/>
            <w:vAlign w:val="bottom"/>
            <w:vMerge w:val="restart"/>
          </w:tcPr>
          <w:p>
            <w:pPr>
              <w:jc w:val="center"/>
              <w:spacing w:after="0"/>
              <w:rPr>
                <w:sz w:val="20"/>
                <w:szCs w:val="20"/>
                <w:color w:val="auto"/>
              </w:rPr>
            </w:pPr>
            <w:r>
              <w:rPr>
                <w:rFonts w:ascii="Arial" w:cs="Arial" w:eastAsia="Arial" w:hAnsi="Arial"/>
                <w:sz w:val="17"/>
                <w:szCs w:val="17"/>
                <w:color w:val="auto"/>
                <w:w w:val="90"/>
              </w:rPr>
              <w:t>001-39747</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w w:val="92"/>
              </w:rPr>
              <w:t>3.1</w:t>
            </w:r>
          </w:p>
        </w:tc>
        <w:tc>
          <w:tcPr>
            <w:tcW w:w="1240" w:type="dxa"/>
            <w:vAlign w:val="bottom"/>
            <w:vMerge w:val="restart"/>
          </w:tcPr>
          <w:p>
            <w:pPr>
              <w:jc w:val="center"/>
              <w:ind w:left="376"/>
              <w:spacing w:after="0"/>
              <w:rPr>
                <w:sz w:val="20"/>
                <w:szCs w:val="20"/>
                <w:color w:val="auto"/>
              </w:rPr>
            </w:pPr>
            <w:r>
              <w:rPr>
                <w:rFonts w:ascii="Arial" w:cs="Arial" w:eastAsia="Arial" w:hAnsi="Arial"/>
                <w:sz w:val="17"/>
                <w:szCs w:val="17"/>
                <w:color w:val="auto"/>
                <w:w w:val="92"/>
              </w:rPr>
              <w:t>12/8/2020</w:t>
            </w:r>
          </w:p>
        </w:tc>
        <w:tc>
          <w:tcPr>
            <w:tcW w:w="0" w:type="dxa"/>
            <w:vAlign w:val="bottom"/>
          </w:tcPr>
          <w:p>
            <w:pPr>
              <w:spacing w:after="0"/>
              <w:rPr>
                <w:sz w:val="1"/>
                <w:szCs w:val="1"/>
                <w:color w:val="auto"/>
              </w:rPr>
            </w:pPr>
          </w:p>
        </w:tc>
      </w:tr>
      <w:tr>
        <w:trPr>
          <w:trHeight w:val="183"/>
        </w:trPr>
        <w:tc>
          <w:tcPr>
            <w:tcW w:w="980" w:type="dxa"/>
            <w:vAlign w:val="bottom"/>
          </w:tcPr>
          <w:p>
            <w:pPr>
              <w:jc w:val="center"/>
              <w:spacing w:after="0" w:line="183" w:lineRule="exact"/>
              <w:rPr>
                <w:sz w:val="20"/>
                <w:szCs w:val="20"/>
                <w:color w:val="auto"/>
              </w:rPr>
            </w:pPr>
            <w:r>
              <w:rPr>
                <w:rFonts w:ascii="Arial" w:cs="Arial" w:eastAsia="Arial" w:hAnsi="Arial"/>
                <w:sz w:val="17"/>
                <w:szCs w:val="17"/>
                <w:color w:val="auto"/>
                <w:w w:val="92"/>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bottom w:val="single" w:sz="8" w:color="0000FF"/>
            </w:tcBorders>
            <w:gridSpan w:val="17"/>
          </w:tcPr>
          <w:p>
            <w:pPr>
              <w:spacing w:after="0" w:line="183" w:lineRule="exact"/>
              <w:rPr>
                <w:rFonts w:ascii="Arial" w:cs="Arial" w:eastAsia="Arial" w:hAnsi="Arial"/>
                <w:sz w:val="17"/>
                <w:szCs w:val="17"/>
                <w:color w:val="0000FF"/>
                <w:w w:val="91"/>
              </w:rPr>
            </w:pPr>
            <w:hyperlink r:id="rId153">
              <w:r>
                <w:rPr>
                  <w:rFonts w:ascii="Arial" w:cs="Arial" w:eastAsia="Arial" w:hAnsi="Arial"/>
                  <w:sz w:val="17"/>
                  <w:szCs w:val="17"/>
                  <w:color w:val="0000FF"/>
                  <w:w w:val="91"/>
                </w:rPr>
                <w:t>Amended and Restated Certificate of Incorporation</w:t>
              </w:r>
            </w:hyperlink>
          </w:p>
        </w:tc>
        <w:tc>
          <w:tcPr>
            <w:tcW w:w="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Arial" w:cs="Arial" w:eastAsia="Arial" w:hAnsi="Arial"/>
                <w:sz w:val="17"/>
                <w:szCs w:val="17"/>
                <w:color w:val="0000FF"/>
              </w:rPr>
            </w:pPr>
            <w:hyperlink r:id="rId153">
              <w:r>
                <w:rPr>
                  <w:rFonts w:ascii="Arial" w:cs="Arial" w:eastAsia="Arial" w:hAnsi="Arial"/>
                  <w:sz w:val="17"/>
                  <w:szCs w:val="17"/>
                  <w:color w:val="0000FF"/>
                </w:rPr>
                <w:t>of the Registrant</w:t>
              </w:r>
              <w:r>
                <w:rPr>
                  <w:rFonts w:ascii="Arial" w:cs="Arial" w:eastAsia="Arial" w:hAnsi="Arial"/>
                  <w:sz w:val="17"/>
                  <w:szCs w:val="17"/>
                  <w:color w:val="000000"/>
                </w:rPr>
                <w:t>.</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4"/>
          </w:tcPr>
          <w:p>
            <w:pPr>
              <w:spacing w:after="0"/>
              <w:rPr>
                <w:rFonts w:ascii="Arial" w:cs="Arial" w:eastAsia="Arial" w:hAnsi="Arial"/>
                <w:sz w:val="17"/>
                <w:szCs w:val="17"/>
                <w:color w:val="0000FF"/>
                <w:w w:val="90"/>
              </w:rPr>
            </w:pPr>
            <w:hyperlink r:id="rId154">
              <w:r>
                <w:rPr>
                  <w:rFonts w:ascii="Arial" w:cs="Arial" w:eastAsia="Arial" w:hAnsi="Arial"/>
                  <w:sz w:val="17"/>
                  <w:szCs w:val="17"/>
                  <w:color w:val="0000FF"/>
                  <w:w w:val="90"/>
                </w:rPr>
                <w:t>Amended and Restated Bylaws of the Registrant.</w:t>
              </w:r>
            </w:hyperlink>
          </w:p>
        </w:tc>
        <w:tc>
          <w:tcPr>
            <w:tcW w:w="160" w:type="dxa"/>
            <w:vAlign w:val="bottom"/>
            <w:gridSpan w:val="4"/>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2"/>
              </w:rPr>
              <w:t>12/8/2020</w:t>
            </w: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spacing w:after="0"/>
              <w:rPr>
                <w:rFonts w:ascii="Arial" w:cs="Arial" w:eastAsia="Arial" w:hAnsi="Arial"/>
                <w:sz w:val="17"/>
                <w:szCs w:val="17"/>
                <w:color w:val="0000FF"/>
              </w:rPr>
            </w:pPr>
            <w:hyperlink r:id="rId155">
              <w:r>
                <w:rPr>
                  <w:rFonts w:ascii="Arial" w:cs="Arial" w:eastAsia="Arial" w:hAnsi="Arial"/>
                  <w:sz w:val="17"/>
                  <w:szCs w:val="17"/>
                  <w:color w:val="0000FF"/>
                </w:rPr>
                <w:t>Form of common stock certificate of the</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11/12/2020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tcBorders>
            <w:gridSpan w:val="7"/>
          </w:tcPr>
          <w:p>
            <w:pPr>
              <w:spacing w:after="0" w:line="183" w:lineRule="exact"/>
              <w:rPr>
                <w:rFonts w:ascii="Arial" w:cs="Arial" w:eastAsia="Arial" w:hAnsi="Arial"/>
                <w:sz w:val="17"/>
                <w:szCs w:val="17"/>
                <w:color w:val="0000FF"/>
              </w:rPr>
            </w:pPr>
            <w:hyperlink r:id="rId155">
              <w:r>
                <w:rPr>
                  <w:rFonts w:ascii="Arial" w:cs="Arial" w:eastAsia="Arial" w:hAnsi="Arial"/>
                  <w:sz w:val="17"/>
                  <w:szCs w:val="17"/>
                  <w:color w:val="0000FF"/>
                </w:rPr>
                <w:t>Registrant.</w:t>
              </w:r>
            </w:hyperlink>
          </w:p>
        </w:tc>
        <w:tc>
          <w:tcPr>
            <w:tcW w:w="780" w:type="dxa"/>
            <w:vAlign w:val="bottom"/>
            <w:gridSpan w:val="11"/>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8"/>
          </w:tcPr>
          <w:p>
            <w:pPr>
              <w:spacing w:after="0"/>
              <w:rPr>
                <w:rFonts w:ascii="Arial" w:cs="Arial" w:eastAsia="Arial" w:hAnsi="Arial"/>
                <w:sz w:val="17"/>
                <w:szCs w:val="17"/>
                <w:color w:val="0000FF"/>
                <w:w w:val="89"/>
              </w:rPr>
            </w:pPr>
            <w:hyperlink r:id="rId156">
              <w:r>
                <w:rPr>
                  <w:rFonts w:ascii="Arial" w:cs="Arial" w:eastAsia="Arial" w:hAnsi="Arial"/>
                  <w:sz w:val="17"/>
                  <w:szCs w:val="17"/>
                  <w:color w:val="0000FF"/>
                  <w:w w:val="89"/>
                </w:rPr>
                <w:t>Amended and Restated Investors’ Rights</w:t>
              </w:r>
            </w:hyperlink>
          </w:p>
        </w:tc>
        <w:tc>
          <w:tcPr>
            <w:tcW w:w="740" w:type="dxa"/>
            <w:vAlign w:val="bottom"/>
            <w:gridSpan w:val="10"/>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333-252395</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2"/>
              </w:rPr>
              <w:t>1/25/2021</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bottom w:val="single" w:sz="8" w:color="0000FF"/>
            </w:tcBorders>
            <w:gridSpan w:val="11"/>
          </w:tcPr>
          <w:p>
            <w:pPr>
              <w:spacing w:after="0" w:line="183" w:lineRule="exact"/>
              <w:rPr>
                <w:rFonts w:ascii="Arial" w:cs="Arial" w:eastAsia="Arial" w:hAnsi="Arial"/>
                <w:sz w:val="17"/>
                <w:szCs w:val="17"/>
                <w:color w:val="0000FF"/>
                <w:w w:val="89"/>
              </w:rPr>
            </w:pPr>
            <w:hyperlink r:id="rId156">
              <w:r>
                <w:rPr>
                  <w:rFonts w:ascii="Arial" w:cs="Arial" w:eastAsia="Arial" w:hAnsi="Arial"/>
                  <w:sz w:val="17"/>
                  <w:szCs w:val="17"/>
                  <w:color w:val="0000FF"/>
                  <w:w w:val="89"/>
                </w:rPr>
                <w:t>Agreement, by and among the Registrant and</w:t>
              </w:r>
            </w:hyperlink>
          </w:p>
        </w:tc>
        <w:tc>
          <w:tcPr>
            <w:tcW w:w="440" w:type="dxa"/>
            <w:vAlign w:val="bottom"/>
            <w:gridSpan w:val="7"/>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Arial" w:cs="Arial" w:eastAsia="Arial" w:hAnsi="Arial"/>
                <w:sz w:val="17"/>
                <w:szCs w:val="17"/>
                <w:color w:val="0000FF"/>
              </w:rPr>
            </w:pPr>
            <w:hyperlink r:id="rId156">
              <w:r>
                <w:rPr>
                  <w:rFonts w:ascii="Arial" w:cs="Arial" w:eastAsia="Arial" w:hAnsi="Arial"/>
                  <w:sz w:val="17"/>
                  <w:szCs w:val="17"/>
                  <w:color w:val="0000FF"/>
                </w:rPr>
                <w:t>certain holders of its capital stock, dated as of</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6"/>
          </w:tcPr>
          <w:p>
            <w:pPr>
              <w:spacing w:after="0" w:line="183" w:lineRule="exact"/>
              <w:rPr>
                <w:rFonts w:ascii="Arial" w:cs="Arial" w:eastAsia="Arial" w:hAnsi="Arial"/>
                <w:sz w:val="17"/>
                <w:szCs w:val="17"/>
                <w:color w:val="0000FF"/>
                <w:w w:val="88"/>
              </w:rPr>
            </w:pPr>
            <w:hyperlink r:id="rId156">
              <w:r>
                <w:rPr>
                  <w:rFonts w:ascii="Arial" w:cs="Arial" w:eastAsia="Arial" w:hAnsi="Arial"/>
                  <w:sz w:val="17"/>
                  <w:szCs w:val="17"/>
                  <w:color w:val="0000FF"/>
                  <w:w w:val="88"/>
                </w:rPr>
                <w:t>December 9, 2020.</w:t>
              </w:r>
            </w:hyperlink>
          </w:p>
        </w:tc>
        <w:tc>
          <w:tcPr>
            <w:tcW w:w="1820" w:type="dxa"/>
            <w:vAlign w:val="bottom"/>
            <w:tcBorders>
              <w:top w:val="single" w:sz="8" w:color="0000FF"/>
            </w:tcBorders>
            <w:gridSpan w:val="6"/>
          </w:tcPr>
          <w:p>
            <w:pPr>
              <w:spacing w:after="0"/>
              <w:rPr>
                <w:sz w:val="15"/>
                <w:szCs w:val="15"/>
                <w:color w:val="auto"/>
              </w:rPr>
            </w:pPr>
          </w:p>
        </w:tc>
        <w:tc>
          <w:tcPr>
            <w:tcW w:w="420" w:type="dxa"/>
            <w:vAlign w:val="bottom"/>
            <w:gridSpan w:val="6"/>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98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spacing w:after="0"/>
              <w:rPr>
                <w:rFonts w:ascii="Arial" w:cs="Arial" w:eastAsia="Arial" w:hAnsi="Arial"/>
                <w:sz w:val="17"/>
                <w:szCs w:val="17"/>
                <w:color w:val="0000FF"/>
                <w:w w:val="91"/>
              </w:rPr>
            </w:pPr>
            <w:hyperlink r:id="rId157">
              <w:r>
                <w:rPr>
                  <w:rFonts w:ascii="Arial" w:cs="Arial" w:eastAsia="Arial" w:hAnsi="Arial"/>
                  <w:sz w:val="17"/>
                  <w:szCs w:val="17"/>
                  <w:color w:val="0000FF"/>
                  <w:w w:val="91"/>
                </w:rPr>
                <w:t>Description of the Registrant’s securities registered</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2"/>
              </w:rPr>
              <w:t>3/29/2021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tcBorders>
            <w:gridSpan w:val="16"/>
          </w:tcPr>
          <w:p>
            <w:pPr>
              <w:spacing w:after="0" w:line="169" w:lineRule="exact"/>
              <w:rPr>
                <w:rFonts w:ascii="Arial" w:cs="Arial" w:eastAsia="Arial" w:hAnsi="Arial"/>
                <w:sz w:val="17"/>
                <w:szCs w:val="17"/>
                <w:color w:val="0000FF"/>
                <w:w w:val="92"/>
              </w:rPr>
            </w:pPr>
            <w:hyperlink r:id="rId157">
              <w:r>
                <w:rPr>
                  <w:rFonts w:ascii="Arial" w:cs="Arial" w:eastAsia="Arial" w:hAnsi="Arial"/>
                  <w:sz w:val="17"/>
                  <w:szCs w:val="17"/>
                  <w:color w:val="0000FF"/>
                  <w:w w:val="92"/>
                </w:rPr>
                <w:t>pursuant to Section 12 of the Securities Exchange</w:t>
              </w:r>
            </w:hyperlink>
          </w:p>
        </w:tc>
        <w:tc>
          <w:tcPr>
            <w:tcW w:w="4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w w:val="92"/>
              </w:rPr>
            </w:pPr>
            <w:hyperlink r:id="rId157">
              <w:r>
                <w:rPr>
                  <w:rFonts w:ascii="Arial" w:cs="Arial" w:eastAsia="Arial" w:hAnsi="Arial"/>
                  <w:sz w:val="17"/>
                  <w:szCs w:val="17"/>
                  <w:color w:val="0000FF"/>
                  <w:w w:val="92"/>
                </w:rPr>
                <w:t>Act of 1934.</w:t>
              </w:r>
            </w:hyperlink>
          </w:p>
        </w:tc>
        <w:tc>
          <w:tcPr>
            <w:tcW w:w="2540" w:type="dxa"/>
            <w:vAlign w:val="bottom"/>
            <w:tcBorders>
              <w:top w:val="single" w:sz="8" w:color="0000FF"/>
            </w:tcBorders>
            <w:gridSpan w:val="11"/>
          </w:tcPr>
          <w:p>
            <w:pPr>
              <w:spacing w:after="0"/>
              <w:rPr>
                <w:sz w:val="14"/>
                <w:szCs w:val="14"/>
                <w:color w:val="auto"/>
              </w:rPr>
            </w:pPr>
          </w:p>
        </w:tc>
        <w:tc>
          <w:tcPr>
            <w:tcW w:w="140" w:type="dxa"/>
            <w:vAlign w:val="bottom"/>
            <w:gridSpan w:val="3"/>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3"/>
          </w:tcPr>
          <w:p>
            <w:pPr>
              <w:spacing w:after="0"/>
              <w:rPr>
                <w:rFonts w:ascii="Arial" w:cs="Arial" w:eastAsia="Arial" w:hAnsi="Arial"/>
                <w:sz w:val="17"/>
                <w:szCs w:val="17"/>
                <w:color w:val="0000FF"/>
                <w:w w:val="92"/>
              </w:rPr>
            </w:pPr>
            <w:hyperlink r:id="rId158">
              <w:r>
                <w:rPr>
                  <w:rFonts w:ascii="Arial" w:cs="Arial" w:eastAsia="Arial" w:hAnsi="Arial"/>
                  <w:sz w:val="17"/>
                  <w:szCs w:val="17"/>
                  <w:color w:val="0000FF"/>
                  <w:w w:val="92"/>
                </w:rPr>
                <w:t>Form of Indemnification Agreement between the</w:t>
              </w:r>
            </w:hyperlink>
          </w:p>
        </w:tc>
        <w:tc>
          <w:tcPr>
            <w:tcW w:w="180" w:type="dxa"/>
            <w:vAlign w:val="bottom"/>
            <w:gridSpan w:val="5"/>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11/12/2020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Arial" w:cs="Arial" w:eastAsia="Arial" w:hAnsi="Arial"/>
                <w:sz w:val="17"/>
                <w:szCs w:val="17"/>
                <w:color w:val="0000FF"/>
                <w:w w:val="94"/>
              </w:rPr>
            </w:pPr>
            <w:hyperlink r:id="rId158">
              <w:r>
                <w:rPr>
                  <w:rFonts w:ascii="Arial" w:cs="Arial" w:eastAsia="Arial" w:hAnsi="Arial"/>
                  <w:sz w:val="17"/>
                  <w:szCs w:val="17"/>
                  <w:color w:val="0000FF"/>
                  <w:w w:val="94"/>
                </w:rPr>
                <w:t>Registrant and each of its directors and executive</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FF"/>
            </w:tcBorders>
            <w:gridSpan w:val="13"/>
          </w:tcPr>
          <w:p>
            <w:pPr>
              <w:spacing w:after="0" w:line="183" w:lineRule="exact"/>
              <w:rPr>
                <w:rFonts w:ascii="Arial" w:cs="Arial" w:eastAsia="Arial" w:hAnsi="Arial"/>
                <w:sz w:val="17"/>
                <w:szCs w:val="17"/>
                <w:color w:val="0000FF"/>
              </w:rPr>
            </w:pPr>
            <w:hyperlink r:id="rId158">
              <w:r>
                <w:rPr>
                  <w:rFonts w:ascii="Arial" w:cs="Arial" w:eastAsia="Arial" w:hAnsi="Arial"/>
                  <w:sz w:val="17"/>
                  <w:szCs w:val="17"/>
                  <w:color w:val="0000FF"/>
                </w:rPr>
                <w:t>officers.</w:t>
              </w:r>
            </w:hyperlink>
          </w:p>
        </w:tc>
        <w:tc>
          <w:tcPr>
            <w:tcW w:w="180" w:type="dxa"/>
            <w:vAlign w:val="bottom"/>
            <w:gridSpan w:val="5"/>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rFonts w:ascii="Arial" w:cs="Arial" w:eastAsia="Arial" w:hAnsi="Arial"/>
                <w:sz w:val="17"/>
                <w:szCs w:val="17"/>
                <w:color w:val="0000FF"/>
                <w:w w:val="91"/>
              </w:rPr>
            </w:pPr>
            <w:hyperlink r:id="rId159">
              <w:r>
                <w:rPr>
                  <w:rFonts w:ascii="Arial" w:cs="Arial" w:eastAsia="Arial" w:hAnsi="Arial"/>
                  <w:sz w:val="17"/>
                  <w:szCs w:val="17"/>
                  <w:color w:val="0000FF"/>
                  <w:w w:val="91"/>
                </w:rPr>
                <w:t>2020 Equity Incentive Plan and related form</w:t>
              </w:r>
            </w:hyperlink>
          </w:p>
        </w:tc>
        <w:tc>
          <w:tcPr>
            <w:tcW w:w="500" w:type="dxa"/>
            <w:vAlign w:val="bottom"/>
            <w:gridSpan w:val="8"/>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11/30/2020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0000FF"/>
            </w:tcBorders>
            <w:gridSpan w:val="3"/>
          </w:tcPr>
          <w:p>
            <w:pPr>
              <w:spacing w:after="0" w:line="183" w:lineRule="exact"/>
              <w:rPr>
                <w:rFonts w:ascii="Arial" w:cs="Arial" w:eastAsia="Arial" w:hAnsi="Arial"/>
                <w:sz w:val="17"/>
                <w:szCs w:val="17"/>
                <w:color w:val="0000FF"/>
                <w:w w:val="84"/>
              </w:rPr>
            </w:pPr>
            <w:hyperlink r:id="rId159">
              <w:r>
                <w:rPr>
                  <w:rFonts w:ascii="Arial" w:cs="Arial" w:eastAsia="Arial" w:hAnsi="Arial"/>
                  <w:sz w:val="17"/>
                  <w:szCs w:val="17"/>
                  <w:color w:val="0000FF"/>
                  <w:w w:val="84"/>
                </w:rPr>
                <w:t>agreements.</w:t>
              </w:r>
            </w:hyperlink>
          </w:p>
        </w:tc>
        <w:tc>
          <w:tcPr>
            <w:tcW w:w="2720" w:type="dxa"/>
            <w:vAlign w:val="bottom"/>
            <w:gridSpan w:val="15"/>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spacing w:after="0"/>
              <w:rPr>
                <w:rFonts w:ascii="Arial" w:cs="Arial" w:eastAsia="Arial" w:hAnsi="Arial"/>
                <w:sz w:val="17"/>
                <w:szCs w:val="17"/>
                <w:color w:val="0000FF"/>
              </w:rPr>
            </w:pPr>
            <w:hyperlink r:id="rId160">
              <w:r>
                <w:rPr>
                  <w:rFonts w:ascii="Arial" w:cs="Arial" w:eastAsia="Arial" w:hAnsi="Arial"/>
                  <w:sz w:val="17"/>
                  <w:szCs w:val="17"/>
                  <w:color w:val="0000FF"/>
                </w:rPr>
                <w:t>2017 Stock Incentive Plan and related form</w:t>
              </w:r>
            </w:hyperlink>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240" w:type="dxa"/>
            <w:vAlign w:val="bottom"/>
          </w:tcPr>
          <w:p>
            <w:pPr>
              <w:jc w:val="center"/>
              <w:ind w:left="376"/>
              <w:spacing w:after="0"/>
              <w:rPr>
                <w:sz w:val="20"/>
                <w:szCs w:val="20"/>
                <w:color w:val="auto"/>
              </w:rPr>
            </w:pPr>
            <w:r>
              <w:rPr>
                <w:rFonts w:ascii="Arial" w:cs="Arial" w:eastAsia="Arial" w:hAnsi="Arial"/>
                <w:sz w:val="17"/>
                <w:szCs w:val="17"/>
                <w:color w:val="auto"/>
                <w:w w:val="91"/>
              </w:rPr>
              <w:t>11/30/2020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gridSpan w:val="3"/>
          </w:tcPr>
          <w:p>
            <w:pPr>
              <w:spacing w:after="0" w:line="183" w:lineRule="exact"/>
              <w:rPr>
                <w:rFonts w:ascii="Arial" w:cs="Arial" w:eastAsia="Arial" w:hAnsi="Arial"/>
                <w:sz w:val="17"/>
                <w:szCs w:val="17"/>
                <w:color w:val="0000FF"/>
                <w:w w:val="84"/>
              </w:rPr>
            </w:pPr>
            <w:hyperlink r:id="rId160">
              <w:r>
                <w:rPr>
                  <w:rFonts w:ascii="Arial" w:cs="Arial" w:eastAsia="Arial" w:hAnsi="Arial"/>
                  <w:sz w:val="17"/>
                  <w:szCs w:val="17"/>
                  <w:color w:val="0000FF"/>
                  <w:w w:val="84"/>
                </w:rPr>
                <w:t>agreements.</w:t>
              </w:r>
            </w:hyperlink>
          </w:p>
        </w:tc>
        <w:tc>
          <w:tcPr>
            <w:tcW w:w="2140" w:type="dxa"/>
            <w:vAlign w:val="bottom"/>
            <w:tcBorders>
              <w:top w:val="single" w:sz="8" w:color="0000FF"/>
            </w:tcBorders>
            <w:gridSpan w:val="6"/>
          </w:tcPr>
          <w:p>
            <w:pPr>
              <w:spacing w:after="0"/>
              <w:rPr>
                <w:sz w:val="15"/>
                <w:szCs w:val="15"/>
                <w:color w:val="auto"/>
              </w:rPr>
            </w:pPr>
          </w:p>
        </w:tc>
        <w:tc>
          <w:tcPr>
            <w:tcW w:w="580" w:type="dxa"/>
            <w:vAlign w:val="bottom"/>
            <w:gridSpan w:val="9"/>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26" w:name="page127"/>
    <w:bookmarkEnd w:id="126"/>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10.4+</w:t>
            </w:r>
          </w:p>
        </w:tc>
        <w:tc>
          <w:tcPr>
            <w:tcW w:w="3420" w:type="dxa"/>
            <w:vAlign w:val="bottom"/>
            <w:tcBorders>
              <w:bottom w:val="single" w:sz="8" w:color="0000FF"/>
            </w:tcBorders>
            <w:gridSpan w:val="18"/>
          </w:tcPr>
          <w:p>
            <w:pPr>
              <w:spacing w:after="0"/>
              <w:rPr>
                <w:rFonts w:ascii="Arial" w:cs="Arial" w:eastAsia="Arial" w:hAnsi="Arial"/>
                <w:sz w:val="17"/>
                <w:szCs w:val="17"/>
                <w:color w:val="0000FF"/>
                <w:w w:val="91"/>
              </w:rPr>
            </w:pPr>
            <w:hyperlink r:id="rId162">
              <w:r>
                <w:rPr>
                  <w:rFonts w:ascii="Arial" w:cs="Arial" w:eastAsia="Arial" w:hAnsi="Arial"/>
                  <w:sz w:val="17"/>
                  <w:szCs w:val="17"/>
                  <w:color w:val="0000FF"/>
                  <w:w w:val="91"/>
                </w:rPr>
                <w:t>2020 RSU Equity Incentive Plan and related form</w:t>
              </w:r>
            </w:hyperlink>
          </w:p>
        </w:tc>
        <w:tc>
          <w:tcPr>
            <w:tcW w:w="360" w:type="dxa"/>
            <w:vAlign w:val="bottom"/>
            <w:gridSpan w:val="2"/>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820" w:type="dxa"/>
            <w:vAlign w:val="bottom"/>
            <w:tcBorders>
              <w:bottom w:val="single" w:sz="8" w:color="0000FF"/>
            </w:tcBorders>
            <w:gridSpan w:val="3"/>
          </w:tcPr>
          <w:p>
            <w:pPr>
              <w:spacing w:after="0" w:line="183" w:lineRule="exact"/>
              <w:rPr>
                <w:rFonts w:ascii="Arial" w:cs="Arial" w:eastAsia="Arial" w:hAnsi="Arial"/>
                <w:sz w:val="17"/>
                <w:szCs w:val="17"/>
                <w:color w:val="0000FF"/>
                <w:w w:val="84"/>
              </w:rPr>
            </w:pPr>
            <w:hyperlink r:id="rId162">
              <w:r>
                <w:rPr>
                  <w:rFonts w:ascii="Arial" w:cs="Arial" w:eastAsia="Arial" w:hAnsi="Arial"/>
                  <w:sz w:val="17"/>
                  <w:szCs w:val="17"/>
                  <w:color w:val="0000FF"/>
                  <w:w w:val="84"/>
                </w:rPr>
                <w:t>agreements.</w:t>
              </w:r>
            </w:hyperlink>
          </w:p>
        </w:tc>
        <w:tc>
          <w:tcPr>
            <w:tcW w:w="2960" w:type="dxa"/>
            <w:vAlign w:val="bottom"/>
            <w:gridSpan w:val="17"/>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10.5+</w:t>
            </w:r>
          </w:p>
        </w:tc>
        <w:tc>
          <w:tcPr>
            <w:tcW w:w="2560" w:type="dxa"/>
            <w:vAlign w:val="bottom"/>
            <w:tcBorders>
              <w:bottom w:val="single" w:sz="8" w:color="0000FF"/>
            </w:tcBorders>
            <w:gridSpan w:val="6"/>
          </w:tcPr>
          <w:p>
            <w:pPr>
              <w:spacing w:after="0"/>
              <w:rPr>
                <w:rFonts w:ascii="Arial" w:cs="Arial" w:eastAsia="Arial" w:hAnsi="Arial"/>
                <w:sz w:val="17"/>
                <w:szCs w:val="17"/>
                <w:color w:val="0000FF"/>
                <w:w w:val="88"/>
              </w:rPr>
            </w:pPr>
            <w:hyperlink r:id="rId163">
              <w:r>
                <w:rPr>
                  <w:rFonts w:ascii="Arial" w:cs="Arial" w:eastAsia="Arial" w:hAnsi="Arial"/>
                  <w:sz w:val="17"/>
                  <w:szCs w:val="17"/>
                  <w:color w:val="0000FF"/>
                  <w:w w:val="88"/>
                </w:rPr>
                <w:t>2020 Employee Stock Purchase Plan.</w:t>
              </w:r>
            </w:hyperlink>
          </w:p>
        </w:tc>
        <w:tc>
          <w:tcPr>
            <w:tcW w:w="1220" w:type="dxa"/>
            <w:vAlign w:val="bottom"/>
            <w:gridSpan w:val="14"/>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89"/>
              </w:rPr>
              <w:t>10-Q</w:t>
            </w: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2"/>
              </w:rPr>
              <w:t>8/12/2021</w:t>
            </w: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10.6+</w:t>
            </w:r>
          </w:p>
        </w:tc>
        <w:tc>
          <w:tcPr>
            <w:tcW w:w="3780" w:type="dxa"/>
            <w:vAlign w:val="bottom"/>
            <w:gridSpan w:val="20"/>
          </w:tcPr>
          <w:p>
            <w:pPr>
              <w:spacing w:after="0"/>
              <w:rPr>
                <w:rFonts w:ascii="Arial" w:cs="Arial" w:eastAsia="Arial" w:hAnsi="Arial"/>
                <w:sz w:val="17"/>
                <w:szCs w:val="17"/>
                <w:color w:val="0000FF"/>
              </w:rPr>
            </w:pPr>
            <w:hyperlink r:id="rId164">
              <w:r>
                <w:rPr>
                  <w:rFonts w:ascii="Arial" w:cs="Arial" w:eastAsia="Arial" w:hAnsi="Arial"/>
                  <w:sz w:val="17"/>
                  <w:szCs w:val="17"/>
                  <w:color w:val="0000FF"/>
                </w:rPr>
                <w:t>Key Executive Change in Control and Severance</w:t>
              </w:r>
            </w:hyperlink>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9"/>
          </w:tcPr>
          <w:p>
            <w:pPr>
              <w:spacing w:after="0" w:line="183" w:lineRule="exact"/>
              <w:rPr>
                <w:rFonts w:ascii="Arial" w:cs="Arial" w:eastAsia="Arial" w:hAnsi="Arial"/>
                <w:sz w:val="17"/>
                <w:szCs w:val="17"/>
                <w:color w:val="0000FF"/>
                <w:w w:val="91"/>
              </w:rPr>
            </w:pPr>
            <w:hyperlink r:id="rId164">
              <w:r>
                <w:rPr>
                  <w:rFonts w:ascii="Arial" w:cs="Arial" w:eastAsia="Arial" w:hAnsi="Arial"/>
                  <w:sz w:val="17"/>
                  <w:szCs w:val="17"/>
                  <w:color w:val="0000FF"/>
                  <w:w w:val="91"/>
                </w:rPr>
                <w:t>Plan, and form of Participation Agreement</w:t>
              </w:r>
            </w:hyperlink>
          </w:p>
        </w:tc>
        <w:tc>
          <w:tcPr>
            <w:tcW w:w="420" w:type="dxa"/>
            <w:vAlign w:val="bottom"/>
            <w:tcBorders>
              <w:top w:val="single" w:sz="8" w:color="0000FF"/>
            </w:tcBorders>
            <w:gridSpan w:val="6"/>
          </w:tcPr>
          <w:p>
            <w:pPr>
              <w:spacing w:after="0"/>
              <w:rPr>
                <w:sz w:val="15"/>
                <w:szCs w:val="15"/>
                <w:color w:val="auto"/>
              </w:rPr>
            </w:pPr>
          </w:p>
        </w:tc>
        <w:tc>
          <w:tcPr>
            <w:tcW w:w="440" w:type="dxa"/>
            <w:vAlign w:val="bottom"/>
            <w:gridSpan w:val="5"/>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780" w:type="dxa"/>
            <w:vAlign w:val="bottom"/>
            <w:gridSpan w:val="20"/>
          </w:tcPr>
          <w:p>
            <w:pPr>
              <w:spacing w:after="0" w:line="183" w:lineRule="exact"/>
              <w:rPr>
                <w:rFonts w:ascii="Arial" w:cs="Arial" w:eastAsia="Arial" w:hAnsi="Arial"/>
                <w:sz w:val="17"/>
                <w:szCs w:val="17"/>
                <w:color w:val="0000FF"/>
              </w:rPr>
            </w:pPr>
            <w:hyperlink r:id="rId164">
              <w:r>
                <w:rPr>
                  <w:rFonts w:ascii="Arial" w:cs="Arial" w:eastAsia="Arial" w:hAnsi="Arial"/>
                  <w:sz w:val="17"/>
                  <w:szCs w:val="17"/>
                  <w:color w:val="0000FF"/>
                </w:rPr>
                <w:t>thereunder.</w:t>
              </w:r>
            </w:hyperlink>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10.7+</w:t>
            </w:r>
          </w:p>
        </w:tc>
        <w:tc>
          <w:tcPr>
            <w:tcW w:w="3400" w:type="dxa"/>
            <w:vAlign w:val="bottom"/>
            <w:tcBorders>
              <w:bottom w:val="single" w:sz="8" w:color="0000FF"/>
            </w:tcBorders>
            <w:gridSpan w:val="17"/>
          </w:tcPr>
          <w:p>
            <w:pPr>
              <w:spacing w:after="0"/>
              <w:rPr>
                <w:rFonts w:ascii="Arial" w:cs="Arial" w:eastAsia="Arial" w:hAnsi="Arial"/>
                <w:sz w:val="17"/>
                <w:szCs w:val="17"/>
                <w:color w:val="0000FF"/>
                <w:w w:val="91"/>
              </w:rPr>
            </w:pPr>
            <w:hyperlink r:id="rId165">
              <w:r>
                <w:rPr>
                  <w:rFonts w:ascii="Arial" w:cs="Arial" w:eastAsia="Arial" w:hAnsi="Arial"/>
                  <w:sz w:val="17"/>
                  <w:szCs w:val="17"/>
                  <w:color w:val="0000FF"/>
                  <w:w w:val="91"/>
                </w:rPr>
                <w:t>Confirmatory Offer Letter between the Registrant</w:t>
              </w:r>
            </w:hyperlink>
          </w:p>
        </w:tc>
        <w:tc>
          <w:tcPr>
            <w:tcW w:w="380" w:type="dxa"/>
            <w:vAlign w:val="bottom"/>
            <w:gridSpan w:val="3"/>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3780" w:type="dxa"/>
            <w:vAlign w:val="bottom"/>
            <w:gridSpan w:val="20"/>
          </w:tcPr>
          <w:p>
            <w:pPr>
              <w:spacing w:after="0" w:line="183" w:lineRule="exact"/>
              <w:rPr>
                <w:rFonts w:ascii="Arial" w:cs="Arial" w:eastAsia="Arial" w:hAnsi="Arial"/>
                <w:sz w:val="17"/>
                <w:szCs w:val="17"/>
                <w:color w:val="0000FF"/>
              </w:rPr>
            </w:pPr>
            <w:hyperlink r:id="rId165">
              <w:r>
                <w:rPr>
                  <w:rFonts w:ascii="Arial" w:cs="Arial" w:eastAsia="Arial" w:hAnsi="Arial"/>
                  <w:sz w:val="17"/>
                  <w:szCs w:val="17"/>
                  <w:color w:val="0000FF"/>
                </w:rPr>
                <w:t>and Dr. Omid Farokhzad, dated November 30,</w:t>
              </w:r>
            </w:hyperlink>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Arial" w:cs="Arial" w:eastAsia="Arial" w:hAnsi="Arial"/>
                <w:sz w:val="17"/>
                <w:szCs w:val="17"/>
                <w:color w:val="0000FF"/>
                <w:w w:val="84"/>
              </w:rPr>
            </w:pPr>
            <w:hyperlink r:id="rId165">
              <w:r>
                <w:rPr>
                  <w:rFonts w:ascii="Arial" w:cs="Arial" w:eastAsia="Arial" w:hAnsi="Arial"/>
                  <w:sz w:val="17"/>
                  <w:szCs w:val="17"/>
                  <w:color w:val="0000FF"/>
                  <w:w w:val="84"/>
                </w:rPr>
                <w:t>2020.</w:t>
              </w:r>
            </w:hyperlink>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52"/>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10.8+</w:t>
            </w:r>
          </w:p>
        </w:tc>
        <w:tc>
          <w:tcPr>
            <w:tcW w:w="3400" w:type="dxa"/>
            <w:vAlign w:val="bottom"/>
            <w:tcBorders>
              <w:bottom w:val="single" w:sz="8" w:color="0000FF"/>
            </w:tcBorders>
            <w:gridSpan w:val="17"/>
          </w:tcPr>
          <w:p>
            <w:pPr>
              <w:spacing w:after="0"/>
              <w:rPr>
                <w:rFonts w:ascii="Arial" w:cs="Arial" w:eastAsia="Arial" w:hAnsi="Arial"/>
                <w:sz w:val="17"/>
                <w:szCs w:val="17"/>
                <w:color w:val="0000FF"/>
                <w:w w:val="91"/>
              </w:rPr>
            </w:pPr>
            <w:hyperlink r:id="rId166">
              <w:r>
                <w:rPr>
                  <w:rFonts w:ascii="Arial" w:cs="Arial" w:eastAsia="Arial" w:hAnsi="Arial"/>
                  <w:sz w:val="17"/>
                  <w:szCs w:val="17"/>
                  <w:color w:val="0000FF"/>
                  <w:w w:val="91"/>
                </w:rPr>
                <w:t>Confirmatory Offer Letter between the Registrant</w:t>
              </w:r>
            </w:hyperlink>
          </w:p>
        </w:tc>
        <w:tc>
          <w:tcPr>
            <w:tcW w:w="380" w:type="dxa"/>
            <w:vAlign w:val="bottom"/>
            <w:gridSpan w:val="3"/>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3300" w:type="dxa"/>
            <w:vAlign w:val="bottom"/>
            <w:tcBorders>
              <w:bottom w:val="single" w:sz="8" w:color="0000FF"/>
            </w:tcBorders>
            <w:gridSpan w:val="14"/>
          </w:tcPr>
          <w:p>
            <w:pPr>
              <w:spacing w:after="0" w:line="183" w:lineRule="exact"/>
              <w:rPr>
                <w:rFonts w:ascii="Arial" w:cs="Arial" w:eastAsia="Arial" w:hAnsi="Arial"/>
                <w:sz w:val="17"/>
                <w:szCs w:val="17"/>
                <w:color w:val="0000FF"/>
                <w:w w:val="88"/>
              </w:rPr>
            </w:pPr>
            <w:hyperlink r:id="rId166">
              <w:r>
                <w:rPr>
                  <w:rFonts w:ascii="Arial" w:cs="Arial" w:eastAsia="Arial" w:hAnsi="Arial"/>
                  <w:sz w:val="17"/>
                  <w:szCs w:val="17"/>
                  <w:color w:val="0000FF"/>
                  <w:w w:val="88"/>
                </w:rPr>
                <w:t>and Omead Ostadan, dated November 30, 2020.</w:t>
              </w:r>
            </w:hyperlink>
          </w:p>
        </w:tc>
        <w:tc>
          <w:tcPr>
            <w:tcW w:w="480" w:type="dxa"/>
            <w:vAlign w:val="bottom"/>
            <w:gridSpan w:val="6"/>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2"/>
              </w:rPr>
              <w:t>10.9+</w:t>
            </w:r>
          </w:p>
        </w:tc>
        <w:tc>
          <w:tcPr>
            <w:tcW w:w="3400" w:type="dxa"/>
            <w:vAlign w:val="bottom"/>
            <w:tcBorders>
              <w:bottom w:val="single" w:sz="8" w:color="0000FF"/>
            </w:tcBorders>
            <w:gridSpan w:val="17"/>
          </w:tcPr>
          <w:p>
            <w:pPr>
              <w:spacing w:after="0"/>
              <w:rPr>
                <w:rFonts w:ascii="Arial" w:cs="Arial" w:eastAsia="Arial" w:hAnsi="Arial"/>
                <w:sz w:val="17"/>
                <w:szCs w:val="17"/>
                <w:color w:val="0000FF"/>
                <w:w w:val="91"/>
              </w:rPr>
            </w:pPr>
            <w:hyperlink r:id="rId167">
              <w:r>
                <w:rPr>
                  <w:rFonts w:ascii="Arial" w:cs="Arial" w:eastAsia="Arial" w:hAnsi="Arial"/>
                  <w:sz w:val="17"/>
                  <w:szCs w:val="17"/>
                  <w:color w:val="0000FF"/>
                  <w:w w:val="91"/>
                </w:rPr>
                <w:t>Confirmatory Offer Letter between the Registrant</w:t>
              </w:r>
            </w:hyperlink>
          </w:p>
        </w:tc>
        <w:tc>
          <w:tcPr>
            <w:tcW w:w="380" w:type="dxa"/>
            <w:vAlign w:val="bottom"/>
            <w:gridSpan w:val="3"/>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3780" w:type="dxa"/>
            <w:vAlign w:val="bottom"/>
            <w:gridSpan w:val="20"/>
          </w:tcPr>
          <w:p>
            <w:pPr>
              <w:spacing w:after="0" w:line="183" w:lineRule="exact"/>
              <w:rPr>
                <w:rFonts w:ascii="Arial" w:cs="Arial" w:eastAsia="Arial" w:hAnsi="Arial"/>
                <w:sz w:val="17"/>
                <w:szCs w:val="17"/>
                <w:color w:val="0000FF"/>
              </w:rPr>
            </w:pPr>
            <w:hyperlink r:id="rId167">
              <w:r>
                <w:rPr>
                  <w:rFonts w:ascii="Arial" w:cs="Arial" w:eastAsia="Arial" w:hAnsi="Arial"/>
                  <w:sz w:val="17"/>
                  <w:szCs w:val="17"/>
                  <w:color w:val="0000FF"/>
                </w:rPr>
                <w:t>and David Horn, dated November 30, 2020.</w:t>
              </w:r>
            </w:hyperlink>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1"/>
              </w:rPr>
              <w:t>10.10+</w:t>
            </w:r>
          </w:p>
        </w:tc>
        <w:tc>
          <w:tcPr>
            <w:tcW w:w="3780" w:type="dxa"/>
            <w:vAlign w:val="bottom"/>
            <w:gridSpan w:val="20"/>
          </w:tcPr>
          <w:p>
            <w:pPr>
              <w:spacing w:after="0"/>
              <w:rPr>
                <w:rFonts w:ascii="Arial" w:cs="Arial" w:eastAsia="Arial" w:hAnsi="Arial"/>
                <w:sz w:val="17"/>
                <w:szCs w:val="17"/>
                <w:color w:val="0000FF"/>
                <w:w w:val="97"/>
              </w:rPr>
            </w:pPr>
            <w:hyperlink r:id="rId168">
              <w:r>
                <w:rPr>
                  <w:rFonts w:ascii="Arial" w:cs="Arial" w:eastAsia="Arial" w:hAnsi="Arial"/>
                  <w:sz w:val="17"/>
                  <w:szCs w:val="17"/>
                  <w:color w:val="0000FF"/>
                  <w:w w:val="97"/>
                </w:rPr>
                <w:t>CEO Change in Control and Severance Agreement</w:t>
              </w:r>
            </w:hyperlink>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10.10</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183"/>
        </w:trPr>
        <w:tc>
          <w:tcPr>
            <w:tcW w:w="820" w:type="dxa"/>
            <w:vAlign w:val="bottom"/>
          </w:tcPr>
          <w:p>
            <w:pPr>
              <w:spacing w:after="0"/>
              <w:rPr>
                <w:sz w:val="15"/>
                <w:szCs w:val="15"/>
                <w:color w:val="auto"/>
              </w:rPr>
            </w:pPr>
          </w:p>
        </w:tc>
        <w:tc>
          <w:tcPr>
            <w:tcW w:w="3480" w:type="dxa"/>
            <w:vAlign w:val="bottom"/>
            <w:tcBorders>
              <w:top w:val="single" w:sz="8" w:color="0000FF"/>
            </w:tcBorders>
            <w:gridSpan w:val="19"/>
          </w:tcPr>
          <w:p>
            <w:pPr>
              <w:spacing w:after="0" w:line="183" w:lineRule="exact"/>
              <w:rPr>
                <w:rFonts w:ascii="Arial" w:cs="Arial" w:eastAsia="Arial" w:hAnsi="Arial"/>
                <w:sz w:val="17"/>
                <w:szCs w:val="17"/>
                <w:color w:val="0000FF"/>
                <w:w w:val="93"/>
              </w:rPr>
            </w:pPr>
            <w:hyperlink r:id="rId168">
              <w:r>
                <w:rPr>
                  <w:rFonts w:ascii="Arial" w:cs="Arial" w:eastAsia="Arial" w:hAnsi="Arial"/>
                  <w:sz w:val="17"/>
                  <w:szCs w:val="17"/>
                  <w:color w:val="0000FF"/>
                  <w:w w:val="93"/>
                </w:rPr>
                <w:t>between the Registrant and Dr. Omid Farokhzad,</w:t>
              </w:r>
            </w:hyperlink>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820" w:type="dxa"/>
            <w:vAlign w:val="bottom"/>
            <w:tcBorders>
              <w:top w:val="single" w:sz="8" w:color="0000FF"/>
              <w:bottom w:val="single" w:sz="8" w:color="0000FF"/>
            </w:tcBorders>
            <w:gridSpan w:val="5"/>
          </w:tcPr>
          <w:p>
            <w:pPr>
              <w:spacing w:after="0" w:line="183" w:lineRule="exact"/>
              <w:rPr>
                <w:rFonts w:ascii="Arial" w:cs="Arial" w:eastAsia="Arial" w:hAnsi="Arial"/>
                <w:sz w:val="17"/>
                <w:szCs w:val="17"/>
                <w:color w:val="0000FF"/>
                <w:w w:val="89"/>
              </w:rPr>
            </w:pPr>
            <w:hyperlink r:id="rId168">
              <w:r>
                <w:rPr>
                  <w:rFonts w:ascii="Arial" w:cs="Arial" w:eastAsia="Arial" w:hAnsi="Arial"/>
                  <w:sz w:val="17"/>
                  <w:szCs w:val="17"/>
                  <w:color w:val="0000FF"/>
                  <w:w w:val="89"/>
                </w:rPr>
                <w:t>dated November 30, 2020.</w:t>
              </w:r>
            </w:hyperlink>
          </w:p>
        </w:tc>
        <w:tc>
          <w:tcPr>
            <w:tcW w:w="1520" w:type="dxa"/>
            <w:vAlign w:val="bottom"/>
            <w:tcBorders>
              <w:top w:val="single" w:sz="8" w:color="0000FF"/>
            </w:tcBorders>
            <w:gridSpan w:val="10"/>
          </w:tcPr>
          <w:p>
            <w:pPr>
              <w:spacing w:after="0"/>
              <w:rPr>
                <w:sz w:val="15"/>
                <w:szCs w:val="15"/>
                <w:color w:val="auto"/>
              </w:rPr>
            </w:pPr>
          </w:p>
        </w:tc>
        <w:tc>
          <w:tcPr>
            <w:tcW w:w="440" w:type="dxa"/>
            <w:vAlign w:val="bottom"/>
            <w:gridSpan w:val="5"/>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53"/>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1"/>
              </w:rPr>
              <w:t>10.11+</w:t>
            </w:r>
          </w:p>
        </w:tc>
        <w:tc>
          <w:tcPr>
            <w:tcW w:w="3780" w:type="dxa"/>
            <w:vAlign w:val="bottom"/>
            <w:gridSpan w:val="20"/>
          </w:tcPr>
          <w:p>
            <w:pPr>
              <w:spacing w:after="0"/>
              <w:rPr>
                <w:rFonts w:ascii="Arial" w:cs="Arial" w:eastAsia="Arial" w:hAnsi="Arial"/>
                <w:sz w:val="17"/>
                <w:szCs w:val="17"/>
                <w:color w:val="0000FF"/>
              </w:rPr>
            </w:pPr>
            <w:hyperlink r:id="rId169">
              <w:r>
                <w:rPr>
                  <w:rFonts w:ascii="Arial" w:cs="Arial" w:eastAsia="Arial" w:hAnsi="Arial"/>
                  <w:sz w:val="17"/>
                  <w:szCs w:val="17"/>
                  <w:color w:val="0000FF"/>
                </w:rPr>
                <w:t>Executive Incentive Compensation Plan</w:t>
              </w:r>
            </w:hyperlink>
            <w:r>
              <w:rPr>
                <w:rFonts w:ascii="Arial" w:cs="Arial" w:eastAsia="Arial" w:hAnsi="Arial"/>
                <w:sz w:val="17"/>
                <w:szCs w:val="17"/>
                <w:color w:val="000000"/>
              </w:rPr>
              <w:t>.</w:t>
            </w: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98"/>
              </w:rPr>
              <w:t>S-1/A</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10.11</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11/30/2020</w:t>
            </w:r>
          </w:p>
        </w:tc>
      </w:tr>
      <w:tr>
        <w:trPr>
          <w:trHeight w:val="452"/>
        </w:trPr>
        <w:tc>
          <w:tcPr>
            <w:tcW w:w="820" w:type="dxa"/>
            <w:vAlign w:val="bottom"/>
          </w:tcPr>
          <w:p>
            <w:pPr>
              <w:jc w:val="center"/>
              <w:ind w:right="255"/>
              <w:spacing w:after="0"/>
              <w:rPr>
                <w:sz w:val="20"/>
                <w:szCs w:val="20"/>
                <w:color w:val="auto"/>
              </w:rPr>
            </w:pPr>
            <w:r>
              <w:rPr>
                <w:rFonts w:ascii="Arial" w:cs="Arial" w:eastAsia="Arial" w:hAnsi="Arial"/>
                <w:sz w:val="17"/>
                <w:szCs w:val="17"/>
                <w:color w:val="auto"/>
                <w:w w:val="91"/>
              </w:rPr>
              <w:t>10.12+</w:t>
            </w:r>
          </w:p>
        </w:tc>
        <w:tc>
          <w:tcPr>
            <w:tcW w:w="266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1"/>
              </w:rPr>
            </w:pPr>
            <w:hyperlink r:id="rId170">
              <w:r>
                <w:rPr>
                  <w:rFonts w:ascii="Arial" w:cs="Arial" w:eastAsia="Arial" w:hAnsi="Arial"/>
                  <w:sz w:val="17"/>
                  <w:szCs w:val="17"/>
                  <w:color w:val="0000FF"/>
                  <w:w w:val="91"/>
                </w:rPr>
                <w:t>Outside Director Compensation Policy</w:t>
              </w:r>
            </w:hyperlink>
          </w:p>
        </w:tc>
        <w:tc>
          <w:tcPr>
            <w:tcW w:w="140" w:type="dxa"/>
            <w:vAlign w:val="bottom"/>
            <w:tcBorders>
              <w:top w:val="single" w:sz="8" w:color="0000FF"/>
            </w:tcBorders>
          </w:tcPr>
          <w:p>
            <w:pPr>
              <w:spacing w:after="0"/>
              <w:rPr>
                <w:sz w:val="24"/>
                <w:szCs w:val="24"/>
                <w:color w:val="auto"/>
              </w:rPr>
            </w:pPr>
          </w:p>
        </w:tc>
        <w:tc>
          <w:tcPr>
            <w:tcW w:w="980" w:type="dxa"/>
            <w:vAlign w:val="bottom"/>
            <w:gridSpan w:val="12"/>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89"/>
              </w:rPr>
              <w:t>10-Q</w:t>
            </w: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2"/>
              </w:rPr>
              <w:t>8/12/2021</w:t>
            </w:r>
          </w:p>
        </w:tc>
      </w:tr>
      <w:tr>
        <w:trPr>
          <w:trHeight w:val="453"/>
        </w:trPr>
        <w:tc>
          <w:tcPr>
            <w:tcW w:w="820" w:type="dxa"/>
            <w:vAlign w:val="bottom"/>
          </w:tcPr>
          <w:p>
            <w:pPr>
              <w:jc w:val="center"/>
              <w:ind w:right="275"/>
              <w:spacing w:after="0"/>
              <w:rPr>
                <w:sz w:val="20"/>
                <w:szCs w:val="20"/>
                <w:color w:val="auto"/>
              </w:rPr>
            </w:pPr>
            <w:r>
              <w:rPr>
                <w:rFonts w:ascii="Arial" w:cs="Arial" w:eastAsia="Arial" w:hAnsi="Arial"/>
                <w:sz w:val="17"/>
                <w:szCs w:val="17"/>
                <w:color w:val="auto"/>
                <w:w w:val="88"/>
              </w:rPr>
              <w:t>10.13#</w:t>
            </w:r>
          </w:p>
        </w:tc>
        <w:tc>
          <w:tcPr>
            <w:tcW w:w="3120" w:type="dxa"/>
            <w:vAlign w:val="bottom"/>
            <w:tcBorders>
              <w:bottom w:val="single" w:sz="8" w:color="0000FF"/>
            </w:tcBorders>
            <w:gridSpan w:val="11"/>
          </w:tcPr>
          <w:p>
            <w:pPr>
              <w:spacing w:after="0"/>
              <w:rPr>
                <w:rFonts w:ascii="Arial" w:cs="Arial" w:eastAsia="Arial" w:hAnsi="Arial"/>
                <w:sz w:val="17"/>
                <w:szCs w:val="17"/>
                <w:color w:val="0000FF"/>
                <w:w w:val="92"/>
              </w:rPr>
            </w:pPr>
            <w:hyperlink r:id="rId171">
              <w:r>
                <w:rPr>
                  <w:rFonts w:ascii="Arial" w:cs="Arial" w:eastAsia="Arial" w:hAnsi="Arial"/>
                  <w:sz w:val="17"/>
                  <w:szCs w:val="17"/>
                  <w:color w:val="0000FF"/>
                  <w:w w:val="92"/>
                </w:rPr>
                <w:t>Umbrella Development &amp; Supply Agreement</w:t>
              </w:r>
            </w:hyperlink>
          </w:p>
        </w:tc>
        <w:tc>
          <w:tcPr>
            <w:tcW w:w="660" w:type="dxa"/>
            <w:vAlign w:val="bottom"/>
            <w:gridSpan w:val="9"/>
          </w:tcPr>
          <w:p>
            <w:pPr>
              <w:spacing w:after="0"/>
              <w:rPr>
                <w:sz w:val="24"/>
                <w:szCs w:val="24"/>
                <w:color w:val="auto"/>
              </w:rPr>
            </w:pPr>
          </w:p>
        </w:tc>
        <w:tc>
          <w:tcPr>
            <w:tcW w:w="1180" w:type="dxa"/>
            <w:vAlign w:val="bottom"/>
          </w:tcPr>
          <w:p>
            <w:pPr>
              <w:jc w:val="center"/>
              <w:ind w:right="135"/>
              <w:spacing w:after="0"/>
              <w:rPr>
                <w:sz w:val="20"/>
                <w:szCs w:val="20"/>
                <w:color w:val="auto"/>
              </w:rPr>
            </w:pPr>
            <w:r>
              <w:rPr>
                <w:rFonts w:ascii="Arial" w:cs="Arial" w:eastAsia="Arial" w:hAnsi="Arial"/>
                <w:sz w:val="17"/>
                <w:szCs w:val="17"/>
                <w:color w:val="auto"/>
                <w:w w:val="90"/>
              </w:rPr>
              <w:t>S-1</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11/12/2020</w:t>
            </w:r>
          </w:p>
        </w:tc>
      </w:tr>
      <w:tr>
        <w:trPr>
          <w:trHeight w:val="183"/>
        </w:trPr>
        <w:tc>
          <w:tcPr>
            <w:tcW w:w="820" w:type="dxa"/>
            <w:vAlign w:val="bottom"/>
          </w:tcPr>
          <w:p>
            <w:pPr>
              <w:spacing w:after="0"/>
              <w:rPr>
                <w:sz w:val="15"/>
                <w:szCs w:val="15"/>
                <w:color w:val="auto"/>
              </w:rPr>
            </w:pPr>
          </w:p>
        </w:tc>
        <w:tc>
          <w:tcPr>
            <w:tcW w:w="3780" w:type="dxa"/>
            <w:vAlign w:val="bottom"/>
            <w:gridSpan w:val="20"/>
          </w:tcPr>
          <w:p>
            <w:pPr>
              <w:spacing w:after="0" w:line="183" w:lineRule="exact"/>
              <w:rPr>
                <w:rFonts w:ascii="Arial" w:cs="Arial" w:eastAsia="Arial" w:hAnsi="Arial"/>
                <w:sz w:val="17"/>
                <w:szCs w:val="17"/>
                <w:color w:val="0000FF"/>
              </w:rPr>
            </w:pPr>
            <w:hyperlink r:id="rId171">
              <w:r>
                <w:rPr>
                  <w:rFonts w:ascii="Arial" w:cs="Arial" w:eastAsia="Arial" w:hAnsi="Arial"/>
                  <w:sz w:val="17"/>
                  <w:szCs w:val="17"/>
                  <w:color w:val="0000FF"/>
                </w:rPr>
                <w:t>between the Registrant and Hamilton Company,</w:t>
              </w:r>
            </w:hyperlink>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4"/>
          </w:tcPr>
          <w:p>
            <w:pPr>
              <w:spacing w:after="0" w:line="183" w:lineRule="exact"/>
              <w:rPr>
                <w:rFonts w:ascii="Arial" w:cs="Arial" w:eastAsia="Arial" w:hAnsi="Arial"/>
                <w:sz w:val="17"/>
                <w:szCs w:val="17"/>
                <w:color w:val="0000FF"/>
                <w:w w:val="89"/>
              </w:rPr>
            </w:pPr>
            <w:hyperlink r:id="rId171">
              <w:r>
                <w:rPr>
                  <w:rFonts w:ascii="Arial" w:cs="Arial" w:eastAsia="Arial" w:hAnsi="Arial"/>
                  <w:sz w:val="17"/>
                  <w:szCs w:val="17"/>
                  <w:color w:val="0000FF"/>
                  <w:w w:val="89"/>
                </w:rPr>
                <w:t>dated March 9, 2020.</w:t>
              </w:r>
            </w:hyperlink>
          </w:p>
        </w:tc>
        <w:tc>
          <w:tcPr>
            <w:tcW w:w="1820" w:type="dxa"/>
            <w:vAlign w:val="bottom"/>
            <w:tcBorders>
              <w:top w:val="single" w:sz="8" w:color="0000FF"/>
            </w:tcBorders>
            <w:gridSpan w:val="9"/>
          </w:tcPr>
          <w:p>
            <w:pPr>
              <w:spacing w:after="0"/>
              <w:rPr>
                <w:sz w:val="15"/>
                <w:szCs w:val="15"/>
                <w:color w:val="auto"/>
              </w:rPr>
            </w:pPr>
          </w:p>
        </w:tc>
        <w:tc>
          <w:tcPr>
            <w:tcW w:w="500" w:type="dxa"/>
            <w:vAlign w:val="bottom"/>
            <w:gridSpan w:val="7"/>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90"/>
        </w:trPr>
        <w:tc>
          <w:tcPr>
            <w:tcW w:w="820" w:type="dxa"/>
            <w:vAlign w:val="bottom"/>
          </w:tcPr>
          <w:p>
            <w:pPr>
              <w:jc w:val="center"/>
              <w:ind w:right="275"/>
              <w:spacing w:after="0"/>
              <w:rPr>
                <w:sz w:val="20"/>
                <w:szCs w:val="20"/>
                <w:color w:val="auto"/>
              </w:rPr>
            </w:pPr>
            <w:r>
              <w:rPr>
                <w:rFonts w:ascii="Arial" w:cs="Arial" w:eastAsia="Arial" w:hAnsi="Arial"/>
                <w:sz w:val="17"/>
                <w:szCs w:val="17"/>
                <w:color w:val="auto"/>
                <w:w w:val="88"/>
              </w:rPr>
              <w:t>10.14#</w:t>
            </w:r>
          </w:p>
        </w:tc>
        <w:tc>
          <w:tcPr>
            <w:tcW w:w="3780" w:type="dxa"/>
            <w:vAlign w:val="bottom"/>
            <w:gridSpan w:val="20"/>
          </w:tcPr>
          <w:p>
            <w:pPr>
              <w:spacing w:after="0"/>
              <w:rPr>
                <w:rFonts w:ascii="Arial" w:cs="Arial" w:eastAsia="Arial" w:hAnsi="Arial"/>
                <w:sz w:val="17"/>
                <w:szCs w:val="17"/>
                <w:color w:val="0000FF"/>
              </w:rPr>
            </w:pPr>
            <w:hyperlink r:id="rId172">
              <w:r>
                <w:rPr>
                  <w:rFonts w:ascii="Arial" w:cs="Arial" w:eastAsia="Arial" w:hAnsi="Arial"/>
                  <w:sz w:val="17"/>
                  <w:szCs w:val="17"/>
                  <w:color w:val="0000FF"/>
                </w:rPr>
                <w:t>Exclusive Patent License Agreement between the</w:t>
              </w:r>
            </w:hyperlink>
          </w:p>
        </w:tc>
        <w:tc>
          <w:tcPr>
            <w:tcW w:w="1180" w:type="dxa"/>
            <w:vAlign w:val="bottom"/>
          </w:tcPr>
          <w:p>
            <w:pPr>
              <w:jc w:val="center"/>
              <w:ind w:right="135"/>
              <w:spacing w:after="0"/>
              <w:rPr>
                <w:sz w:val="20"/>
                <w:szCs w:val="20"/>
                <w:color w:val="auto"/>
              </w:rPr>
            </w:pPr>
            <w:r>
              <w:rPr>
                <w:rFonts w:ascii="Arial" w:cs="Arial" w:eastAsia="Arial" w:hAnsi="Arial"/>
                <w:sz w:val="17"/>
                <w:szCs w:val="17"/>
                <w:color w:val="auto"/>
                <w:w w:val="90"/>
              </w:rPr>
              <w:t>S-1</w:t>
            </w: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333-250035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260" w:type="dxa"/>
            <w:vAlign w:val="bottom"/>
          </w:tcPr>
          <w:p>
            <w:pPr>
              <w:jc w:val="center"/>
              <w:ind w:left="395"/>
              <w:spacing w:after="0"/>
              <w:rPr>
                <w:sz w:val="20"/>
                <w:szCs w:val="20"/>
                <w:color w:val="auto"/>
              </w:rPr>
            </w:pPr>
            <w:r>
              <w:rPr>
                <w:rFonts w:ascii="Arial" w:cs="Arial" w:eastAsia="Arial" w:hAnsi="Arial"/>
                <w:sz w:val="17"/>
                <w:szCs w:val="17"/>
                <w:color w:val="auto"/>
                <w:w w:val="91"/>
              </w:rPr>
              <w:t>11/12/2020</w:t>
            </w:r>
          </w:p>
        </w:tc>
      </w:tr>
      <w:tr>
        <w:trPr>
          <w:trHeight w:val="183"/>
        </w:trPr>
        <w:tc>
          <w:tcPr>
            <w:tcW w:w="8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9"/>
          </w:tcPr>
          <w:p>
            <w:pPr>
              <w:spacing w:after="0" w:line="183" w:lineRule="exact"/>
              <w:rPr>
                <w:rFonts w:ascii="Arial" w:cs="Arial" w:eastAsia="Arial" w:hAnsi="Arial"/>
                <w:sz w:val="17"/>
                <w:szCs w:val="17"/>
                <w:color w:val="0000FF"/>
                <w:w w:val="90"/>
              </w:rPr>
            </w:pPr>
            <w:hyperlink r:id="rId172">
              <w:r>
                <w:rPr>
                  <w:rFonts w:ascii="Arial" w:cs="Arial" w:eastAsia="Arial" w:hAnsi="Arial"/>
                  <w:sz w:val="17"/>
                  <w:szCs w:val="17"/>
                  <w:color w:val="0000FF"/>
                  <w:w w:val="90"/>
                </w:rPr>
                <w:t>Registrant and The Brigham and Women’s</w:t>
              </w:r>
            </w:hyperlink>
          </w:p>
        </w:tc>
        <w:tc>
          <w:tcPr>
            <w:tcW w:w="460" w:type="dxa"/>
            <w:vAlign w:val="bottom"/>
            <w:tcBorders>
              <w:top w:val="single" w:sz="8" w:color="0000FF"/>
            </w:tcBorders>
            <w:gridSpan w:val="7"/>
          </w:tcPr>
          <w:p>
            <w:pPr>
              <w:spacing w:after="0"/>
              <w:rPr>
                <w:sz w:val="15"/>
                <w:szCs w:val="15"/>
                <w:color w:val="auto"/>
              </w:rPr>
            </w:pPr>
          </w:p>
        </w:tc>
        <w:tc>
          <w:tcPr>
            <w:tcW w:w="400" w:type="dxa"/>
            <w:vAlign w:val="bottom"/>
            <w:gridSpan w:val="4"/>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780" w:type="dxa"/>
            <w:vAlign w:val="bottom"/>
            <w:gridSpan w:val="20"/>
          </w:tcPr>
          <w:p>
            <w:pPr>
              <w:spacing w:after="0" w:line="183" w:lineRule="exact"/>
              <w:rPr>
                <w:rFonts w:ascii="Arial" w:cs="Arial" w:eastAsia="Arial" w:hAnsi="Arial"/>
                <w:sz w:val="17"/>
                <w:szCs w:val="17"/>
                <w:color w:val="0000FF"/>
              </w:rPr>
            </w:pPr>
            <w:hyperlink r:id="rId172">
              <w:r>
                <w:rPr>
                  <w:rFonts w:ascii="Arial" w:cs="Arial" w:eastAsia="Arial" w:hAnsi="Arial"/>
                  <w:sz w:val="17"/>
                  <w:szCs w:val="17"/>
                  <w:color w:val="0000FF"/>
                </w:rPr>
                <w:t>Hospital, Inc., dated December 18, 2017.</w:t>
              </w:r>
            </w:hyperlink>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580" w:top="1440" w:right="1099" w:bottom="1440" w:gutter="0" w:footer="0" w:header="0"/>
        </w:sectPr>
      </w:pPr>
    </w:p>
    <w:bookmarkStart w:id="127" w:name="page128"/>
    <w:bookmarkEnd w:id="127"/>
    <w:p>
      <w:pPr>
        <w:spacing w:after="0" w:line="181" w:lineRule="exact"/>
        <w:rPr>
          <w:sz w:val="20"/>
          <w:szCs w:val="20"/>
          <w:color w:val="auto"/>
        </w:rPr>
      </w:pPr>
    </w:p>
    <w:p>
      <w:pPr>
        <w:ind w:left="740" w:hanging="776"/>
        <w:spacing w:after="0" w:line="210" w:lineRule="auto"/>
        <w:tabs>
          <w:tab w:leader="none" w:pos="720" w:val="left"/>
        </w:tabs>
        <w:rPr>
          <w:rFonts w:ascii="Arial" w:cs="Arial" w:eastAsia="Arial" w:hAnsi="Arial"/>
          <w:sz w:val="17"/>
          <w:szCs w:val="17"/>
          <w:u w:val="single" w:color="auto"/>
          <w:color w:val="0000FF"/>
        </w:rPr>
      </w:pPr>
      <w:r>
        <w:rPr>
          <w:rFonts w:ascii="Arial" w:cs="Arial" w:eastAsia="Arial" w:hAnsi="Arial"/>
          <w:sz w:val="17"/>
          <w:szCs w:val="17"/>
          <w:color w:val="auto"/>
        </w:rPr>
        <w:t>10.15</w:t>
      </w:r>
      <w:r>
        <w:rPr>
          <w:sz w:val="20"/>
          <w:szCs w:val="20"/>
          <w:color w:val="auto"/>
        </w:rPr>
        <w:tab/>
      </w:r>
      <w:hyperlink r:id="rId174">
        <w:r>
          <w:rPr>
            <w:rFonts w:ascii="Arial" w:cs="Arial" w:eastAsia="Arial" w:hAnsi="Arial"/>
            <w:sz w:val="17"/>
            <w:szCs w:val="17"/>
            <w:u w:val="single" w:color="auto"/>
            <w:color w:val="0000FF"/>
          </w:rPr>
          <w:t>Class A Common Stock Purchase Agreement by</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and among the Registrant, Fidelity Management &amp;</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Research Company LLC, SoftBank, certain funds</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and accounts advised by T. Rowe Price Associates,</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Inc. and aMoon Fund, dated as of November 12,</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2020.</w:t>
        </w:r>
      </w:hyperlink>
    </w:p>
    <w:p>
      <w:pPr>
        <w:spacing w:after="0" w:line="54" w:lineRule="exact"/>
        <w:rPr>
          <w:rFonts w:ascii="Arial" w:cs="Arial" w:eastAsia="Arial" w:hAnsi="Arial"/>
          <w:sz w:val="17"/>
          <w:szCs w:val="17"/>
          <w:u w:val="single" w:color="auto"/>
          <w:color w:val="0000FF"/>
        </w:rPr>
      </w:pPr>
    </w:p>
    <w:p>
      <w:pPr>
        <w:jc w:val="both"/>
        <w:ind w:left="740" w:right="300" w:hanging="776"/>
        <w:spacing w:after="0" w:line="221" w:lineRule="auto"/>
        <w:tabs>
          <w:tab w:leader="none" w:pos="72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175">
        <w:r>
          <w:rPr>
            <w:rFonts w:ascii="Arial" w:cs="Arial" w:eastAsia="Arial" w:hAnsi="Arial"/>
            <w:sz w:val="17"/>
            <w:szCs w:val="17"/>
            <w:u w:val="single" w:color="auto"/>
            <w:color w:val="0000FF"/>
          </w:rPr>
          <w:t>Leave of Absence Agreement between Omead</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Ostadan and the Company effective October 7,</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2021.</w:t>
        </w:r>
      </w:hyperlink>
    </w:p>
    <w:p>
      <w:pPr>
        <w:spacing w:after="0" w:line="54" w:lineRule="exact"/>
        <w:rPr>
          <w:rFonts w:ascii="Arial" w:cs="Arial" w:eastAsia="Arial" w:hAnsi="Arial"/>
          <w:sz w:val="17"/>
          <w:szCs w:val="17"/>
          <w:u w:val="single" w:color="auto"/>
          <w:color w:val="0000FF"/>
        </w:rPr>
      </w:pPr>
    </w:p>
    <w:p>
      <w:pPr>
        <w:ind w:left="740" w:right="80" w:hanging="776"/>
        <w:spacing w:after="0" w:line="221" w:lineRule="auto"/>
        <w:tabs>
          <w:tab w:leader="none" w:pos="72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176">
        <w:r>
          <w:rPr>
            <w:rFonts w:ascii="Arial" w:cs="Arial" w:eastAsia="Arial" w:hAnsi="Arial"/>
            <w:sz w:val="17"/>
            <w:szCs w:val="17"/>
            <w:u w:val="single" w:color="auto"/>
            <w:color w:val="0000FF"/>
          </w:rPr>
          <w:t>Amended Confirmatory Employment Letter</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between the Company and Omead Ostadan, dated</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February 18, 2022.</w:t>
        </w:r>
      </w:hyperlink>
    </w:p>
    <w:p>
      <w:pPr>
        <w:spacing w:after="0" w:line="68" w:lineRule="exact"/>
        <w:rPr>
          <w:rFonts w:ascii="Arial" w:cs="Arial" w:eastAsia="Arial" w:hAnsi="Arial"/>
          <w:sz w:val="17"/>
          <w:szCs w:val="17"/>
          <w:u w:val="single" w:color="auto"/>
          <w:color w:val="0000FF"/>
        </w:rPr>
      </w:pPr>
    </w:p>
    <w:p>
      <w:pPr>
        <w:spacing w:after="0"/>
        <w:tabs>
          <w:tab w:leader="none" w:pos="720" w:val="left"/>
        </w:tabs>
        <w:rPr>
          <w:rFonts w:ascii="Arial" w:cs="Arial" w:eastAsia="Arial" w:hAnsi="Arial"/>
          <w:sz w:val="15"/>
          <w:szCs w:val="15"/>
          <w:u w:val="single" w:color="auto"/>
          <w:color w:val="0000FF"/>
        </w:rPr>
      </w:pPr>
      <w:r>
        <w:rPr>
          <w:rFonts w:ascii="Arial" w:cs="Arial" w:eastAsia="Arial" w:hAnsi="Arial"/>
          <w:sz w:val="17"/>
          <w:szCs w:val="17"/>
          <w:color w:val="auto"/>
        </w:rPr>
        <w:t>21.1</w:t>
      </w:r>
      <w:r>
        <w:rPr>
          <w:sz w:val="20"/>
          <w:szCs w:val="20"/>
          <w:color w:val="auto"/>
        </w:rPr>
        <w:tab/>
      </w:r>
      <w:hyperlink r:id="rId177">
        <w:r>
          <w:rPr>
            <w:rFonts w:ascii="Arial" w:cs="Arial" w:eastAsia="Arial" w:hAnsi="Arial"/>
            <w:sz w:val="15"/>
            <w:szCs w:val="15"/>
            <w:u w:val="single" w:color="auto"/>
            <w:color w:val="0000FF"/>
          </w:rPr>
          <w:t>List of Subsidiaries of the Registrant.</w:t>
        </w:r>
      </w:hyperlink>
    </w:p>
    <w:p>
      <w:pPr>
        <w:spacing w:after="0" w:line="277" w:lineRule="exact"/>
        <w:rPr>
          <w:rFonts w:ascii="Arial" w:cs="Arial" w:eastAsia="Arial" w:hAnsi="Arial"/>
          <w:sz w:val="17"/>
          <w:szCs w:val="17"/>
          <w:u w:val="single" w:color="auto"/>
          <w:color w:val="0000FF"/>
        </w:rPr>
      </w:pPr>
    </w:p>
    <w:p>
      <w:pPr>
        <w:ind w:left="740" w:right="200" w:hanging="734"/>
        <w:spacing w:after="0" w:line="306" w:lineRule="auto"/>
        <w:tabs>
          <w:tab w:leader="none" w:pos="720" w:val="left"/>
        </w:tabs>
        <w:rPr>
          <w:rFonts w:ascii="Arial" w:cs="Arial" w:eastAsia="Arial" w:hAnsi="Arial"/>
          <w:sz w:val="16"/>
          <w:szCs w:val="16"/>
          <w:u w:val="single" w:color="auto"/>
          <w:color w:val="0000FF"/>
        </w:rPr>
      </w:pPr>
      <w:r>
        <w:rPr>
          <w:rFonts w:ascii="Arial" w:cs="Arial" w:eastAsia="Arial" w:hAnsi="Arial"/>
          <w:sz w:val="17"/>
          <w:szCs w:val="17"/>
          <w:color w:val="auto"/>
        </w:rPr>
        <w:t>23.1</w:t>
      </w:r>
      <w:r>
        <w:rPr>
          <w:sz w:val="20"/>
          <w:szCs w:val="20"/>
          <w:color w:val="auto"/>
        </w:rPr>
        <w:tab/>
      </w:r>
      <w:hyperlink w:anchor="page132">
        <w:r>
          <w:rPr>
            <w:rFonts w:ascii="Arial" w:cs="Arial" w:eastAsia="Arial" w:hAnsi="Arial"/>
            <w:sz w:val="16"/>
            <w:szCs w:val="16"/>
            <w:u w:val="single" w:color="auto"/>
            <w:color w:val="0000FF"/>
          </w:rPr>
          <w:t>Consent of Deloitte &amp; Touche LLP, independent</w:t>
        </w:r>
      </w:hyperlink>
      <w:r>
        <w:rPr>
          <w:rFonts w:ascii="Arial" w:cs="Arial" w:eastAsia="Arial" w:hAnsi="Arial"/>
          <w:sz w:val="16"/>
          <w:szCs w:val="16"/>
          <w:u w:val="single" w:color="auto"/>
          <w:color w:val="0000FF"/>
        </w:rPr>
        <w:t xml:space="preserve"> </w:t>
      </w:r>
      <w:hyperlink w:anchor="page132">
        <w:r>
          <w:rPr>
            <w:rFonts w:ascii="Arial" w:cs="Arial" w:eastAsia="Arial" w:hAnsi="Arial"/>
            <w:sz w:val="16"/>
            <w:szCs w:val="16"/>
            <w:u w:val="single" w:color="auto"/>
            <w:color w:val="0000FF"/>
          </w:rPr>
          <w:t>registered public accounting firm.</w:t>
        </w:r>
      </w:hyperlink>
    </w:p>
    <w:p>
      <w:pPr>
        <w:spacing w:after="0" w:line="206" w:lineRule="exact"/>
        <w:rPr>
          <w:sz w:val="20"/>
          <w:szCs w:val="20"/>
          <w:color w:val="auto"/>
        </w:rPr>
      </w:pPr>
    </w:p>
    <w:p>
      <w:pPr>
        <w:ind w:left="740" w:right="20" w:hanging="734"/>
        <w:spacing w:after="0" w:line="255" w:lineRule="auto"/>
        <w:tabs>
          <w:tab w:leader="none" w:pos="720" w:val="left"/>
        </w:tabs>
        <w:rPr>
          <w:rFonts w:ascii="Arial" w:cs="Arial" w:eastAsia="Arial" w:hAnsi="Arial"/>
          <w:sz w:val="17"/>
          <w:szCs w:val="17"/>
          <w:u w:val="single" w:color="auto"/>
          <w:color w:val="0000FF"/>
        </w:rPr>
      </w:pPr>
      <w:r>
        <w:rPr>
          <w:rFonts w:ascii="Arial" w:cs="Arial" w:eastAsia="Arial" w:hAnsi="Arial"/>
          <w:sz w:val="17"/>
          <w:szCs w:val="17"/>
          <w:color w:val="auto"/>
        </w:rPr>
        <w:t>31.1</w:t>
      </w:r>
      <w:r>
        <w:rPr>
          <w:sz w:val="20"/>
          <w:szCs w:val="20"/>
          <w:color w:val="auto"/>
        </w:rPr>
        <w:tab/>
      </w:r>
      <w:hyperlink w:anchor="page133">
        <w:r>
          <w:rPr>
            <w:rFonts w:ascii="Arial" w:cs="Arial" w:eastAsia="Arial" w:hAnsi="Arial"/>
            <w:sz w:val="17"/>
            <w:szCs w:val="17"/>
            <w:u w:val="single" w:color="auto"/>
            <w:color w:val="0000FF"/>
          </w:rPr>
          <w:t>Certification of Principal Executive Officer</w:t>
        </w:r>
      </w:hyperlink>
      <w:r>
        <w:rPr>
          <w:rFonts w:ascii="Arial" w:cs="Arial" w:eastAsia="Arial" w:hAnsi="Arial"/>
          <w:sz w:val="17"/>
          <w:szCs w:val="17"/>
          <w:u w:val="single" w:color="auto"/>
          <w:color w:val="0000FF"/>
        </w:rPr>
        <w:t xml:space="preserve"> </w:t>
      </w:r>
      <w:hyperlink w:anchor="page133">
        <w:r>
          <w:rPr>
            <w:rFonts w:ascii="Arial" w:cs="Arial" w:eastAsia="Arial" w:hAnsi="Arial"/>
            <w:sz w:val="17"/>
            <w:szCs w:val="17"/>
            <w:u w:val="single" w:color="auto"/>
            <w:color w:val="0000FF"/>
          </w:rPr>
          <w:t>Pursuant to Rules 13a-14(a) and 15d-14(a) under</w:t>
        </w:r>
      </w:hyperlink>
      <w:r>
        <w:rPr>
          <w:rFonts w:ascii="Arial" w:cs="Arial" w:eastAsia="Arial" w:hAnsi="Arial"/>
          <w:sz w:val="17"/>
          <w:szCs w:val="17"/>
          <w:u w:val="single" w:color="auto"/>
          <w:color w:val="0000FF"/>
        </w:rPr>
        <w:t xml:space="preserve"> </w:t>
      </w:r>
      <w:hyperlink w:anchor="page133">
        <w:r>
          <w:rPr>
            <w:rFonts w:ascii="Arial" w:cs="Arial" w:eastAsia="Arial" w:hAnsi="Arial"/>
            <w:sz w:val="17"/>
            <w:szCs w:val="17"/>
            <w:u w:val="single" w:color="auto"/>
            <w:color w:val="0000FF"/>
          </w:rPr>
          <w:t>the Securities Exchange Act of 1934, as Adopted</w:t>
        </w:r>
      </w:hyperlink>
      <w:r>
        <w:rPr>
          <w:rFonts w:ascii="Arial" w:cs="Arial" w:eastAsia="Arial" w:hAnsi="Arial"/>
          <w:sz w:val="17"/>
          <w:szCs w:val="17"/>
          <w:u w:val="single" w:color="auto"/>
          <w:color w:val="0000FF"/>
        </w:rPr>
        <w:t xml:space="preserve"> </w:t>
      </w:r>
      <w:hyperlink w:anchor="page133">
        <w:r>
          <w:rPr>
            <w:rFonts w:ascii="Arial" w:cs="Arial" w:eastAsia="Arial" w:hAnsi="Arial"/>
            <w:sz w:val="17"/>
            <w:szCs w:val="17"/>
            <w:u w:val="single" w:color="auto"/>
            <w:color w:val="0000FF"/>
          </w:rPr>
          <w:t>Pursuant to Section 302 of the Sarbanes-Oxley Act</w:t>
        </w:r>
      </w:hyperlink>
      <w:r>
        <w:rPr>
          <w:rFonts w:ascii="Arial" w:cs="Arial" w:eastAsia="Arial" w:hAnsi="Arial"/>
          <w:sz w:val="17"/>
          <w:szCs w:val="17"/>
          <w:u w:val="single" w:color="auto"/>
          <w:color w:val="0000FF"/>
        </w:rPr>
        <w:t xml:space="preserve"> </w:t>
      </w:r>
      <w:hyperlink w:anchor="page133">
        <w:r>
          <w:rPr>
            <w:rFonts w:ascii="Arial" w:cs="Arial" w:eastAsia="Arial" w:hAnsi="Arial"/>
            <w:sz w:val="17"/>
            <w:szCs w:val="17"/>
            <w:u w:val="single" w:color="auto"/>
            <w:color w:val="0000FF"/>
          </w:rPr>
          <w:t>of 2002.</w:t>
        </w:r>
      </w:hyperlink>
    </w:p>
    <w:p>
      <w:pPr>
        <w:spacing w:after="0" w:line="244" w:lineRule="exact"/>
        <w:rPr>
          <w:rFonts w:ascii="Arial" w:cs="Arial" w:eastAsia="Arial" w:hAnsi="Arial"/>
          <w:sz w:val="17"/>
          <w:szCs w:val="17"/>
          <w:u w:val="single" w:color="auto"/>
          <w:color w:val="0000FF"/>
        </w:rPr>
      </w:pPr>
    </w:p>
    <w:p>
      <w:pPr>
        <w:ind w:left="740" w:right="20" w:hanging="734"/>
        <w:spacing w:after="0" w:line="255" w:lineRule="auto"/>
        <w:tabs>
          <w:tab w:leader="none" w:pos="720" w:val="left"/>
        </w:tabs>
        <w:rPr>
          <w:rFonts w:ascii="Arial" w:cs="Arial" w:eastAsia="Arial" w:hAnsi="Arial"/>
          <w:sz w:val="17"/>
          <w:szCs w:val="17"/>
          <w:u w:val="single" w:color="auto"/>
          <w:color w:val="0000FF"/>
        </w:rPr>
      </w:pPr>
      <w:r>
        <w:rPr>
          <w:rFonts w:ascii="Arial" w:cs="Arial" w:eastAsia="Arial" w:hAnsi="Arial"/>
          <w:sz w:val="17"/>
          <w:szCs w:val="17"/>
          <w:color w:val="auto"/>
        </w:rPr>
        <w:t>31.2</w:t>
      </w:r>
      <w:r>
        <w:rPr>
          <w:sz w:val="20"/>
          <w:szCs w:val="20"/>
          <w:color w:val="auto"/>
        </w:rPr>
        <w:tab/>
      </w:r>
      <w:hyperlink w:anchor="page134">
        <w:r>
          <w:rPr>
            <w:rFonts w:ascii="Arial" w:cs="Arial" w:eastAsia="Arial" w:hAnsi="Arial"/>
            <w:sz w:val="17"/>
            <w:szCs w:val="17"/>
            <w:u w:val="single" w:color="auto"/>
            <w:color w:val="0000FF"/>
          </w:rPr>
          <w:t>Certification of Principal Financial Officer</w:t>
        </w:r>
      </w:hyperlink>
      <w:r>
        <w:rPr>
          <w:rFonts w:ascii="Arial" w:cs="Arial" w:eastAsia="Arial" w:hAnsi="Arial"/>
          <w:sz w:val="17"/>
          <w:szCs w:val="17"/>
          <w:u w:val="single" w:color="auto"/>
          <w:color w:val="0000FF"/>
        </w:rPr>
        <w:t xml:space="preserve"> </w:t>
      </w:r>
      <w:hyperlink w:anchor="page134">
        <w:r>
          <w:rPr>
            <w:rFonts w:ascii="Arial" w:cs="Arial" w:eastAsia="Arial" w:hAnsi="Arial"/>
            <w:sz w:val="17"/>
            <w:szCs w:val="17"/>
            <w:u w:val="single" w:color="auto"/>
            <w:color w:val="0000FF"/>
          </w:rPr>
          <w:t>Pursuant to Rules 13a-14(a) and 15d-14(a) under</w:t>
        </w:r>
      </w:hyperlink>
      <w:r>
        <w:rPr>
          <w:rFonts w:ascii="Arial" w:cs="Arial" w:eastAsia="Arial" w:hAnsi="Arial"/>
          <w:sz w:val="17"/>
          <w:szCs w:val="17"/>
          <w:u w:val="single" w:color="auto"/>
          <w:color w:val="0000FF"/>
        </w:rPr>
        <w:t xml:space="preserve"> </w:t>
      </w:r>
      <w:hyperlink w:anchor="page134">
        <w:r>
          <w:rPr>
            <w:rFonts w:ascii="Arial" w:cs="Arial" w:eastAsia="Arial" w:hAnsi="Arial"/>
            <w:sz w:val="17"/>
            <w:szCs w:val="17"/>
            <w:u w:val="single" w:color="auto"/>
            <w:color w:val="0000FF"/>
          </w:rPr>
          <w:t>the Securities Exchange Act of 1934, as Adopted</w:t>
        </w:r>
      </w:hyperlink>
      <w:r>
        <w:rPr>
          <w:rFonts w:ascii="Arial" w:cs="Arial" w:eastAsia="Arial" w:hAnsi="Arial"/>
          <w:sz w:val="17"/>
          <w:szCs w:val="17"/>
          <w:u w:val="single" w:color="auto"/>
          <w:color w:val="0000FF"/>
        </w:rPr>
        <w:t xml:space="preserve"> </w:t>
      </w:r>
      <w:hyperlink w:anchor="page134">
        <w:r>
          <w:rPr>
            <w:rFonts w:ascii="Arial" w:cs="Arial" w:eastAsia="Arial" w:hAnsi="Arial"/>
            <w:sz w:val="17"/>
            <w:szCs w:val="17"/>
            <w:u w:val="single" w:color="auto"/>
            <w:color w:val="0000FF"/>
          </w:rPr>
          <w:t>Pursuant to Section 302 of the Sarbanes-Oxley Act</w:t>
        </w:r>
      </w:hyperlink>
      <w:r>
        <w:rPr>
          <w:rFonts w:ascii="Arial" w:cs="Arial" w:eastAsia="Arial" w:hAnsi="Arial"/>
          <w:sz w:val="17"/>
          <w:szCs w:val="17"/>
          <w:u w:val="single" w:color="auto"/>
          <w:color w:val="0000FF"/>
        </w:rPr>
        <w:t xml:space="preserve"> </w:t>
      </w:r>
      <w:hyperlink w:anchor="page134">
        <w:r>
          <w:rPr>
            <w:rFonts w:ascii="Arial" w:cs="Arial" w:eastAsia="Arial" w:hAnsi="Arial"/>
            <w:sz w:val="17"/>
            <w:szCs w:val="17"/>
            <w:u w:val="single" w:color="auto"/>
            <w:color w:val="0000FF"/>
          </w:rPr>
          <w:t>of 2002.</w:t>
        </w:r>
      </w:hyperlink>
    </w:p>
    <w:p>
      <w:pPr>
        <w:spacing w:after="0" w:line="244" w:lineRule="exact"/>
        <w:rPr>
          <w:rFonts w:ascii="Arial" w:cs="Arial" w:eastAsia="Arial" w:hAnsi="Arial"/>
          <w:sz w:val="17"/>
          <w:szCs w:val="17"/>
          <w:u w:val="single" w:color="auto"/>
          <w:color w:val="0000FF"/>
        </w:rPr>
      </w:pPr>
    </w:p>
    <w:p>
      <w:pPr>
        <w:ind w:left="740" w:right="80" w:hanging="776"/>
        <w:spacing w:after="0" w:line="278" w:lineRule="auto"/>
        <w:tabs>
          <w:tab w:leader="none" w:pos="720" w:val="left"/>
        </w:tabs>
        <w:rPr>
          <w:rFonts w:ascii="Arial" w:cs="Arial" w:eastAsia="Arial" w:hAnsi="Arial"/>
          <w:sz w:val="16"/>
          <w:szCs w:val="16"/>
          <w:u w:val="single" w:color="auto"/>
          <w:color w:val="0000FF"/>
        </w:rPr>
      </w:pPr>
      <w:r>
        <w:rPr>
          <w:rFonts w:ascii="Arial" w:cs="Arial" w:eastAsia="Arial" w:hAnsi="Arial"/>
          <w:sz w:val="17"/>
          <w:szCs w:val="17"/>
          <w:color w:val="auto"/>
        </w:rPr>
        <w:t>32.1†</w:t>
      </w:r>
      <w:r>
        <w:rPr>
          <w:sz w:val="20"/>
          <w:szCs w:val="20"/>
          <w:color w:val="auto"/>
        </w:rPr>
        <w:tab/>
      </w:r>
      <w:hyperlink w:anchor="page135">
        <w:r>
          <w:rPr>
            <w:rFonts w:ascii="Arial" w:cs="Arial" w:eastAsia="Arial" w:hAnsi="Arial"/>
            <w:sz w:val="16"/>
            <w:szCs w:val="16"/>
            <w:u w:val="single" w:color="auto"/>
            <w:color w:val="0000FF"/>
          </w:rPr>
          <w:t>Certification of Principal Executive Officer and</w:t>
        </w:r>
      </w:hyperlink>
      <w:r>
        <w:rPr>
          <w:rFonts w:ascii="Arial" w:cs="Arial" w:eastAsia="Arial" w:hAnsi="Arial"/>
          <w:sz w:val="16"/>
          <w:szCs w:val="16"/>
          <w:u w:val="single" w:color="auto"/>
          <w:color w:val="0000FF"/>
        </w:rPr>
        <w:t xml:space="preserve"> </w:t>
      </w:r>
      <w:hyperlink w:anchor="page135">
        <w:r>
          <w:rPr>
            <w:rFonts w:ascii="Arial" w:cs="Arial" w:eastAsia="Arial" w:hAnsi="Arial"/>
            <w:sz w:val="16"/>
            <w:szCs w:val="16"/>
            <w:u w:val="single" w:color="auto"/>
            <w:color w:val="0000FF"/>
          </w:rPr>
          <w:t>Principal Financial Officer Pursuant to 18 U.S.C.</w:t>
        </w:r>
      </w:hyperlink>
      <w:r>
        <w:rPr>
          <w:rFonts w:ascii="Arial" w:cs="Arial" w:eastAsia="Arial" w:hAnsi="Arial"/>
          <w:sz w:val="16"/>
          <w:szCs w:val="16"/>
          <w:u w:val="single" w:color="auto"/>
          <w:color w:val="0000FF"/>
        </w:rPr>
        <w:t xml:space="preserve"> </w:t>
      </w:r>
      <w:hyperlink w:anchor="page135">
        <w:r>
          <w:rPr>
            <w:rFonts w:ascii="Arial" w:cs="Arial" w:eastAsia="Arial" w:hAnsi="Arial"/>
            <w:sz w:val="16"/>
            <w:szCs w:val="16"/>
            <w:u w:val="single" w:color="auto"/>
            <w:color w:val="0000FF"/>
          </w:rPr>
          <w:t>Section 1350, as Adopted Pursuant to Section 906</w:t>
        </w:r>
      </w:hyperlink>
      <w:r>
        <w:rPr>
          <w:rFonts w:ascii="Arial" w:cs="Arial" w:eastAsia="Arial" w:hAnsi="Arial"/>
          <w:sz w:val="16"/>
          <w:szCs w:val="16"/>
          <w:u w:val="single" w:color="auto"/>
          <w:color w:val="0000FF"/>
        </w:rPr>
        <w:t xml:space="preserve"> </w:t>
      </w:r>
      <w:hyperlink w:anchor="page135">
        <w:r>
          <w:rPr>
            <w:rFonts w:ascii="Arial" w:cs="Arial" w:eastAsia="Arial" w:hAnsi="Arial"/>
            <w:sz w:val="16"/>
            <w:szCs w:val="16"/>
            <w:u w:val="single" w:color="auto"/>
            <w:color w:val="0000FF"/>
          </w:rPr>
          <w:t>of the 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74" w:lineRule="exact"/>
        <w:rPr>
          <w:rFonts w:ascii="Arial" w:cs="Arial" w:eastAsia="Arial" w:hAnsi="Arial"/>
          <w:sz w:val="16"/>
          <w:szCs w:val="16"/>
          <w:u w:val="single" w:color="auto"/>
          <w:color w:val="0000FF"/>
        </w:rPr>
      </w:pPr>
    </w:p>
    <w:p>
      <w:pPr>
        <w:spacing w:after="0"/>
        <w:tabs>
          <w:tab w:leader="none" w:pos="1300" w:val="left"/>
          <w:tab w:leader="none" w:pos="3100" w:val="left"/>
          <w:tab w:leader="none" w:pos="446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333-250035</w:t>
      </w:r>
      <w:r>
        <w:rPr>
          <w:sz w:val="20"/>
          <w:szCs w:val="20"/>
          <w:color w:val="auto"/>
        </w:rPr>
        <w:tab/>
      </w: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11/12/2020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5"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7"/>
                <w:szCs w:val="17"/>
                <w:color w:val="auto"/>
              </w:rPr>
              <w:t>8-K</w:t>
            </w: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10.1</w:t>
            </w:r>
          </w:p>
        </w:tc>
        <w:tc>
          <w:tcPr>
            <w:tcW w:w="1300" w:type="dxa"/>
            <w:vAlign w:val="bottom"/>
          </w:tcPr>
          <w:p>
            <w:pPr>
              <w:jc w:val="center"/>
              <w:ind w:left="435"/>
              <w:spacing w:after="0"/>
              <w:rPr>
                <w:sz w:val="20"/>
                <w:szCs w:val="20"/>
                <w:color w:val="auto"/>
              </w:rPr>
            </w:pPr>
            <w:r>
              <w:rPr>
                <w:rFonts w:ascii="Arial" w:cs="Arial" w:eastAsia="Arial" w:hAnsi="Arial"/>
                <w:sz w:val="17"/>
                <w:szCs w:val="17"/>
                <w:color w:val="auto"/>
                <w:w w:val="91"/>
              </w:rPr>
              <w:t>10/13/2021</w:t>
            </w:r>
          </w:p>
        </w:tc>
      </w:tr>
      <w:tr>
        <w:trPr>
          <w:trHeight w:val="594"/>
        </w:trPr>
        <w:tc>
          <w:tcPr>
            <w:tcW w:w="800" w:type="dxa"/>
            <w:vAlign w:val="bottom"/>
          </w:tcPr>
          <w:p>
            <w:pPr>
              <w:spacing w:after="0"/>
              <w:rPr>
                <w:sz w:val="20"/>
                <w:szCs w:val="20"/>
                <w:color w:val="auto"/>
              </w:rPr>
            </w:pPr>
            <w:r>
              <w:rPr>
                <w:rFonts w:ascii="Arial" w:cs="Arial" w:eastAsia="Arial" w:hAnsi="Arial"/>
                <w:sz w:val="17"/>
                <w:szCs w:val="17"/>
                <w:color w:val="auto"/>
              </w:rPr>
              <w:t>8-K</w:t>
            </w: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001-39747</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10.1</w:t>
            </w:r>
          </w:p>
        </w:tc>
        <w:tc>
          <w:tcPr>
            <w:tcW w:w="1300" w:type="dxa"/>
            <w:vAlign w:val="bottom"/>
          </w:tcPr>
          <w:p>
            <w:pPr>
              <w:jc w:val="center"/>
              <w:ind w:left="435"/>
              <w:spacing w:after="0"/>
              <w:rPr>
                <w:sz w:val="20"/>
                <w:szCs w:val="20"/>
                <w:color w:val="auto"/>
              </w:rPr>
            </w:pPr>
            <w:r>
              <w:rPr>
                <w:rFonts w:ascii="Arial" w:cs="Arial" w:eastAsia="Arial" w:hAnsi="Arial"/>
                <w:sz w:val="17"/>
                <w:szCs w:val="17"/>
                <w:color w:val="auto"/>
                <w:w w:val="92"/>
              </w:rPr>
              <w:t>2/18/2022</w:t>
            </w:r>
          </w:p>
        </w:tc>
      </w:tr>
      <w:tr>
        <w:trPr>
          <w:trHeight w:val="594"/>
        </w:trPr>
        <w:tc>
          <w:tcPr>
            <w:tcW w:w="800" w:type="dxa"/>
            <w:vAlign w:val="bottom"/>
          </w:tcPr>
          <w:p>
            <w:pPr>
              <w:spacing w:after="0"/>
              <w:rPr>
                <w:sz w:val="20"/>
                <w:szCs w:val="20"/>
                <w:color w:val="auto"/>
              </w:rPr>
            </w:pPr>
            <w:r>
              <w:rPr>
                <w:rFonts w:ascii="Arial" w:cs="Arial" w:eastAsia="Arial" w:hAnsi="Arial"/>
                <w:sz w:val="17"/>
                <w:szCs w:val="17"/>
                <w:color w:val="auto"/>
              </w:rPr>
              <w:t>S-1</w:t>
            </w:r>
          </w:p>
        </w:tc>
        <w:tc>
          <w:tcPr>
            <w:tcW w:w="1860" w:type="dxa"/>
            <w:vAlign w:val="bottom"/>
          </w:tcPr>
          <w:p>
            <w:pPr>
              <w:jc w:val="center"/>
              <w:spacing w:after="0"/>
              <w:rPr>
                <w:sz w:val="20"/>
                <w:szCs w:val="20"/>
                <w:color w:val="auto"/>
              </w:rPr>
            </w:pPr>
            <w:r>
              <w:rPr>
                <w:rFonts w:ascii="Arial" w:cs="Arial" w:eastAsia="Arial" w:hAnsi="Arial"/>
                <w:sz w:val="17"/>
                <w:szCs w:val="17"/>
                <w:color w:val="auto"/>
                <w:w w:val="92"/>
              </w:rPr>
              <w:t>333-252395</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21.1</w:t>
            </w:r>
          </w:p>
        </w:tc>
        <w:tc>
          <w:tcPr>
            <w:tcW w:w="1300" w:type="dxa"/>
            <w:vAlign w:val="bottom"/>
          </w:tcPr>
          <w:p>
            <w:pPr>
              <w:jc w:val="center"/>
              <w:ind w:left="435"/>
              <w:spacing w:after="0"/>
              <w:rPr>
                <w:sz w:val="20"/>
                <w:szCs w:val="20"/>
                <w:color w:val="auto"/>
              </w:rPr>
            </w:pPr>
            <w:r>
              <w:rPr>
                <w:rFonts w:ascii="Arial" w:cs="Arial" w:eastAsia="Arial" w:hAnsi="Arial"/>
                <w:sz w:val="17"/>
                <w:szCs w:val="17"/>
                <w:color w:val="auto"/>
                <w:w w:val="92"/>
              </w:rPr>
              <w:t>1/25/2021</w:t>
            </w:r>
          </w:p>
        </w:tc>
      </w:tr>
      <w:tr>
        <w:trPr>
          <w:trHeight w:val="473"/>
        </w:trPr>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center"/>
              <w:ind w:left="435"/>
              <w:spacing w:after="0"/>
              <w:rPr>
                <w:sz w:val="20"/>
                <w:szCs w:val="20"/>
                <w:color w:val="auto"/>
              </w:rPr>
            </w:pPr>
            <w:r>
              <w:rPr>
                <w:rFonts w:ascii="Arial" w:cs="Arial" w:eastAsia="Arial" w:hAnsi="Arial"/>
                <w:sz w:val="17"/>
                <w:szCs w:val="17"/>
                <w:color w:val="auto"/>
              </w:rPr>
              <w:t>*</w:t>
            </w:r>
          </w:p>
        </w:tc>
      </w:tr>
      <w:tr>
        <w:trPr>
          <w:trHeight w:val="675"/>
        </w:trPr>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center"/>
              <w:ind w:left="435"/>
              <w:spacing w:after="0"/>
              <w:rPr>
                <w:sz w:val="20"/>
                <w:szCs w:val="20"/>
                <w:color w:val="auto"/>
              </w:rPr>
            </w:pPr>
            <w:r>
              <w:rPr>
                <w:rFonts w:ascii="Arial" w:cs="Arial" w:eastAsia="Arial" w:hAnsi="Arial"/>
                <w:sz w:val="17"/>
                <w:szCs w:val="17"/>
                <w:color w:val="auto"/>
              </w:rPr>
              <w:t>*</w:t>
            </w: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6" w:lineRule="exact"/>
        <w:rPr>
          <w:rFonts w:ascii="Arial" w:cs="Arial" w:eastAsia="Arial" w:hAnsi="Arial"/>
          <w:sz w:val="16"/>
          <w:szCs w:val="16"/>
          <w:u w:val="single" w:color="auto"/>
          <w:color w:val="0000FF"/>
        </w:rPr>
      </w:pPr>
    </w:p>
    <w:p>
      <w:pPr>
        <w:ind w:left="4820"/>
        <w:spacing w:after="0"/>
        <w:rPr>
          <w:sz w:val="20"/>
          <w:szCs w:val="20"/>
          <w:color w:val="auto"/>
        </w:rPr>
      </w:pPr>
      <w:r>
        <w:rPr>
          <w:rFonts w:ascii="Arial" w:cs="Arial" w:eastAsia="Arial" w:hAnsi="Arial"/>
          <w:sz w:val="17"/>
          <w:szCs w:val="17"/>
          <w:color w:val="auto"/>
        </w:rPr>
        <w:t>*</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8"/>
          <w:szCs w:val="18"/>
          <w:color w:val="auto"/>
        </w:rPr>
        <w:t>123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-3321685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240" w:space="640"/>
            <w:col w:w="5260"/>
          </w:cols>
          <w:pgMar w:left="660" w:top="1440" w:right="1099" w:bottom="1440" w:gutter="0" w:footer="0" w:header="0"/>
        </w:sectPr>
      </w:pPr>
    </w:p>
    <w:bookmarkStart w:id="128" w:name="page129"/>
    <w:bookmarkEnd w:id="128"/>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91"/>
              </w:rPr>
              <w:t>101.INS</w:t>
            </w:r>
          </w:p>
        </w:tc>
        <w:tc>
          <w:tcPr>
            <w:tcW w:w="3620" w:type="dxa"/>
            <w:vAlign w:val="bottom"/>
          </w:tcPr>
          <w:p>
            <w:pPr>
              <w:ind w:left="140"/>
              <w:spacing w:after="0"/>
              <w:rPr>
                <w:sz w:val="20"/>
                <w:szCs w:val="20"/>
                <w:color w:val="auto"/>
              </w:rPr>
            </w:pPr>
            <w:r>
              <w:rPr>
                <w:rFonts w:ascii="Arial" w:cs="Arial" w:eastAsia="Arial" w:hAnsi="Arial"/>
                <w:sz w:val="17"/>
                <w:szCs w:val="17"/>
                <w:color w:val="auto"/>
              </w:rPr>
              <w:t>Inline XBRL Instance Document</w:t>
            </w:r>
          </w:p>
        </w:tc>
      </w:tr>
      <w:tr>
        <w:trPr>
          <w:trHeight w:val="297"/>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92"/>
              </w:rPr>
              <w:t>101.SCH</w:t>
            </w:r>
          </w:p>
        </w:tc>
        <w:tc>
          <w:tcPr>
            <w:tcW w:w="3620" w:type="dxa"/>
            <w:vAlign w:val="bottom"/>
          </w:tcPr>
          <w:p>
            <w:pPr>
              <w:ind w:left="140"/>
              <w:spacing w:after="0"/>
              <w:rPr>
                <w:sz w:val="20"/>
                <w:szCs w:val="20"/>
                <w:color w:val="auto"/>
              </w:rPr>
            </w:pPr>
            <w:r>
              <w:rPr>
                <w:rFonts w:ascii="Arial" w:cs="Arial" w:eastAsia="Arial" w:hAnsi="Arial"/>
                <w:sz w:val="17"/>
                <w:szCs w:val="17"/>
                <w:color w:val="auto"/>
              </w:rPr>
              <w:t>Inline XBRL Taxonomy Extension Schema</w:t>
            </w:r>
          </w:p>
        </w:tc>
      </w:tr>
      <w:tr>
        <w:trPr>
          <w:trHeight w:val="216"/>
        </w:trPr>
        <w:tc>
          <w:tcPr>
            <w:tcW w:w="7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7"/>
                <w:szCs w:val="17"/>
                <w:color w:val="auto"/>
              </w:rPr>
              <w:t>Document</w:t>
            </w:r>
          </w:p>
        </w:tc>
      </w:tr>
      <w:tr>
        <w:trPr>
          <w:trHeight w:val="297"/>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96"/>
              </w:rPr>
              <w:t>101.CAL</w:t>
            </w:r>
          </w:p>
        </w:tc>
        <w:tc>
          <w:tcPr>
            <w:tcW w:w="3620" w:type="dxa"/>
            <w:vAlign w:val="bottom"/>
          </w:tcPr>
          <w:p>
            <w:pPr>
              <w:ind w:left="140"/>
              <w:spacing w:after="0"/>
              <w:rPr>
                <w:sz w:val="20"/>
                <w:szCs w:val="20"/>
                <w:color w:val="auto"/>
              </w:rPr>
            </w:pPr>
            <w:r>
              <w:rPr>
                <w:rFonts w:ascii="Arial" w:cs="Arial" w:eastAsia="Arial" w:hAnsi="Arial"/>
                <w:sz w:val="17"/>
                <w:szCs w:val="17"/>
                <w:color w:val="auto"/>
              </w:rPr>
              <w:t>Inline XBRL Taxonomy Extension Calculation</w:t>
            </w:r>
          </w:p>
        </w:tc>
      </w:tr>
      <w:tr>
        <w:trPr>
          <w:trHeight w:val="216"/>
        </w:trPr>
        <w:tc>
          <w:tcPr>
            <w:tcW w:w="7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7"/>
                <w:szCs w:val="17"/>
                <w:color w:val="auto"/>
              </w:rPr>
              <w:t>Linkbase Document</w:t>
            </w:r>
          </w:p>
        </w:tc>
      </w:tr>
      <w:tr>
        <w:trPr>
          <w:trHeight w:val="297"/>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95"/>
              </w:rPr>
              <w:t>101.DEF</w:t>
            </w:r>
          </w:p>
        </w:tc>
        <w:tc>
          <w:tcPr>
            <w:tcW w:w="3620" w:type="dxa"/>
            <w:vAlign w:val="bottom"/>
          </w:tcPr>
          <w:p>
            <w:pPr>
              <w:ind w:left="140"/>
              <w:spacing w:after="0"/>
              <w:rPr>
                <w:sz w:val="20"/>
                <w:szCs w:val="20"/>
                <w:color w:val="auto"/>
              </w:rPr>
            </w:pPr>
            <w:r>
              <w:rPr>
                <w:rFonts w:ascii="Arial" w:cs="Arial" w:eastAsia="Arial" w:hAnsi="Arial"/>
                <w:sz w:val="17"/>
                <w:szCs w:val="17"/>
                <w:color w:val="auto"/>
              </w:rPr>
              <w:t>Inline XBRL Taxonomy Extension Definition</w:t>
            </w:r>
          </w:p>
        </w:tc>
      </w:tr>
      <w:tr>
        <w:trPr>
          <w:trHeight w:val="216"/>
        </w:trPr>
        <w:tc>
          <w:tcPr>
            <w:tcW w:w="7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7"/>
                <w:szCs w:val="17"/>
                <w:color w:val="auto"/>
              </w:rPr>
              <w:t>Linkbase Document</w:t>
            </w:r>
          </w:p>
        </w:tc>
      </w:tr>
      <w:tr>
        <w:trPr>
          <w:trHeight w:val="297"/>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98"/>
              </w:rPr>
              <w:t>101.LAB</w:t>
            </w:r>
          </w:p>
        </w:tc>
        <w:tc>
          <w:tcPr>
            <w:tcW w:w="3620" w:type="dxa"/>
            <w:vAlign w:val="bottom"/>
          </w:tcPr>
          <w:p>
            <w:pPr>
              <w:ind w:left="140"/>
              <w:spacing w:after="0"/>
              <w:rPr>
                <w:sz w:val="20"/>
                <w:szCs w:val="20"/>
                <w:color w:val="auto"/>
              </w:rPr>
            </w:pPr>
            <w:r>
              <w:rPr>
                <w:rFonts w:ascii="Arial" w:cs="Arial" w:eastAsia="Arial" w:hAnsi="Arial"/>
                <w:sz w:val="17"/>
                <w:szCs w:val="17"/>
                <w:color w:val="auto"/>
                <w:w w:val="92"/>
              </w:rPr>
              <w:t>Inline XBRL Taxonomy Extension Label Linkbase</w:t>
            </w:r>
          </w:p>
        </w:tc>
      </w:tr>
      <w:tr>
        <w:trPr>
          <w:trHeight w:val="216"/>
        </w:trPr>
        <w:tc>
          <w:tcPr>
            <w:tcW w:w="7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7"/>
                <w:szCs w:val="17"/>
                <w:color w:val="auto"/>
              </w:rPr>
              <w:t>Document</w:t>
            </w:r>
          </w:p>
        </w:tc>
      </w:tr>
      <w:tr>
        <w:trPr>
          <w:trHeight w:val="297"/>
        </w:trPr>
        <w:tc>
          <w:tcPr>
            <w:tcW w:w="780" w:type="dxa"/>
            <w:vAlign w:val="bottom"/>
          </w:tcPr>
          <w:p>
            <w:pPr>
              <w:jc w:val="center"/>
              <w:ind w:right="55"/>
              <w:spacing w:after="0"/>
              <w:rPr>
                <w:sz w:val="20"/>
                <w:szCs w:val="20"/>
                <w:color w:val="auto"/>
              </w:rPr>
            </w:pPr>
            <w:r>
              <w:rPr>
                <w:rFonts w:ascii="Arial" w:cs="Arial" w:eastAsia="Arial" w:hAnsi="Arial"/>
                <w:sz w:val="17"/>
                <w:szCs w:val="17"/>
                <w:color w:val="auto"/>
                <w:w w:val="88"/>
              </w:rPr>
              <w:t>101.PRE</w:t>
            </w:r>
          </w:p>
        </w:tc>
        <w:tc>
          <w:tcPr>
            <w:tcW w:w="3620" w:type="dxa"/>
            <w:vAlign w:val="bottom"/>
          </w:tcPr>
          <w:p>
            <w:pPr>
              <w:ind w:left="140"/>
              <w:spacing w:after="0"/>
              <w:rPr>
                <w:sz w:val="20"/>
                <w:szCs w:val="20"/>
                <w:color w:val="auto"/>
              </w:rPr>
            </w:pPr>
            <w:r>
              <w:rPr>
                <w:rFonts w:ascii="Arial" w:cs="Arial" w:eastAsia="Arial" w:hAnsi="Arial"/>
                <w:sz w:val="17"/>
                <w:szCs w:val="17"/>
                <w:color w:val="auto"/>
                <w:w w:val="97"/>
              </w:rPr>
              <w:t>Inline XBRL Taxonomy Extension Presentation</w:t>
            </w:r>
          </w:p>
        </w:tc>
      </w:tr>
      <w:tr>
        <w:trPr>
          <w:trHeight w:val="216"/>
        </w:trPr>
        <w:tc>
          <w:tcPr>
            <w:tcW w:w="7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7"/>
                <w:szCs w:val="17"/>
                <w:color w:val="auto"/>
              </w:rPr>
              <w:t>Linkbase Document</w:t>
            </w:r>
          </w:p>
        </w:tc>
      </w:tr>
    </w:tbl>
    <w:p>
      <w:pPr>
        <w:spacing w:after="0" w:line="94" w:lineRule="exact"/>
        <w:rPr>
          <w:sz w:val="20"/>
          <w:szCs w:val="20"/>
          <w:color w:val="auto"/>
        </w:rPr>
      </w:pPr>
    </w:p>
    <w:p>
      <w:pPr>
        <w:ind w:left="1100" w:right="6580" w:hanging="728"/>
        <w:spacing w:after="0" w:line="302" w:lineRule="auto"/>
        <w:tabs>
          <w:tab w:leader="none" w:pos="11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Cover Page Interactive Data File - the Cover Page Interactive Data File does not appear in the Interactive Data File because its XBRL tags are embedded within the Inline XBRL document.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sz w:val="20"/>
          <w:szCs w:val="20"/>
          <w:color w:val="auto"/>
        </w:rPr>
      </w:pPr>
    </w:p>
    <w:p>
      <w:pPr>
        <w:ind w:left="340" w:hanging="323"/>
        <w:spacing w:after="0" w:line="241" w:lineRule="auto"/>
        <w:rPr>
          <w:sz w:val="20"/>
          <w:szCs w:val="20"/>
          <w:color w:val="auto"/>
        </w:rPr>
      </w:pPr>
      <w:r>
        <w:rPr>
          <w:rFonts w:ascii="Arial" w:cs="Arial" w:eastAsia="Arial" w:hAnsi="Arial"/>
          <w:sz w:val="14"/>
          <w:szCs w:val="14"/>
          <w:color w:val="auto"/>
        </w:rPr>
        <w:t>† 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 w:lineRule="exact"/>
        <w:rPr>
          <w:sz w:val="20"/>
          <w:szCs w:val="20"/>
          <w:color w:val="auto"/>
        </w:rPr>
      </w:pPr>
    </w:p>
    <w:p>
      <w:pPr>
        <w:ind w:right="480" w:firstLine="8"/>
        <w:spacing w:after="0" w:line="255" w:lineRule="auto"/>
        <w:tabs>
          <w:tab w:leader="none" w:pos="108"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Confidential treatment has been requested for portions of this exhibit. These portions have been omitted and have been filed separately with the Securities and Exchange Commission.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80"/>
          </w:cols>
          <w:pgMar w:left="320" w:top="1440" w:right="399" w:bottom="1440" w:gutter="0" w:footer="0" w:header="0"/>
        </w:sectPr>
      </w:pPr>
    </w:p>
    <w:p>
      <w:pPr>
        <w:spacing w:after="0" w:line="14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317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51"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1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Omid Farokhzad, M.D.</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David R. Horn</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David 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David Hallal</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Catherine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Catherine Friedman</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Meeta Gulyani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Meeta Gulyani</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 Rachel Haruwitzm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17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Rachel Haurwitz, Ph.D.</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Robert Langer,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Robert Langer, Sc.D.</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Terrance McGuire</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Deep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Deep Nishar</w:t>
      </w:r>
    </w:p>
    <w:p>
      <w:pPr>
        <w:spacing w:after="0" w:line="15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Omead Ostadan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Omead Ostadan</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/s/ Mostafa Ronahi.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17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Mostafa Ronaghi, Ph.D.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23495</wp:posOffset>
            </wp:positionV>
            <wp:extent cx="23399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1"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Chief Executive Officer and</w:t>
      </w:r>
    </w:p>
    <w:p>
      <w:pPr>
        <w:jc w:val="center"/>
        <w:ind w:right="940"/>
        <w:spacing w:after="0" w:line="203" w:lineRule="auto"/>
        <w:rPr>
          <w:sz w:val="20"/>
          <w:szCs w:val="20"/>
          <w:color w:val="auto"/>
        </w:rPr>
      </w:pPr>
      <w:r>
        <w:rPr>
          <w:rFonts w:ascii="Arial" w:cs="Arial" w:eastAsia="Arial" w:hAnsi="Arial"/>
          <w:sz w:val="18"/>
          <w:szCs w:val="18"/>
          <w:color w:val="auto"/>
        </w:rPr>
        <w:t>Chair of the Board of Directors</w:t>
      </w:r>
    </w:p>
    <w:p>
      <w:pPr>
        <w:jc w:val="center"/>
        <w:ind w:righ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01" w:lineRule="exact"/>
        <w:rPr>
          <w:sz w:val="20"/>
          <w:szCs w:val="20"/>
          <w:color w:val="auto"/>
        </w:rPr>
      </w:pPr>
    </w:p>
    <w:p>
      <w:pPr>
        <w:jc w:val="center"/>
        <w:ind w:right="940"/>
        <w:spacing w:after="0" w:line="224"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Lead Independent 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23495</wp:posOffset>
            </wp:positionV>
            <wp:extent cx="23399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183515</wp:posOffset>
            </wp:positionV>
            <wp:extent cx="23399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183515</wp:posOffset>
            </wp:positionV>
            <wp:extent cx="23399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175260</wp:posOffset>
            </wp:positionV>
            <wp:extent cx="23399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149225</wp:posOffset>
            </wp:positionV>
            <wp:extent cx="23399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344" w:lineRule="exact"/>
        <w:rPr>
          <w:sz w:val="20"/>
          <w:szCs w:val="20"/>
          <w:color w:val="auto"/>
        </w:rPr>
      </w:pPr>
    </w:p>
    <w:p>
      <w:pPr>
        <w:sectPr>
          <w:pgSz w:w="11900" w:h="16838" w:orient="portrait"/>
          <w:cols w:equalWidth="0" w:num="3">
            <w:col w:w="3280" w:space="720"/>
            <w:col w:w="4160" w:space="720"/>
            <w:col w:w="230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80"/>
          </w:cols>
          <w:pgMar w:left="320" w:top="1440" w:right="39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 23.1</w:t>
      </w: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 Nos. 333-252534 and 333-251158 on Form S-8 of our reports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 2022, relating to the financial statements of Seer, Inc. and the effectiveness of Seer's internal control over financial reporting appearing in this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040"/>
          </w:cols>
          <w:pgMar w:left="320" w:top="1417" w:right="5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Omid Farokhzad, certify that: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1.I have reviewed this Annual Report on Form 10-K of Seer, Inc.;</w:t>
      </w:r>
    </w:p>
    <w:p>
      <w:pPr>
        <w:spacing w:after="0" w:line="248" w:lineRule="exact"/>
        <w:rPr>
          <w:sz w:val="20"/>
          <w:szCs w:val="20"/>
          <w:color w:val="auto"/>
        </w:rPr>
      </w:pPr>
    </w:p>
    <w:p>
      <w:pPr>
        <w:ind w:left="660" w:right="320"/>
        <w:spacing w:after="0" w:line="310" w:lineRule="auto"/>
        <w:rPr>
          <w:sz w:val="20"/>
          <w:szCs w:val="20"/>
          <w:color w:val="auto"/>
        </w:rPr>
      </w:pPr>
      <w:r>
        <w:rPr>
          <w:rFonts w:ascii="Arial" w:cs="Arial" w:eastAsia="Arial" w:hAnsi="Arial"/>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sz w:val="20"/>
          <w:szCs w:val="20"/>
          <w:color w:val="auto"/>
        </w:rPr>
      </w:pPr>
    </w:p>
    <w:p>
      <w:pPr>
        <w:ind w:left="660" w:right="400"/>
        <w:spacing w:after="0" w:line="275"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sz w:val="20"/>
          <w:szCs w:val="20"/>
          <w:color w:val="auto"/>
        </w:rPr>
      </w:pPr>
    </w:p>
    <w:p>
      <w:pPr>
        <w:jc w:val="both"/>
        <w:ind w:left="660" w:right="260"/>
        <w:spacing w:after="0" w:line="261"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sz w:val="20"/>
          <w:szCs w:val="20"/>
          <w:color w:val="auto"/>
        </w:rPr>
      </w:pPr>
    </w:p>
    <w:p>
      <w:pPr>
        <w:ind w:left="1300" w:right="60" w:firstLine="4"/>
        <w:spacing w:after="0" w:line="261" w:lineRule="auto"/>
        <w:tabs>
          <w:tab w:leader="none" w:pos="15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40" w:firstLine="4"/>
        <w:spacing w:after="0" w:line="261" w:lineRule="auto"/>
        <w:tabs>
          <w:tab w:leader="none" w:pos="1529"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20" w:firstLine="4"/>
        <w:spacing w:after="0" w:line="310" w:lineRule="auto"/>
        <w:tabs>
          <w:tab w:leader="none" w:pos="15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5"/>
          <w:szCs w:val="15"/>
          <w:color w:val="auto"/>
        </w:rPr>
      </w:pPr>
    </w:p>
    <w:p>
      <w:pPr>
        <w:ind w:left="1300" w:right="160" w:firstLine="4"/>
        <w:spacing w:after="0" w:line="261" w:lineRule="auto"/>
        <w:tabs>
          <w:tab w:leader="none" w:pos="1529"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140" w:hanging="4"/>
        <w:spacing w:after="0" w:line="275" w:lineRule="auto"/>
        <w:tabs>
          <w:tab w:leader="none" w:pos="8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firstLine="4"/>
        <w:spacing w:after="0" w:line="275" w:lineRule="auto"/>
        <w:tabs>
          <w:tab w:leader="none" w:pos="15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60" w:firstLine="4"/>
        <w:spacing w:after="0" w:line="275" w:lineRule="auto"/>
        <w:tabs>
          <w:tab w:leader="none" w:pos="1529"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By: /s/ Omid Farokhzad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Omid Farokhzad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Chair of 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David Horn, certify that: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1.I have reviewed this Annual Report on Form 10-K of Seer, Inc.;</w:t>
      </w:r>
    </w:p>
    <w:p>
      <w:pPr>
        <w:spacing w:after="0" w:line="248" w:lineRule="exact"/>
        <w:rPr>
          <w:sz w:val="20"/>
          <w:szCs w:val="20"/>
          <w:color w:val="auto"/>
        </w:rPr>
      </w:pPr>
    </w:p>
    <w:p>
      <w:pPr>
        <w:ind w:left="660" w:right="320"/>
        <w:spacing w:after="0" w:line="310" w:lineRule="auto"/>
        <w:rPr>
          <w:sz w:val="20"/>
          <w:szCs w:val="20"/>
          <w:color w:val="auto"/>
        </w:rPr>
      </w:pPr>
      <w:r>
        <w:rPr>
          <w:rFonts w:ascii="Arial" w:cs="Arial" w:eastAsia="Arial" w:hAnsi="Arial"/>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sz w:val="20"/>
          <w:szCs w:val="20"/>
          <w:color w:val="auto"/>
        </w:rPr>
      </w:pPr>
    </w:p>
    <w:p>
      <w:pPr>
        <w:ind w:left="660" w:right="400"/>
        <w:spacing w:after="0" w:line="275"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sz w:val="20"/>
          <w:szCs w:val="20"/>
          <w:color w:val="auto"/>
        </w:rPr>
      </w:pPr>
    </w:p>
    <w:p>
      <w:pPr>
        <w:jc w:val="both"/>
        <w:ind w:left="660" w:right="260"/>
        <w:spacing w:after="0" w:line="261"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sz w:val="20"/>
          <w:szCs w:val="20"/>
          <w:color w:val="auto"/>
        </w:rPr>
      </w:pPr>
    </w:p>
    <w:p>
      <w:pPr>
        <w:ind w:left="1300" w:right="60" w:firstLine="4"/>
        <w:spacing w:after="0" w:line="261" w:lineRule="auto"/>
        <w:tabs>
          <w:tab w:leader="none" w:pos="15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40" w:firstLine="4"/>
        <w:spacing w:after="0" w:line="261" w:lineRule="auto"/>
        <w:tabs>
          <w:tab w:leader="none" w:pos="1529"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20" w:firstLine="4"/>
        <w:spacing w:after="0" w:line="275" w:lineRule="auto"/>
        <w:tabs>
          <w:tab w:leader="none" w:pos="15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99" w:lineRule="exact"/>
        <w:rPr>
          <w:rFonts w:ascii="Arial" w:cs="Arial" w:eastAsia="Arial" w:hAnsi="Arial"/>
          <w:sz w:val="16"/>
          <w:szCs w:val="16"/>
          <w:color w:val="auto"/>
        </w:rPr>
      </w:pPr>
    </w:p>
    <w:p>
      <w:pPr>
        <w:ind w:left="1300" w:right="480" w:firstLine="4"/>
        <w:spacing w:after="0" w:line="310" w:lineRule="auto"/>
        <w:tabs>
          <w:tab w:leader="none" w:pos="1529" w:val="left"/>
        </w:tabs>
        <w:numPr>
          <w:ilvl w:val="1"/>
          <w:numId w:val="5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Arial" w:cs="Arial" w:eastAsia="Arial" w:hAnsi="Arial"/>
          <w:sz w:val="15"/>
          <w:szCs w:val="15"/>
          <w:color w:val="auto"/>
        </w:rPr>
      </w:pPr>
    </w:p>
    <w:p>
      <w:pPr>
        <w:ind w:left="660" w:right="140" w:hanging="4"/>
        <w:spacing w:after="0" w:line="275" w:lineRule="auto"/>
        <w:tabs>
          <w:tab w:leader="none" w:pos="82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firstLine="4"/>
        <w:spacing w:after="0" w:line="275" w:lineRule="auto"/>
        <w:tabs>
          <w:tab w:leader="none" w:pos="15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60" w:firstLine="4"/>
        <w:spacing w:after="0" w:line="275" w:lineRule="auto"/>
        <w:tabs>
          <w:tab w:leader="none" w:pos="1529"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By: /s/ David Horn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Horn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1422"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AND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Pursuant to the requirement set forth in Section 1350 of Chapter 63 of Title 18 of the United States Code (18 U.S.C. §1350), as adopted pursuant to Section 906 of the Sarbanes-Oxley Act of 2002, Omid Farokhzad, Chief Executive Officer and Chair of the Board of Directors of Seer, Inc. (the “Company”), and David Horn, Chief Financial Officer of the Company, each hereby certify that:</w:t>
      </w:r>
    </w:p>
    <w:p>
      <w:pPr>
        <w:spacing w:after="0" w:line="210" w:lineRule="exact"/>
        <w:rPr>
          <w:sz w:val="20"/>
          <w:szCs w:val="20"/>
          <w:color w:val="auto"/>
        </w:rPr>
      </w:pPr>
    </w:p>
    <w:p>
      <w:pPr>
        <w:ind w:left="660" w:right="300" w:hanging="4"/>
        <w:spacing w:after="0" w:line="275" w:lineRule="auto"/>
        <w:tabs>
          <w:tab w:leader="none" w:pos="82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2021, to which this Certification is attached as Exhibit 32.1 (the “Periodic Report”), fully complies with the requirements of Section 13(a) or Section 15(d) of the Securities Exchange Act of 1934;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2.The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920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Date: March 1,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Omid Farokhzad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&amp; Chair of The Board of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Horn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lvl w:ilvl="1">
      <w:lvlJc w:val="left"/>
      <w:lvlText w:val="▪"/>
      <w:numFmt w:val="bullet"/>
      <w:start w:val="1"/>
    </w:lvl>
  </w:abstractNum>
  <w:abstractNum w:abstractNumId="38">
    <w:nsid w:val="542289EC"/>
    <w:multiLevelType w:val="hybridMultilevel"/>
    <w:lvl w:ilvl="0">
      <w:lvlJc w:val="left"/>
      <w:lvlText w:val="◦"/>
      <w:numFmt w:val="bullet"/>
      <w:start w:val="1"/>
    </w:lvl>
    <w:lvl w:ilvl="1">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5"/>
    </w:lvl>
  </w:abstractNum>
  <w:abstractNum w:abstractNumId="43">
    <w:nsid w:val="684A481A"/>
    <w:multiLevelType w:val="hybridMultilevel"/>
    <w:lvl w:ilvl="0">
      <w:lvlJc w:val="left"/>
      <w:lvlText w:val="%1."/>
      <w:numFmt w:val="decimal"/>
      <w:start w:val="1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04"/>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5"/>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5"/>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73"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153" Type="http://schemas.openxmlformats.org/officeDocument/2006/relationships/hyperlink" Target="https://www.sec.gov/Archives/edgar/data/1726445/000162828020017214/exhibit31-closing8xk.htm" TargetMode="External"/><Relationship Id="rId154" Type="http://schemas.openxmlformats.org/officeDocument/2006/relationships/hyperlink" Target="https://www.sec.gov/Archives/edgar/data/1726445/000162828020017214/exhibit32-closing8xk.htm" TargetMode="External"/><Relationship Id="rId155" Type="http://schemas.openxmlformats.org/officeDocument/2006/relationships/hyperlink" Target="https://www.sec.gov/Archives/edgar/data/1726445/000162828020016325/exhibit41-stockcertifi.htm" TargetMode="External"/><Relationship Id="rId156" Type="http://schemas.openxmlformats.org/officeDocument/2006/relationships/hyperlink" Target="https://www.sec.gov/Archives/edgar/data/1726445/000162828021000787/exhibit42-followonsx1.htm" TargetMode="External"/><Relationship Id="rId157" Type="http://schemas.openxmlformats.org/officeDocument/2006/relationships/hyperlink" Target="https://www.sec.gov/Archives/edgar/data/0001726445/000162828021005989/ex43descriptionofregistran.htm" TargetMode="External"/><Relationship Id="rId158" Type="http://schemas.openxmlformats.org/officeDocument/2006/relationships/hyperlink" Target="https://www.sec.gov/Archives/edgar/data/1726445/000162828020016325/exhibit101-sx1xformofi.htm" TargetMode="External"/><Relationship Id="rId159" Type="http://schemas.openxmlformats.org/officeDocument/2006/relationships/hyperlink" Target="https://www.sec.gov/Archives/edgar/data/1726445/000162828020016863/exhibit102-sx1a1.htm" TargetMode="External"/><Relationship Id="rId160" Type="http://schemas.openxmlformats.org/officeDocument/2006/relationships/hyperlink" Target="https://www.sec.gov/Archives/edgar/data/1726445/000162828020016863/exhibit103-sx1a1.htm" TargetMode="External"/><Relationship Id="rId162" Type="http://schemas.openxmlformats.org/officeDocument/2006/relationships/hyperlink" Target="https://www.sec.gov/Archives/edgar/data/1726445/000162828020016863/exhibit104-sx1a1.htm" TargetMode="External"/><Relationship Id="rId163" Type="http://schemas.openxmlformats.org/officeDocument/2006/relationships/hyperlink" Target="https://www.sec.gov/Archives/edgar/data/1726445/000162828021016865/seer-2020employeestockpurc.htm" TargetMode="External"/><Relationship Id="rId164" Type="http://schemas.openxmlformats.org/officeDocument/2006/relationships/hyperlink" Target="https://www.sec.gov/Archives/edgar/data/1726445/000162828020016863/exhibit106-sx1a1.htm" TargetMode="External"/><Relationship Id="rId165" Type="http://schemas.openxmlformats.org/officeDocument/2006/relationships/hyperlink" Target="https://www.sec.gov/Archives/edgar/data/1726445/000162828020016863/exhibit107-sx1a1.htm" TargetMode="External"/><Relationship Id="rId166" Type="http://schemas.openxmlformats.org/officeDocument/2006/relationships/hyperlink" Target="https://www.sec.gov/Archives/edgar/data/1726445/000162828020016863/exhibit108-sx1a1.htm" TargetMode="External"/><Relationship Id="rId167" Type="http://schemas.openxmlformats.org/officeDocument/2006/relationships/hyperlink" Target="https://www.sec.gov/Archives/edgar/data/1726445/000162828020016863/exhibit109-sx1a1.htm" TargetMode="External"/><Relationship Id="rId168" Type="http://schemas.openxmlformats.org/officeDocument/2006/relationships/hyperlink" Target="https://www.sec.gov/Archives/edgar/data/1726445/000162828020016863/exhibit1010-sx1a1.htm" TargetMode="External"/><Relationship Id="rId169" Type="http://schemas.openxmlformats.org/officeDocument/2006/relationships/hyperlink" Target="https://www.sec.gov/Archives/edgar/data/1726445/000162828020016863/exhibit1011-sx1a1.htm" TargetMode="External"/><Relationship Id="rId170" Type="http://schemas.openxmlformats.org/officeDocument/2006/relationships/hyperlink" Target="https://www.sec.gov/Archives/edgar/data/1726445/000162828021016865/seer-outsidedirectorcompen.htm" TargetMode="External"/><Relationship Id="rId171" Type="http://schemas.openxmlformats.org/officeDocument/2006/relationships/hyperlink" Target="https://www.sec.gov/Archives/edgar/data/1726445/000162828020016325/exhibit1014-sx1xumbrel.htm" TargetMode="External"/><Relationship Id="rId172" Type="http://schemas.openxmlformats.org/officeDocument/2006/relationships/hyperlink" Target="https://www.sec.gov/Archives/edgar/data/1726445/000162828020016325/exhibit1015-sx1xexclus.htm" TargetMode="External"/><Relationship Id="rId174" Type="http://schemas.openxmlformats.org/officeDocument/2006/relationships/hyperlink" Target="https://www.sec.gov/Archives/edgar/data/1726445/000162828020016325/exhibit1016-sx1xclassa.htm" TargetMode="External"/><Relationship Id="rId175" Type="http://schemas.openxmlformats.org/officeDocument/2006/relationships/hyperlink" Target="https://www.sec.gov/Archives/edgar/data/1726445/000162828021020013/seer-leaveofabsenceloaagre.htm" TargetMode="External"/><Relationship Id="rId176" Type="http://schemas.openxmlformats.org/officeDocument/2006/relationships/hyperlink" Target="https://www.sec.gov/Archives/edgar/data/1726445/000162828022003179/seer-ccoemploymentletteram.htm" TargetMode="External"/><Relationship Id="rId177" Type="http://schemas.openxmlformats.org/officeDocument/2006/relationships/hyperlink" Target="https://www.sec.gov/Archives/edgar/data/0001726445/000162828021000787/exhibit211-followon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2022-03-01T17:06:53Z</dcterms:created>
  <dcterms:modified xsi:type="dcterms:W3CDTF">2022-03-01T17:06:53Z</dcterms:modified>
</cp:coreProperties>
</file>