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7"/>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60" w:type="dxa"/>
            <w:vAlign w:val="bottom"/>
            <w:gridSpan w:val="5"/>
            <w:vMerge w:val="restart"/>
          </w:tcPr>
          <w:p>
            <w:pPr>
              <w:jc w:val="center"/>
              <w:ind w:right="217"/>
              <w:spacing w:after="0" w:line="143" w:lineRule="exact"/>
              <w:rPr>
                <w:sz w:val="20"/>
                <w:szCs w:val="20"/>
                <w:color w:val="auto"/>
              </w:rPr>
            </w:pPr>
            <w:r>
              <w:rPr>
                <w:rFonts w:ascii="Arial" w:cs="Arial" w:eastAsia="Arial" w:hAnsi="Arial"/>
                <w:sz w:val="13"/>
                <w:szCs w:val="13"/>
                <w:color w:val="auto"/>
              </w:rPr>
              <w:t>Washington, D.C. 20549</w:t>
            </w: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2060" w:type="dxa"/>
            <w:vAlign w:val="bottom"/>
            <w:gridSpan w:val="5"/>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0" w:type="dxa"/>
            <w:vAlign w:val="bottom"/>
            <w:gridSpan w:val="20"/>
            <w:vMerge w:val="restart"/>
          </w:tcPr>
          <w:p>
            <w:pPr>
              <w:jc w:val="center"/>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gridSpan w:val="3"/>
          </w:tcPr>
          <w:p>
            <w:pPr>
              <w:spacing w:after="0" w:line="20" w:lineRule="exact"/>
              <w:rPr>
                <w:sz w:val="1"/>
                <w:szCs w:val="1"/>
                <w:color w:val="auto"/>
              </w:rPr>
            </w:pPr>
          </w:p>
        </w:tc>
        <w:tc>
          <w:tcPr>
            <w:tcW w:w="640" w:type="dxa"/>
            <w:vAlign w:val="bottom"/>
            <w:tcBorders>
              <w:top w:val="single" w:sz="8" w:color="808080"/>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0" w:type="dxa"/>
            <w:vAlign w:val="bottom"/>
            <w:gridSpan w:val="4"/>
            <w:vMerge w:val="continue"/>
          </w:tcPr>
          <w:p>
            <w:pPr>
              <w:spacing w:after="0"/>
              <w:rPr>
                <w:sz w:val="6"/>
                <w:szCs w:val="6"/>
                <w:color w:val="auto"/>
              </w:rPr>
            </w:pPr>
          </w:p>
        </w:tc>
        <w:tc>
          <w:tcPr>
            <w:tcW w:w="6200" w:type="dxa"/>
            <w:vAlign w:val="bottom"/>
            <w:gridSpan w:val="20"/>
            <w:vMerge w:val="continue"/>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80" w:type="dxa"/>
            <w:vAlign w:val="bottom"/>
            <w:gridSpan w:val="9"/>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27" w:lineRule="exact"/>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20" w:type="dxa"/>
            <w:vAlign w:val="bottom"/>
            <w:gridSpan w:val="19"/>
            <w:vMerge w:val="restart"/>
          </w:tcPr>
          <w:p>
            <w:pPr>
              <w:jc w:val="center"/>
              <w:ind w:left="449"/>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2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2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53"/>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4"/>
            <w:vMerge w:val="restart"/>
          </w:tcPr>
          <w:p>
            <w:pPr>
              <w:ind w:left="20"/>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Nishar Dipchand</w:t>
              </w:r>
            </w:hyperlink>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9"/>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Seer,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gridSpan w:val="2"/>
            <w:vMerge w:val="restart"/>
          </w:tcPr>
          <w:p>
            <w:pPr>
              <w:ind w:left="260"/>
              <w:spacing w:after="0" w:line="120" w:lineRule="exact"/>
              <w:rPr>
                <w:sz w:val="20"/>
                <w:szCs w:val="20"/>
                <w:color w:val="auto"/>
              </w:rPr>
            </w:pPr>
            <w:r>
              <w:rPr>
                <w:rFonts w:ascii="Arial" w:cs="Arial" w:eastAsia="Arial" w:hAnsi="Arial"/>
                <w:sz w:val="13"/>
                <w:szCs w:val="13"/>
                <w:color w:val="0000FF"/>
              </w:rPr>
              <w:t>X</w:t>
            </w:r>
          </w:p>
        </w:tc>
        <w:tc>
          <w:tcPr>
            <w:tcW w:w="580" w:type="dxa"/>
            <w:vAlign w:val="bottom"/>
            <w:vMerge w:val="restart"/>
          </w:tcPr>
          <w:p>
            <w:pPr>
              <w:ind w:left="120"/>
              <w:spacing w:after="0" w:line="120"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restart"/>
          </w:tcPr>
          <w:p>
            <w:pPr>
              <w:ind w:left="220"/>
              <w:spacing w:after="0" w:line="120"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4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40" w:type="dxa"/>
            <w:vAlign w:val="bottom"/>
            <w:gridSpan w:val="10"/>
            <w:vMerge w:val="continue"/>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020" w:type="dxa"/>
            <w:vAlign w:val="bottom"/>
            <w:gridSpan w:val="8"/>
          </w:tcPr>
          <w:p>
            <w:pPr>
              <w:ind w:left="240"/>
              <w:spacing w:after="0"/>
              <w:rPr>
                <w:sz w:val="20"/>
                <w:szCs w:val="20"/>
                <w:color w:val="auto"/>
              </w:rPr>
            </w:pPr>
            <w:r>
              <w:rPr>
                <w:rFonts w:ascii="Arial" w:cs="Arial" w:eastAsia="Arial" w:hAnsi="Arial"/>
                <w:sz w:val="17"/>
                <w:szCs w:val="17"/>
                <w:color w:val="0000FF"/>
                <w:w w:val="89"/>
              </w:rPr>
              <w:t>06/14/2023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7"/>
                <w:szCs w:val="17"/>
                <w:color w:val="0000FF"/>
                <w:w w:val="96"/>
              </w:rPr>
              <w:t>C/O SEER, INC.</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3800 BRIDGE PARKWAY, SUITE 102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REDWOOD</w:t>
            </w: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60"/>
              <w:spacing w:after="0"/>
              <w:rPr>
                <w:sz w:val="20"/>
                <w:szCs w:val="20"/>
                <w:color w:val="auto"/>
              </w:rPr>
            </w:pPr>
            <w:r>
              <w:rPr>
                <w:rFonts w:ascii="Arial" w:cs="Arial" w:eastAsia="Arial" w:hAnsi="Arial"/>
                <w:sz w:val="17"/>
                <w:szCs w:val="17"/>
                <w:color w:val="0000FF"/>
              </w:rPr>
              <w:t>94065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CITY</w:t>
            </w:r>
          </w:p>
        </w:tc>
        <w:tc>
          <w:tcPr>
            <w:tcW w:w="6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000" w:type="dxa"/>
            <w:vAlign w:val="bottom"/>
            <w:gridSpan w:val="2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640" w:type="dxa"/>
            <w:vAlign w:val="bottom"/>
            <w:gridSpan w:val="14"/>
            <w:vMerge w:val="restart"/>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4640" w:type="dxa"/>
            <w:vAlign w:val="bottom"/>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1"/>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7"/>
          </w:tcPr>
          <w:p>
            <w:pPr>
              <w:ind w:left="7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00" w:type="dxa"/>
            <w:vAlign w:val="bottom"/>
            <w:gridSpan w:val="7"/>
          </w:tcPr>
          <w:p>
            <w:pPr>
              <w:ind w:left="72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70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vMerge w:val="restart"/>
          </w:tcPr>
          <w:p>
            <w:pPr>
              <w:jc w:val="right"/>
              <w:ind w:right="113"/>
              <w:spacing w:after="0"/>
              <w:rPr>
                <w:sz w:val="20"/>
                <w:szCs w:val="20"/>
                <w:color w:val="auto"/>
              </w:rPr>
            </w:pPr>
            <w:r>
              <w:rPr>
                <w:rFonts w:ascii="Arial" w:cs="Arial" w:eastAsia="Arial" w:hAnsi="Arial"/>
                <w:sz w:val="12"/>
                <w:szCs w:val="12"/>
                <w:b w:val="1"/>
                <w:bCs w:val="1"/>
                <w:color w:val="auto"/>
                <w:w w:val="95"/>
              </w:rPr>
              <w:t>(D)</w:t>
            </w:r>
          </w:p>
        </w:tc>
        <w:tc>
          <w:tcPr>
            <w:tcW w:w="70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7"/>
          </w:tcPr>
          <w:p>
            <w:pPr>
              <w:ind w:left="820"/>
              <w:spacing w:after="0"/>
              <w:rPr>
                <w:sz w:val="20"/>
                <w:szCs w:val="20"/>
                <w:color w:val="auto"/>
              </w:rPr>
            </w:pPr>
            <w:r>
              <w:rPr>
                <w:rFonts w:ascii="Arial" w:cs="Arial" w:eastAsia="Arial" w:hAnsi="Arial"/>
                <w:sz w:val="17"/>
                <w:szCs w:val="17"/>
                <w:color w:val="0000FF"/>
              </w:rPr>
              <w:t>06/14/2023</w:t>
            </w:r>
          </w:p>
        </w:tc>
        <w:tc>
          <w:tcPr>
            <w:tcW w:w="2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23,443</w:t>
            </w:r>
            <w:r>
              <w:rPr>
                <w:rFonts w:ascii="Arial" w:cs="Arial" w:eastAsia="Arial" w:hAnsi="Arial"/>
                <w:sz w:val="21"/>
                <w:szCs w:val="21"/>
                <w:color w:val="008000"/>
                <w:vertAlign w:val="superscript"/>
              </w:rPr>
              <w:t>(1)</w:t>
            </w:r>
          </w:p>
        </w:tc>
        <w:tc>
          <w:tcPr>
            <w:tcW w:w="36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180" w:type="dxa"/>
            <w:vAlign w:val="bottom"/>
            <w:tcBorders>
              <w:bottom w:val="single" w:sz="8" w:color="2C2C2C"/>
            </w:tcBorders>
            <w:gridSpan w:val="4"/>
          </w:tcPr>
          <w:p>
            <w:pPr>
              <w:ind w:left="340"/>
              <w:spacing w:after="0"/>
              <w:rPr>
                <w:sz w:val="20"/>
                <w:szCs w:val="20"/>
                <w:color w:val="auto"/>
              </w:rPr>
            </w:pPr>
            <w:r>
              <w:rPr>
                <w:rFonts w:ascii="Arial" w:cs="Arial" w:eastAsia="Arial" w:hAnsi="Arial"/>
                <w:sz w:val="17"/>
                <w:szCs w:val="17"/>
                <w:color w:val="0000FF"/>
              </w:rPr>
              <w:t>33,388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21"/>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20" w:type="dxa"/>
            <w:vAlign w:val="bottom"/>
            <w:gridSpan w:val="1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1"/>
                <w:szCs w:val="11"/>
                <w:color w:val="auto"/>
              </w:rPr>
            </w:pPr>
          </w:p>
        </w:tc>
        <w:tc>
          <w:tcPr>
            <w:tcW w:w="7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6"/>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gridSpan w:val="2"/>
            <w:vMerge w:val="restart"/>
          </w:tcPr>
          <w:p>
            <w:pPr>
              <w:jc w:val="right"/>
              <w:ind w:right="113"/>
              <w:spacing w:after="0"/>
              <w:rPr>
                <w:sz w:val="20"/>
                <w:szCs w:val="20"/>
                <w:color w:val="auto"/>
              </w:rPr>
            </w:pPr>
            <w:r>
              <w:rPr>
                <w:rFonts w:ascii="Arial" w:cs="Arial" w:eastAsia="Arial" w:hAnsi="Arial"/>
                <w:sz w:val="13"/>
                <w:szCs w:val="13"/>
                <w:color w:val="0000FF"/>
              </w:rPr>
              <w:t>Class A</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34,735</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200" w:type="dxa"/>
            <w:vAlign w:val="bottom"/>
          </w:tcPr>
          <w:p>
            <w:pPr>
              <w:spacing w:after="0"/>
              <w:rPr>
                <w:sz w:val="5"/>
                <w:szCs w:val="5"/>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3"/>
                <w:szCs w:val="13"/>
                <w:color w:val="0000FF"/>
              </w:rPr>
              <w:t>06/14/2023</w:t>
            </w: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4"/>
            <w:vMerge w:val="restart"/>
          </w:tcPr>
          <w:p>
            <w:pPr>
              <w:ind w:left="4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5"/>
                <w:szCs w:val="5"/>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3"/>
                <w:szCs w:val="13"/>
                <w:color w:val="0000FF"/>
              </w:rPr>
              <w:t>34,735</w:t>
            </w:r>
          </w:p>
        </w:tc>
        <w:tc>
          <w:tcPr>
            <w:tcW w:w="280" w:type="dxa"/>
            <w:vAlign w:val="bottom"/>
          </w:tcPr>
          <w:p>
            <w:pPr>
              <w:spacing w:after="0"/>
              <w:rPr>
                <w:sz w:val="5"/>
                <w:szCs w:val="5"/>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spacing w:after="0"/>
              <w:rPr>
                <w:sz w:val="20"/>
                <w:szCs w:val="20"/>
                <w:color w:val="auto"/>
              </w:rPr>
            </w:pPr>
            <w:r>
              <w:rPr>
                <w:rFonts w:ascii="Arial" w:cs="Arial" w:eastAsia="Arial" w:hAnsi="Arial"/>
                <w:sz w:val="13"/>
                <w:szCs w:val="13"/>
                <w:color w:val="0000FF"/>
                <w:w w:val="98"/>
              </w:rPr>
              <w:t>06/14/2033</w:t>
            </w: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vMerge w:val="restart"/>
          </w:tcPr>
          <w:p>
            <w:pPr>
              <w:ind w:left="220"/>
              <w:spacing w:after="0"/>
              <w:rPr>
                <w:sz w:val="20"/>
                <w:szCs w:val="20"/>
                <w:color w:val="auto"/>
              </w:rPr>
            </w:pPr>
            <w:r>
              <w:rPr>
                <w:rFonts w:ascii="Arial" w:cs="Arial" w:eastAsia="Arial" w:hAnsi="Arial"/>
                <w:sz w:val="13"/>
                <w:szCs w:val="13"/>
                <w:color w:val="0000FF"/>
                <w:w w:val="90"/>
              </w:rPr>
              <w:t>34,735</w:t>
            </w:r>
          </w:p>
        </w:tc>
        <w:tc>
          <w:tcPr>
            <w:tcW w:w="280" w:type="dxa"/>
            <w:vAlign w:val="bottom"/>
          </w:tcPr>
          <w:p>
            <w:pPr>
              <w:spacing w:after="0"/>
              <w:rPr>
                <w:sz w:val="5"/>
                <w:szCs w:val="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80" w:type="dxa"/>
            <w:vAlign w:val="bottom"/>
            <w:gridSpan w:val="3"/>
          </w:tcPr>
          <w:p>
            <w:pPr>
              <w:ind w:left="60"/>
              <w:spacing w:after="0" w:line="89" w:lineRule="exact"/>
              <w:rPr>
                <w:sz w:val="20"/>
                <w:szCs w:val="20"/>
                <w:color w:val="auto"/>
              </w:rPr>
            </w:pPr>
            <w:r>
              <w:rPr>
                <w:rFonts w:ascii="Arial" w:cs="Arial" w:eastAsia="Arial" w:hAnsi="Arial"/>
                <w:sz w:val="10"/>
                <w:szCs w:val="10"/>
                <w:color w:val="0000FF"/>
              </w:rPr>
              <w:t>(right to</w:t>
            </w:r>
          </w:p>
        </w:tc>
        <w:tc>
          <w:tcPr>
            <w:tcW w:w="6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-5857875</wp:posOffset>
            </wp:positionV>
            <wp:extent cx="7045960" cy="6038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03821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182"/>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600" w:type="dxa"/>
            <w:vAlign w:val="bottom"/>
          </w:tcPr>
          <w:p>
            <w:pPr>
              <w:ind w:left="330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shares are represented by restricted stock units, or RSUs, which vest on the earlier of (i) June 14, 2024 or (ii) the day prior to the date of the Issuer's next annual meeting of stockholders.</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subject to the option vest on the earlier of (i) June 14, 2024 or (ii) the day prior to the date of the Issuer's next annual meeting of stockholders.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Elona Kogan, by power of</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19500" TargetMode="External"/><Relationship Id="rId9"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2023-06-16T20:30:00Z</dcterms:created>
  <dcterms:modified xsi:type="dcterms:W3CDTF">2023-06-16T20:30:00Z</dcterms:modified>
</cp:coreProperties>
</file>