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67945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43815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8"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64770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4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30480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7" w:lineRule="exact"/>
        <w:rPr>
          <w:sz w:val="24"/>
          <w:szCs w:val="24"/>
          <w:color w:val="auto"/>
        </w:rPr>
      </w:pPr>
    </w:p>
    <w:tbl>
      <w:tblPr>
        <w:tblLayout w:type="fixed"/>
        <w:tblInd w:w="894" w:type="dxa"/>
        <w:tblCellMar>
          <w:top w:w="0" w:type="dxa"/>
          <w:left w:w="0" w:type="dxa"/>
          <w:bottom w:w="0" w:type="dxa"/>
          <w:right w:w="0" w:type="dxa"/>
        </w:tblCellMar>
      </w:tblPr>
      <w:tr>
        <w:trPr>
          <w:trHeight w:val="190"/>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31"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57" w:lineRule="exact"/>
        <w:rPr>
          <w:sz w:val="24"/>
          <w:szCs w:val="24"/>
          <w:color w:val="auto"/>
        </w:rPr>
      </w:pPr>
    </w:p>
    <w:p>
      <w:pPr>
        <w:ind w:left="13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8"/>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left="634" w:right="80"/>
        <w:spacing w:after="0" w:line="30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63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9" w:lineRule="exact"/>
        <w:rPr>
          <w:sz w:val="24"/>
          <w:szCs w:val="24"/>
          <w:color w:val="auto"/>
        </w:rPr>
      </w:pPr>
    </w:p>
    <w:p>
      <w:pPr>
        <w:ind w:left="634" w:right="160"/>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1146810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45085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9, 2022, Seer, Inc. (the “Company”) issued a press release (the “Press Release”) announcing results for the quarter ended June 30, 2022. A copy of the Press Release is attached as Exhibit 99.1 to this current report on Form 8-K and is incorporated by reference herein.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6268085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294"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August 9, 2022</w:t>
      </w:r>
    </w:p>
    <w:p>
      <w:pPr>
        <w:ind w:left="640"/>
        <w:spacing w:after="0"/>
        <w:tabs>
          <w:tab w:leader="none" w:pos="1060" w:val="left"/>
        </w:tabs>
        <w:rPr>
          <w:sz w:val="20"/>
          <w:szCs w:val="20"/>
          <w:color w:val="auto"/>
        </w:rPr>
      </w:pPr>
      <w:r>
        <w:rPr>
          <w:rFonts w:ascii="Times New Roman" w:cs="Times New Roman" w:eastAsia="Times New Roman" w:hAnsi="Times New Roman"/>
          <w:sz w:val="18"/>
          <w:szCs w:val="18"/>
          <w:color w:val="auto"/>
        </w:rPr>
        <w:t>104</w:t>
        <w:tab/>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97" w:lineRule="exact"/>
        <w:rPr>
          <w:sz w:val="20"/>
          <w:szCs w:val="20"/>
          <w:color w:val="auto"/>
        </w:rPr>
      </w:pPr>
    </w:p>
    <w:p>
      <w:pPr>
        <w:ind w:left="3080"/>
        <w:spacing w:after="0"/>
        <w:tabs>
          <w:tab w:leader="none" w:pos="5740" w:val="left"/>
          <w:tab w:leader="none" w:pos="66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Reports Second Quarter 2022 Financial Results</w:t>
      </w:r>
    </w:p>
    <w:p>
      <w:pPr>
        <w:spacing w:after="0" w:line="68" w:lineRule="exact"/>
        <w:rPr>
          <w:sz w:val="20"/>
          <w:szCs w:val="20"/>
          <w:color w:val="auto"/>
        </w:rPr>
      </w:pPr>
    </w:p>
    <w:p>
      <w:pPr>
        <w:jc w:val="center"/>
        <w:ind w:left="340" w:right="60"/>
        <w:spacing w:after="0" w:line="314" w:lineRule="auto"/>
        <w:rPr>
          <w:sz w:val="20"/>
          <w:szCs w:val="20"/>
          <w:color w:val="auto"/>
        </w:rPr>
      </w:pPr>
      <w:r>
        <w:rPr>
          <w:rFonts w:ascii="Arial" w:cs="Arial" w:eastAsia="Arial" w:hAnsi="Arial"/>
          <w:sz w:val="20"/>
          <w:szCs w:val="20"/>
          <w:i w:val="1"/>
          <w:iCs w:val="1"/>
          <w:color w:val="auto"/>
        </w:rPr>
        <w:t xml:space="preserve">Company launches novel proteogenomics workflow with the Proteograph </w:t>
      </w:r>
      <w:r>
        <w:rPr>
          <w:rFonts w:ascii="Arial" w:cs="Arial" w:eastAsia="Arial" w:hAnsi="Arial"/>
          <w:sz w:val="25"/>
          <w:szCs w:val="25"/>
          <w:i w:val="1"/>
          <w:iCs w:val="1"/>
          <w:color w:val="auto"/>
          <w:vertAlign w:val="superscript"/>
        </w:rPr>
        <w:t>TM</w:t>
      </w:r>
      <w:r>
        <w:rPr>
          <w:rFonts w:ascii="Arial" w:cs="Arial" w:eastAsia="Arial" w:hAnsi="Arial"/>
          <w:sz w:val="20"/>
          <w:szCs w:val="20"/>
          <w:i w:val="1"/>
          <w:iCs w:val="1"/>
          <w:color w:val="auto"/>
        </w:rPr>
        <w:t xml:space="preserve"> Analysis Suite 2.0, further demonstrates the power of its technology with new customer data, and advances key partnerships</w:t>
      </w:r>
    </w:p>
    <w:p>
      <w:pPr>
        <w:spacing w:after="0" w:line="188" w:lineRule="exact"/>
        <w:rPr>
          <w:sz w:val="20"/>
          <w:szCs w:val="20"/>
          <w:color w:val="auto"/>
        </w:rPr>
      </w:pPr>
    </w:p>
    <w:p>
      <w:pPr>
        <w:jc w:val="both"/>
        <w:spacing w:after="0" w:line="372"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August 9, 2022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second quarter ended June 30, 2022.</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“We are building on a strong start to the year and I am pleased with the positive trajectory of our business as we continued to execute against our core strategies. We are making progress across all areas of our business as we continue to ramp our commercial efforts and expand the installed base of the Proteograph</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Suite,” said Omid Farokhzad, Chief Executive Officer and Chair. “It is inspiring to support our customers as they generate data that is enabling novel biological insight. We are excited about our opportunity, focused on our goals, and engaged with our customers to enable their success.”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1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Revenue of $3.6 million for the second quarter 2022.</w:t>
      </w:r>
    </w:p>
    <w:p>
      <w:pPr>
        <w:spacing w:after="0" w:line="189" w:lineRule="exact"/>
        <w:rPr>
          <w:rFonts w:ascii="Times New Roman" w:cs="Times New Roman" w:eastAsia="Times New Roman" w:hAnsi="Times New Roman"/>
          <w:sz w:val="22"/>
          <w:szCs w:val="22"/>
          <w:color w:val="auto"/>
        </w:rPr>
      </w:pPr>
    </w:p>
    <w:p>
      <w:pPr>
        <w:ind w:left="340" w:hanging="332"/>
        <w:spacing w:after="0" w:line="332"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Launched the Proteograph Analysis Suite 2.0, a first-of-its-kind integrated tool for scalable proteogenomic analysis at the peptide level, and an integral component of the Proteograph Product Suite.</w:t>
      </w:r>
    </w:p>
    <w:p>
      <w:pPr>
        <w:spacing w:after="0" w:line="79" w:lineRule="exact"/>
        <w:rPr>
          <w:rFonts w:ascii="Times New Roman" w:cs="Times New Roman" w:eastAsia="Times New Roman" w:hAnsi="Times New Roman"/>
          <w:sz w:val="22"/>
          <w:szCs w:val="22"/>
          <w:color w:val="auto"/>
        </w:rPr>
      </w:pPr>
    </w:p>
    <w:p>
      <w:pPr>
        <w:jc w:val="both"/>
        <w:ind w:left="340" w:hanging="332"/>
        <w:spacing w:after="0" w:line="321"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Further exemplified power of technology through 28 posters across nine scientific conferences and industry events in the second quarter, including four customer posters and nine Seer presentations at the American Society for Mass Spectrometry (ASMS) conference in early June.</w:t>
      </w:r>
    </w:p>
    <w:p>
      <w:pPr>
        <w:spacing w:after="0" w:line="106" w:lineRule="exact"/>
        <w:rPr>
          <w:rFonts w:ascii="Times New Roman" w:cs="Times New Roman" w:eastAsia="Times New Roman" w:hAnsi="Times New Roman"/>
          <w:sz w:val="22"/>
          <w:szCs w:val="22"/>
          <w:color w:val="auto"/>
        </w:rPr>
      </w:pPr>
    </w:p>
    <w:p>
      <w:pPr>
        <w:ind w:left="340" w:hanging="332"/>
        <w:spacing w:after="0" w:line="332"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Demonstrated progress with Centers of Excellence up and running in multiple regions as well as progress operationalizing the Proteogenomics Consortium in partnership with Discovery Life Sciences and Sciex.</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281"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Revenue was $3.6 million for the three months ended June 30, 2022, as compared to $1.3 million for the three months ended June 30, 2021. The increase was primarily due to increased sales of the Proteograph Product Suite and its related products. Product-related revenue for the second quarter of 2022 was $3.5 million, including $1.1 million of related party revenue, and consisted of sales of SP100 instruments and consumable kits.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$1.6 million and gross margin was 44% for the second quarter of 2022.</w:t>
      </w:r>
    </w:p>
    <w:p>
      <w:pPr>
        <w:spacing w:after="0" w:line="320"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Operating expenses were $25.0 million for the second quarter of 2022, including $8.4 million of stock-based compensation, as compared to $17.4 million, including $6.4 million of stock-based compensation, for the corresponding prior year period. The increase in expenses was driven by increased employee compensation and other related expenses, including stock-based compensation, and increased expenses related to the expansion of the company’s facilities and other costs related to being a publicly traded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Net loss was $22.8 million for the second quarter of 2022, as compared to $16.6 million for the corresponding prior year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$456.1 million as of June 30,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Seer continues to expect full year 2022 revenue to be in the range of $14.0 million to $16.0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46"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 xml:space="preserve">Seer will host a conference call to discuss the second quarter financial results on Tuesday, August 9, 2022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46"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563C1"/>
        </w:rPr>
        <w:t>www.seer.bio</w:t>
      </w:r>
      <w:r>
        <w:rPr>
          <w:rFonts w:ascii="Arial" w:cs="Arial" w:eastAsia="Arial" w:hAnsi="Arial"/>
          <w:sz w:val="18"/>
          <w:szCs w:val="18"/>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3"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2022.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pr@seer.bio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46"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Seer, Inc.</w:t>
      </w:r>
    </w:p>
    <w:p>
      <w:pPr>
        <w:spacing w:after="0" w:line="59"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6"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7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837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and other</w:t>
            </w:r>
          </w:p>
        </w:tc>
        <w:tc>
          <w:tcPr>
            <w:tcW w:w="8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8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(23,434)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(47,219)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(22,815)</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(46,461)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334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(23,701)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(49,038)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4"/>
                <w:szCs w:val="24"/>
                <w:color w:val="auto"/>
              </w:rPr>
            </w:pPr>
          </w:p>
        </w:tc>
        <w:tc>
          <w:tcPr>
            <w:tcW w:w="8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62,376,571</w:t>
            </w:r>
          </w:p>
        </w:tc>
        <w:tc>
          <w:tcPr>
            <w:tcW w:w="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60,841,657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62,191,068</w:t>
            </w: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60,367,433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640"/>
          </w:cols>
          <w:pgMar w:left="980" w:top="1440" w:right="1279" w:bottom="1440" w:gutter="0" w:footer="0" w:header="0"/>
        </w:sectPr>
      </w:pPr>
    </w:p>
    <w:bookmarkStart w:id="7" w:name="page8"/>
    <w:bookmarkEnd w:id="7"/>
    <w:p>
      <w:pPr>
        <w:spacing w:after="0" w:line="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Seer, Inc.</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6420" w:type="dxa"/>
            <w:vAlign w:val="bottom"/>
          </w:tcPr>
          <w:p>
            <w:pPr>
              <w:spacing w:after="0"/>
              <w:rPr>
                <w:sz w:val="17"/>
                <w:szCs w:val="17"/>
                <w:color w:val="auto"/>
              </w:rPr>
            </w:pPr>
          </w:p>
        </w:tc>
        <w:tc>
          <w:tcPr>
            <w:tcW w:w="8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642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420" w:type="dxa"/>
            <w:vAlign w:val="bottom"/>
          </w:tcPr>
          <w:p>
            <w:pPr>
              <w:spacing w:after="0"/>
              <w:rPr>
                <w:sz w:val="16"/>
                <w:szCs w:val="16"/>
                <w:color w:val="auto"/>
              </w:rPr>
            </w:pPr>
          </w:p>
        </w:tc>
        <w:tc>
          <w:tcPr>
            <w:tcW w:w="1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232,813</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investments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372,167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167,261</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receivables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shd w:val="clear" w:color="auto" w:fill="CCEEFF"/>
          </w:tcPr>
          <w:p>
            <w:pPr>
              <w:spacing w:after="0"/>
              <w:rPr>
                <w:sz w:val="18"/>
                <w:szCs w:val="18"/>
                <w:color w:val="auto"/>
              </w:rPr>
            </w:pPr>
          </w:p>
        </w:tc>
      </w:tr>
      <w:tr>
        <w:trPr>
          <w:trHeight w:val="189"/>
        </w:trPr>
        <w:tc>
          <w:tcPr>
            <w:tcW w:w="6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466,757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411,699</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93,186</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27,958</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20,142</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13,087</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r>
      <w:tr>
        <w:trPr>
          <w:trHeight w:val="203"/>
        </w:trPr>
        <w:tc>
          <w:tcPr>
            <w:tcW w:w="6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516,300</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539,139</w:t>
            </w:r>
          </w:p>
        </w:tc>
        <w:tc>
          <w:tcPr>
            <w:tcW w:w="100" w:type="dxa"/>
            <w:vAlign w:val="bottom"/>
          </w:tcPr>
          <w:p>
            <w:pPr>
              <w:spacing w:after="0"/>
              <w:rPr>
                <w:sz w:val="17"/>
                <w:szCs w:val="17"/>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7"/>
        </w:trPr>
        <w:tc>
          <w:tcPr>
            <w:tcW w:w="6420" w:type="dxa"/>
            <w:vAlign w:val="bottom"/>
            <w:tcBorders>
              <w:bottom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8"/>
                <w:szCs w:val="18"/>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15,024</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13,423</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22,459</w:t>
            </w:r>
          </w:p>
        </w:tc>
        <w:tc>
          <w:tcPr>
            <w:tcW w:w="100" w:type="dxa"/>
            <w:vAlign w:val="bottom"/>
            <w:shd w:val="clear" w:color="auto" w:fill="CCEEFF"/>
          </w:tcPr>
          <w:p>
            <w:pPr>
              <w:spacing w:after="0"/>
              <w:rPr>
                <w:sz w:val="18"/>
                <w:szCs w:val="18"/>
                <w:color w:val="auto"/>
              </w:rPr>
            </w:pPr>
          </w:p>
        </w:tc>
      </w:tr>
      <w:tr>
        <w:trPr>
          <w:trHeight w:val="19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tcPr>
          <w:p>
            <w:pPr>
              <w:spacing w:after="0"/>
              <w:rPr>
                <w:sz w:val="17"/>
                <w:szCs w:val="17"/>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36,223</w:t>
            </w:r>
          </w:p>
        </w:tc>
        <w:tc>
          <w:tcPr>
            <w:tcW w:w="100" w:type="dxa"/>
            <w:vAlign w:val="bottom"/>
            <w:shd w:val="clear" w:color="auto" w:fill="CCEEFF"/>
          </w:tcPr>
          <w:p>
            <w:pPr>
              <w:spacing w:after="0"/>
              <w:rPr>
                <w:sz w:val="17"/>
                <w:szCs w:val="17"/>
                <w:color w:val="auto"/>
              </w:rPr>
            </w:pPr>
          </w:p>
        </w:tc>
      </w:tr>
      <w:tr>
        <w:trPr>
          <w:trHeight w:val="17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0"/>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$0.00001 par value; 5,000,000 shares authorized as of June 30, 2022 and December 31,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64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2021; zero shares issued and outstanding as of June 30, 2022 and December 31, 2021</w:t>
            </w: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A common stock, $0.00001 par value; 94,000,000 shares authorized as of June 30, 2022 and</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49"/>
        </w:trPr>
        <w:tc>
          <w:tcPr>
            <w:tcW w:w="642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December 31, 2021; 58,565,210 and 57,493,005 shares issued and outstanding as of June 30, 2022 and</w:t>
            </w: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9"/>
        </w:trPr>
        <w:tc>
          <w:tcPr>
            <w:tcW w:w="6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0"/>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B common stock, $0.00001 par value; 6,000,000 shares authorized as of June 30, 2022 and</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64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December 31, 2021; 4,044,969 and 4,522,478 shares issued and outstanding as of June 30, 2022 and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64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8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648,146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629,981</w:t>
            </w:r>
          </w:p>
        </w:tc>
        <w:tc>
          <w:tcPr>
            <w:tcW w:w="100" w:type="dxa"/>
            <w:vAlign w:val="bottom"/>
            <w:shd w:val="clear" w:color="auto" w:fill="CCEEFF"/>
          </w:tcPr>
          <w:p>
            <w:pPr>
              <w:spacing w:after="0"/>
              <w:rPr>
                <w:sz w:val="17"/>
                <w:szCs w:val="17"/>
                <w:color w:val="auto"/>
              </w:rPr>
            </w:pPr>
          </w:p>
        </w:tc>
      </w:tr>
      <w:tr>
        <w:trPr>
          <w:trHeight w:val="195"/>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r>
      <w:tr>
        <w:trPr>
          <w:trHeight w:val="21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(172,991)</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(126,530)</w:t>
            </w:r>
          </w:p>
        </w:tc>
        <w:tc>
          <w:tcPr>
            <w:tcW w:w="100" w:type="dxa"/>
            <w:vAlign w:val="bottom"/>
            <w:shd w:val="clear" w:color="auto" w:fill="CCEEFF"/>
          </w:tcPr>
          <w:p>
            <w:pPr>
              <w:spacing w:after="0"/>
              <w:rPr>
                <w:sz w:val="18"/>
                <w:szCs w:val="18"/>
                <w:color w:val="auto"/>
              </w:rPr>
            </w:pPr>
          </w:p>
        </w:tc>
      </w:tr>
      <w:tr>
        <w:trPr>
          <w:trHeight w:val="190"/>
        </w:trPr>
        <w:tc>
          <w:tcPr>
            <w:tcW w:w="64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472,043</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502,916</w:t>
            </w:r>
          </w:p>
        </w:tc>
        <w:tc>
          <w:tcPr>
            <w:tcW w:w="100" w:type="dxa"/>
            <w:vAlign w:val="bottom"/>
            <w:tcBorders>
              <w:bottom w:val="single" w:sz="8" w:color="CCEEFF"/>
            </w:tcBorders>
          </w:tcPr>
          <w:p>
            <w:pPr>
              <w:spacing w:after="0"/>
              <w:rPr>
                <w:sz w:val="16"/>
                <w:szCs w:val="16"/>
                <w:color w:val="auto"/>
              </w:rPr>
            </w:pPr>
          </w:p>
        </w:tc>
      </w:tr>
      <w:tr>
        <w:trPr>
          <w:trHeight w:val="228"/>
        </w:trPr>
        <w:tc>
          <w:tcPr>
            <w:tcW w:w="6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516,300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9479"/>
      </w:cols>
      <w:pgMar w:left="9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2022-08-09T17:39:38Z</dcterms:created>
  <dcterms:modified xsi:type="dcterms:W3CDTF">2022-08-09T17:39:38Z</dcterms:modified>
</cp:coreProperties>
</file>