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161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161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Nishar Dipchand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SEER,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3800 BRIDGE PARKWAY, SUITE 102</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REDWOOD</w:t>
            </w:r>
          </w:p>
        </w:tc>
        <w:tc>
          <w:tcPr>
            <w:tcW w:w="98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94065</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0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CITY</w:t>
            </w:r>
          </w:p>
        </w:tc>
        <w:tc>
          <w:tcPr>
            <w:tcW w:w="98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Seer,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SEER</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9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680" w:type="dxa"/>
            <w:vAlign w:val="bottom"/>
            <w:tcBorders>
              <w:bottom w:val="single" w:sz="8" w:color="0000EE"/>
            </w:tcBorders>
          </w:tcPr>
          <w:p>
            <w:pPr>
              <w:spacing w:after="0"/>
              <w:rPr>
                <w:sz w:val="3"/>
                <w:szCs w:val="3"/>
                <w:color w:val="auto"/>
              </w:rPr>
            </w:pPr>
          </w:p>
        </w:tc>
        <w:tc>
          <w:tcPr>
            <w:tcW w:w="29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294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8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06/14/2024</w:t>
            </w:r>
          </w:p>
        </w:tc>
        <w:tc>
          <w:tcPr>
            <w:tcW w:w="2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29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Borders>
              <w:bottom w:val="single" w:sz="8" w:color="2C2C2C"/>
            </w:tcBorders>
            <w:gridSpan w:val="2"/>
          </w:tcPr>
          <w:p>
            <w:pPr>
              <w:jc w:val="right"/>
              <w:ind w:right="160"/>
              <w:spacing w:after="0"/>
              <w:rPr>
                <w:sz w:val="20"/>
                <w:szCs w:val="20"/>
                <w:color w:val="auto"/>
              </w:rPr>
            </w:pPr>
            <w:r>
              <w:rPr>
                <w:rFonts w:ascii="Times New Roman" w:cs="Times New Roman" w:eastAsia="Times New Roman" w:hAnsi="Times New Roman"/>
                <w:sz w:val="17"/>
                <w:szCs w:val="17"/>
                <w:color w:val="0000FF"/>
              </w:rPr>
              <w:t>06/14/2024</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12,109</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1.7765</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79,457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4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in this Form 4 was effected pursuant to a Rule 10b5-1 trading plan adopted by the reporting person on September 14, 2023.</w:t>
      </w:r>
    </w:p>
    <w:p>
      <w:pPr>
        <w:spacing w:after="0" w:line="50" w:lineRule="exact"/>
        <w:rPr>
          <w:rFonts w:ascii="Times New Roman" w:cs="Times New Roman" w:eastAsia="Times New Roman" w:hAnsi="Times New Roman"/>
          <w:sz w:val="13"/>
          <w:szCs w:val="13"/>
          <w:color w:val="008000"/>
        </w:rPr>
      </w:pPr>
    </w:p>
    <w:p>
      <w:pPr>
        <w:ind w:left="40" w:right="2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$1.74 to $1.82, inclusive. The reporting person undertakes to provide the Issuer, any security holder of the Issuer, or the staff of the Securities and Exchange Commission, upon request, full information regarding the number of shares sold at each separate price.</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David Horn, by power of</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06/18/2024</w:t>
            </w:r>
          </w:p>
        </w:tc>
        <w:tc>
          <w:tcPr>
            <w:tcW w:w="0" w:type="dxa"/>
            <w:vAlign w:val="bottom"/>
          </w:tcPr>
          <w:p>
            <w:pPr>
              <w:spacing w:after="0"/>
              <w:rPr>
                <w:sz w:val="1"/>
                <w:szCs w:val="1"/>
                <w:color w:val="auto"/>
              </w:rPr>
            </w:pPr>
          </w:p>
        </w:tc>
      </w:tr>
      <w:tr>
        <w:trPr>
          <w:trHeight w:val="87"/>
        </w:trPr>
        <w:tc>
          <w:tcPr>
            <w:tcW w:w="5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w:t>
            </w:r>
          </w:p>
        </w:tc>
        <w:tc>
          <w:tcPr>
            <w:tcW w:w="1380" w:type="dxa"/>
            <w:vAlign w:val="bottom"/>
            <w:tcBorders>
              <w:top w:val="single" w:sz="8" w:color="auto"/>
            </w:tcBorders>
            <w:vMerge w:val="restart"/>
          </w:tcPr>
          <w:p>
            <w:pPr>
              <w:spacing w:after="0"/>
              <w:rPr>
                <w:sz w:val="7"/>
                <w:szCs w:val="7"/>
                <w:color w:val="auto"/>
              </w:rPr>
            </w:pPr>
          </w:p>
        </w:tc>
        <w:tc>
          <w:tcPr>
            <w:tcW w:w="1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580" w:type="dxa"/>
            <w:vAlign w:val="bottom"/>
            <w:tcBorders>
              <w:top w:val="single" w:sz="8" w:color="auto"/>
              <w:bottom w:val="single" w:sz="8" w:color="auto"/>
            </w:tcBorders>
            <w:vMerge w:val="continue"/>
          </w:tcPr>
          <w:p>
            <w:pPr>
              <w:spacing w:after="0"/>
              <w:rPr>
                <w:sz w:val="7"/>
                <w:szCs w:val="7"/>
                <w:color w:val="auto"/>
              </w:rPr>
            </w:pPr>
          </w:p>
        </w:tc>
        <w:tc>
          <w:tcPr>
            <w:tcW w:w="1380" w:type="dxa"/>
            <w:vAlign w:val="bottom"/>
            <w:tcBorders>
              <w:top w:val="single" w:sz="8" w:color="auto"/>
            </w:tcBorders>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19500" TargetMode="External"/><Relationship Id="rId13" Type="http://schemas.openxmlformats.org/officeDocument/2006/relationships/hyperlink" Target="http://www.sec.gov/cgi-bin/browse-edgar?action=getcompany&amp;CIK=00017264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2024-06-18T19:11:40Z</dcterms:created>
  <dcterms:modified xsi:type="dcterms:W3CDTF">2024-06-18T19:11:40Z</dcterms:modified>
</cp:coreProperties>
</file>