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7116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711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48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Chair of the Board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48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5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539,487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135,615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73,425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18.27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02/08/2032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73,425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19.1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02/08/2032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73,425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19.93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02/08/2032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73,425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20.76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02/08/2032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73,425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-3787140</wp:posOffset>
            </wp:positionV>
            <wp:extent cx="29210" cy="3792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79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487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represented by restricted stock units, or RSUs, which vest in four equal annual installments beginning on February 15, 2023.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shares are held of record by Dynamics Group LLC for which the reporting person serves as the sole member.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subject to the option vest on February 8, 2023 and 1/48th of the shares vest monthly thereafter.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53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1" w:right="359" w:bottom="487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48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6852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2022-02-11T23:51:42Z</dcterms:created>
  <dcterms:modified xsi:type="dcterms:W3CDTF">2022-02-11T23:51:42Z</dcterms:modified>
</cp:coreProperties>
</file>