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81578P106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81578P106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Radoff Family Foundation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640,000.00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81578P106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Radoff Bradley Louis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3,615,000.00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3,615,000.00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4,255,000.00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Seer,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3800 Bridge Parkway, Suite 102, Redwood City, California 94065</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Radoff Family Foundation, a Texas non-profit corporation ("Radoff Foundation"), and Bradley L. Radoff. Each of the foregoing is referred to as a "Reporting Person" and collectively as the "Reporting Persons." Mr. Radoff serves as a director of Radoff Foundation and may be deemed to beneficially own the shares of Class A common stock, $0.00001 par value per share (the "Shares") owned directly by Radoff Foundation. Mr. Radoff also serves as an advisor to a certain donor advised charitable account (the "Charitable Account") and may be deemed to beneficially own the Shares held in the Charitable Account.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office of each of the Reporting Persons is 2727 Kirby Drive, Unit 29L, Houston, Texas 77098.</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Radoff Foundation is organized under the laws of the State of Texas and Mr. Radoff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jc w:val="left"/>
              <w:rPr/>
            </w:pPr>
            <w:r>
              <w:rPr/>
              <w:t xml:space="preserve">CUSIP No.: </w:t>
            </w:r>
          </w:p>
          <w:p>
            <w:pPr>
              <w:pStyle w:val="TableContents"/>
              <w:bidi w:val="0"/>
              <w:spacing w:before="0" w:after="0"/>
              <w:jc w:val="left"/>
              <w:rPr/>
            </w:pPr>
            <w:r>
              <w:rPr/>
              <w:t>81578P106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2025: (i) Radoff Foundation directly owned 640,000 Shares; (ii) 30,000 Shares were held in the Charitable Account; and (iii) Mr. Radoff directly owned 3,585,000 Shares. Mr. Radoff, (i) as a director of Radoff Foundation, may be deemed the beneficial owner of the 640,000 Shares owned by Radoff Foundation, and (ii) as an advisor to the Charitable Account, may be deemed the beneficial owner of the 30,000 Shares held in the Charitable Account, which together with the 3,585,000 Shares he directly owned, constitutes an aggregate of 4,255,000 Shares beneficially owned by Mr. Radoff. The filing of this Schedule 13G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55,737,066 Shares outstanding as of February 26, 2025, which is the total number of Shares outstanding as disclosed in the Issuer's Annual Report on Form 10-K filed with the Securities and Exchange Commission on March 3, 2025. As of the close of business on March 31, 2025, (i) Radoff Foundation beneficially owned approximately 1.1% of the outstanding Shares, (ii) approximately 0.05% of the outstanding Shares were held in the Charitable Account and (iii) Mr. Radoff may have been deemed to beneficially own approximately 7.6%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on February 12, 2025.</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Radoff Family Foundation</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Bradley L. Radoff</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Bradley L. Radoff, Director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Radoff Bradley Louis</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3"/>
        <w:gridCol w:w="4412"/>
      </w:tblGrid>
      <w:tr>
        <w:trPr/>
        <w:tc>
          <w:tcPr>
            <w:tcW w:w="57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Bradley L. Radoff</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Bradley L. Radoff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1337</Words>
  <Characters>6868</Characters>
  <CharactersWithSpaces>8171</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