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50800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69850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September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Seer,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98" w:lineRule="exact"/>
        <w:rPr>
          <w:sz w:val="24"/>
          <w:szCs w:val="24"/>
          <w:color w:val="auto"/>
        </w:rPr>
      </w:pPr>
    </w:p>
    <w:tbl>
      <w:tblPr>
        <w:tblLayout w:type="fixed"/>
        <w:tblInd w:w="860" w:type="dxa"/>
        <w:tblCellMar>
          <w:top w:w="0" w:type="dxa"/>
          <w:left w:w="0" w:type="dxa"/>
          <w:bottom w:w="0" w:type="dxa"/>
          <w:right w:w="0" w:type="dxa"/>
        </w:tblCellMar>
      </w:tblPr>
      <w:tr>
        <w:trPr>
          <w:trHeight w:val="190"/>
        </w:trPr>
        <w:tc>
          <w:tcPr>
            <w:tcW w:w="232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040" w:type="dxa"/>
            <w:vAlign w:val="bottom"/>
          </w:tcPr>
          <w:p>
            <w:pPr>
              <w:jc w:val="right"/>
              <w:ind w:right="2221"/>
              <w:spacing w:after="0"/>
              <w:rPr>
                <w:sz w:val="20"/>
                <w:szCs w:val="20"/>
                <w:color w:val="auto"/>
              </w:rPr>
            </w:pPr>
            <w:r>
              <w:rPr>
                <w:rFonts w:ascii="Times New Roman" w:cs="Times New Roman" w:eastAsia="Times New Roman" w:hAnsi="Times New Roman"/>
                <w:sz w:val="14"/>
                <w:szCs w:val="14"/>
                <w:b w:val="1"/>
                <w:bCs w:val="1"/>
                <w:color w:val="auto"/>
              </w:rPr>
              <w:t>001-39747</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229"/>
        </w:trPr>
        <w:tc>
          <w:tcPr>
            <w:tcW w:w="232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30"/>
        </w:trPr>
        <w:tc>
          <w:tcPr>
            <w:tcW w:w="232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04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7"/>
        </w:trPr>
        <w:tc>
          <w:tcPr>
            <w:tcW w:w="2320" w:type="dxa"/>
            <w:vAlign w:val="bottom"/>
          </w:tcPr>
          <w:p>
            <w:pPr>
              <w:spacing w:after="0"/>
              <w:rPr>
                <w:sz w:val="24"/>
                <w:szCs w:val="24"/>
                <w:color w:val="auto"/>
              </w:rPr>
            </w:pPr>
          </w:p>
        </w:tc>
        <w:tc>
          <w:tcPr>
            <w:tcW w:w="504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3800 Bridge Parkway, Suite 102</w:t>
            </w:r>
          </w:p>
        </w:tc>
        <w:tc>
          <w:tcPr>
            <w:tcW w:w="1800" w:type="dxa"/>
            <w:vAlign w:val="bottom"/>
          </w:tcPr>
          <w:p>
            <w:pPr>
              <w:spacing w:after="0"/>
              <w:rPr>
                <w:sz w:val="24"/>
                <w:szCs w:val="24"/>
                <w:color w:val="auto"/>
              </w:rPr>
            </w:pPr>
          </w:p>
        </w:tc>
      </w:tr>
      <w:tr>
        <w:trPr>
          <w:trHeight w:val="297"/>
        </w:trPr>
        <w:tc>
          <w:tcPr>
            <w:tcW w:w="2320" w:type="dxa"/>
            <w:vAlign w:val="bottom"/>
          </w:tcPr>
          <w:p>
            <w:pPr>
              <w:spacing w:after="0"/>
              <w:rPr>
                <w:sz w:val="24"/>
                <w:szCs w:val="24"/>
                <w:color w:val="auto"/>
              </w:rPr>
            </w:pPr>
          </w:p>
        </w:tc>
        <w:tc>
          <w:tcPr>
            <w:tcW w:w="5040" w:type="dxa"/>
            <w:vAlign w:val="bottom"/>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tc>
        <w:tc>
          <w:tcPr>
            <w:tcW w:w="1800" w:type="dxa"/>
            <w:vAlign w:val="bottom"/>
          </w:tcPr>
          <w:p>
            <w:pPr>
              <w:spacing w:after="0"/>
              <w:rPr>
                <w:sz w:val="24"/>
                <w:szCs w:val="24"/>
                <w:color w:val="auto"/>
              </w:rPr>
            </w:pPr>
          </w:p>
        </w:tc>
      </w:tr>
      <w:tr>
        <w:trPr>
          <w:trHeight w:val="233"/>
        </w:trPr>
        <w:tc>
          <w:tcPr>
            <w:tcW w:w="2320" w:type="dxa"/>
            <w:vAlign w:val="bottom"/>
          </w:tcPr>
          <w:p>
            <w:pPr>
              <w:spacing w:after="0"/>
              <w:rPr>
                <w:sz w:val="20"/>
                <w:szCs w:val="20"/>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800" w:type="dxa"/>
            <w:vAlign w:val="bottom"/>
          </w:tcPr>
          <w:p>
            <w:pPr>
              <w:spacing w:after="0"/>
              <w:rPr>
                <w:sz w:val="20"/>
                <w:szCs w:val="20"/>
                <w:color w:val="auto"/>
              </w:rPr>
            </w:pPr>
          </w:p>
        </w:tc>
      </w:tr>
      <w:tr>
        <w:trPr>
          <w:trHeight w:val="242"/>
        </w:trPr>
        <w:tc>
          <w:tcPr>
            <w:tcW w:w="2320" w:type="dxa"/>
            <w:vAlign w:val="bottom"/>
          </w:tcPr>
          <w:p>
            <w:pPr>
              <w:spacing w:after="0"/>
              <w:rPr>
                <w:sz w:val="21"/>
                <w:szCs w:val="21"/>
                <w:color w:val="auto"/>
              </w:rPr>
            </w:pPr>
          </w:p>
        </w:tc>
        <w:tc>
          <w:tcPr>
            <w:tcW w:w="5040" w:type="dxa"/>
            <w:vAlign w:val="bottom"/>
          </w:tcPr>
          <w:p>
            <w:pPr>
              <w:jc w:val="right"/>
              <w:ind w:right="2021"/>
              <w:spacing w:after="0"/>
              <w:rPr>
                <w:sz w:val="20"/>
                <w:szCs w:val="20"/>
                <w:color w:val="auto"/>
              </w:rPr>
            </w:pPr>
            <w:r>
              <w:rPr>
                <w:rFonts w:ascii="Times New Roman" w:cs="Times New Roman" w:eastAsia="Times New Roman" w:hAnsi="Times New Roman"/>
                <w:sz w:val="18"/>
                <w:szCs w:val="18"/>
                <w:b w:val="1"/>
                <w:bCs w:val="1"/>
                <w:color w:val="auto"/>
              </w:rPr>
              <w:t>650-453-0000</w:t>
            </w:r>
          </w:p>
        </w:tc>
        <w:tc>
          <w:tcPr>
            <w:tcW w:w="1800" w:type="dxa"/>
            <w:vAlign w:val="bottom"/>
          </w:tcPr>
          <w:p>
            <w:pPr>
              <w:spacing w:after="0"/>
              <w:rPr>
                <w:sz w:val="21"/>
                <w:szCs w:val="21"/>
                <w:color w:val="auto"/>
              </w:rPr>
            </w:pPr>
          </w:p>
        </w:tc>
      </w:tr>
      <w:tr>
        <w:trPr>
          <w:trHeight w:val="190"/>
        </w:trPr>
        <w:tc>
          <w:tcPr>
            <w:tcW w:w="2320" w:type="dxa"/>
            <w:vAlign w:val="bottom"/>
          </w:tcPr>
          <w:p>
            <w:pPr>
              <w:spacing w:after="0"/>
              <w:rPr>
                <w:sz w:val="16"/>
                <w:szCs w:val="16"/>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00" w:type="dxa"/>
            <w:vAlign w:val="bottom"/>
          </w:tcPr>
          <w:p>
            <w:pPr>
              <w:spacing w:after="0"/>
              <w:rPr>
                <w:sz w:val="16"/>
                <w:szCs w:val="16"/>
                <w:color w:val="auto"/>
              </w:rPr>
            </w:pPr>
          </w:p>
        </w:tc>
      </w:tr>
      <w:tr>
        <w:trPr>
          <w:trHeight w:val="255"/>
        </w:trPr>
        <w:tc>
          <w:tcPr>
            <w:tcW w:w="2320" w:type="dxa"/>
            <w:vAlign w:val="bottom"/>
          </w:tcPr>
          <w:p>
            <w:pPr>
              <w:spacing w:after="0"/>
              <w:rPr>
                <w:sz w:val="22"/>
                <w:szCs w:val="22"/>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800" w:type="dxa"/>
            <w:vAlign w:val="bottom"/>
          </w:tcPr>
          <w:p>
            <w:pPr>
              <w:spacing w:after="0"/>
              <w:rPr>
                <w:sz w:val="22"/>
                <w:szCs w:val="22"/>
                <w:color w:val="auto"/>
              </w:rPr>
            </w:pPr>
          </w:p>
        </w:tc>
      </w:tr>
      <w:tr>
        <w:trPr>
          <w:trHeight w:val="190"/>
        </w:trPr>
        <w:tc>
          <w:tcPr>
            <w:tcW w:w="2320" w:type="dxa"/>
            <w:vAlign w:val="bottom"/>
          </w:tcPr>
          <w:p>
            <w:pPr>
              <w:spacing w:after="0"/>
              <w:rPr>
                <w:sz w:val="16"/>
                <w:szCs w:val="16"/>
                <w:color w:val="auto"/>
              </w:rPr>
            </w:pPr>
          </w:p>
        </w:tc>
        <w:tc>
          <w:tcPr>
            <w:tcW w:w="50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reports)</w:t>
            </w:r>
          </w:p>
        </w:tc>
        <w:tc>
          <w:tcPr>
            <w:tcW w:w="18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23495</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93"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0"/>
        </w:trPr>
        <w:tc>
          <w:tcPr>
            <w:tcW w:w="4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SEER</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29"/>
        </w:trPr>
        <w:tc>
          <w:tcPr>
            <w:tcW w:w="448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33"/>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bl>
    <w:p>
      <w:pPr>
        <w:spacing w:after="0" w:line="49" w:lineRule="exact"/>
        <w:rPr>
          <w:sz w:val="24"/>
          <w:szCs w:val="24"/>
          <w:color w:val="auto"/>
        </w:rPr>
      </w:pPr>
    </w:p>
    <w:p>
      <w:pPr>
        <w:ind w:right="540"/>
        <w:spacing w:after="0"/>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ind w:right="3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1082040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1160" w:right="40" w:hanging="1133"/>
        <w:spacing w:after="0" w:line="286" w:lineRule="auto"/>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September 2, 2025, the board of directors (the “Board”) of Seer, Inc. (the “Company”) appointed Isaac Ro to the Board to serve until the Company’s next annual meeting of stockholders and until his successor is elected and qualified or until his earlier death, resignation or removal. In connection with his appointment, Mr. Ro was also appointed as a member of the Audit Committee of the Board and as the “audit committee financial expert” within the meaning of Item 407(d)(5)(ii) of Regulation S-K and, accordingly, he also satisfies the financial sophistication requirement in the listing rules of The Nasdaq Stock Market LLC (the “Nasdaq Listing Rules”). The Company believes that Mr. Ro’s appointment resolves any potential non-compliance with the applicable Nasdaq Listing Rules.</w:t>
      </w:r>
    </w:p>
    <w:p>
      <w:pPr>
        <w:spacing w:after="0" w:line="18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accordance with the Company’s outside director compensation policy (the “Policy”), Mr. Ro will receive annual cash compensation in accordance with the Policy for his service on the Board and on those committees of the Board on which he serves. In addition, in accordance with the Policy, on September 2, 2025, Mr. Ro was automatically granted an initial award of a stock option to purchase 61,000 shares of the Company’s common stock and an award of restricted stock units covering 41,000 shares of the Company’s common stock (collectively, the “Initial Award”). The Initial Award is scheduled to vest in three equal annual installments following Mr. Ro’s start date, on the same day of the month as the start date, subject to continued services to the Company through the applicable vesting dates. The Initial Award to Mr. Ro was granted under and subject to the terms of the Company’s 2020 Equity Incentive Plan. Furthermore, Mr. Ro will be eligible to receive automatic awards of a stock option and restricted stock units on the date of each of the Company’s annual meeting of stockholders, subject to continued service on such dates. The Policy provides that each equity award granted to Mr. Ro while serving as a non-employee director will vest in full as of immediately prior to a change in control, provided such individual continue to be a non-employee director through the date of such change in control.</w:t>
      </w:r>
    </w:p>
    <w:p>
      <w:pPr>
        <w:spacing w:after="0" w:line="194"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Mr. Ro also entered into the Company’s standard form of indemnification agreement, a copy of which has been filed as Exhibit 10.1 to the Company’s Registration Statement on Form S-1 (File No. 333-250035) filed with the Securities and Exchange Commission on November 12, 2020.</w:t>
      </w:r>
    </w:p>
    <w:p>
      <w:pPr>
        <w:spacing w:after="0" w:line="16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There is no arrangement or understanding between Mr. Ro and any other persons pursuant to which Mr. Ro was elected as a director. In addition, Mr. Ro is not a party to any transaction, or series of transactions, required to be disclosed pursuant to Item 404(a) of Regulation S-K.</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On September 2, 2025, the Company issued a press release announcing the appointment of Mr. Ro as a director. The press release is attached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7"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20" w:type="dxa"/>
            <w:vAlign w:val="bottom"/>
          </w:tcPr>
          <w:p>
            <w:pPr>
              <w:spacing w:after="0"/>
              <w:rPr>
                <w:sz w:val="20"/>
                <w:szCs w:val="20"/>
                <w:color w:val="auto"/>
              </w:rPr>
            </w:pPr>
          </w:p>
        </w:tc>
        <w:tc>
          <w:tcPr>
            <w:tcW w:w="102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662"/>
        </w:trPr>
        <w:tc>
          <w:tcPr>
            <w:tcW w:w="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20" w:type="dxa"/>
            <w:vAlign w:val="bottom"/>
          </w:tcPr>
          <w:p>
            <w:pPr>
              <w:spacing w:after="0"/>
              <w:rPr>
                <w:sz w:val="24"/>
                <w:szCs w:val="24"/>
                <w:color w:val="auto"/>
              </w:rPr>
            </w:pPr>
          </w:p>
        </w:tc>
        <w:tc>
          <w:tcPr>
            <w:tcW w:w="10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20" w:type="dxa"/>
            <w:vAlign w:val="bottom"/>
            <w:gridSpan w:val="3"/>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20" w:type="dxa"/>
            <w:vAlign w:val="bottom"/>
          </w:tcPr>
          <w:p>
            <w:pPr>
              <w:spacing w:after="0"/>
              <w:rPr>
                <w:sz w:val="14"/>
                <w:szCs w:val="14"/>
                <w:color w:val="auto"/>
              </w:rPr>
            </w:pPr>
          </w:p>
        </w:tc>
        <w:tc>
          <w:tcPr>
            <w:tcW w:w="102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Press Release dated September 2, 2025.</w:t>
            </w:r>
          </w:p>
        </w:tc>
      </w:tr>
      <w:tr>
        <w:trPr>
          <w:trHeight w:val="237"/>
        </w:trPr>
        <w:tc>
          <w:tcPr>
            <w:tcW w:w="300" w:type="dxa"/>
            <w:vAlign w:val="bottom"/>
          </w:tcPr>
          <w:p>
            <w:pPr>
              <w:spacing w:after="0"/>
              <w:rPr>
                <w:sz w:val="20"/>
                <w:szCs w:val="20"/>
                <w:color w:val="auto"/>
              </w:rPr>
            </w:pPr>
          </w:p>
        </w:tc>
        <w:tc>
          <w:tcPr>
            <w:tcW w:w="32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Cover Page from this Current Report on Form 8-K, formatted in Inline XBRL.</w:t>
            </w:r>
          </w:p>
        </w:tc>
      </w:tr>
      <w:tr>
        <w:trPr>
          <w:trHeight w:val="1627"/>
        </w:trPr>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59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SEER, INC.</w:t>
            </w:r>
          </w:p>
        </w:tc>
      </w:tr>
      <w:tr>
        <w:trPr>
          <w:trHeight w:val="432"/>
        </w:trPr>
        <w:tc>
          <w:tcPr>
            <w:tcW w:w="528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Date: September 5, 2025</w:t>
            </w:r>
          </w:p>
        </w:tc>
        <w:tc>
          <w:tcPr>
            <w:tcW w:w="5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By:   /s/ David Horn</w:t>
            </w:r>
          </w:p>
        </w:tc>
      </w:tr>
      <w:tr>
        <w:trPr>
          <w:trHeight w:val="191"/>
        </w:trPr>
        <w:tc>
          <w:tcPr>
            <w:tcW w:w="5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Horn</w:t>
            </w:r>
          </w:p>
        </w:tc>
      </w:tr>
      <w:tr>
        <w:trPr>
          <w:trHeight w:val="234"/>
        </w:trPr>
        <w:tc>
          <w:tcPr>
            <w:tcW w:w="5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1627"/>
        </w:trPr>
        <w:tc>
          <w:tcPr>
            <w:tcW w:w="5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Seer Appoints Isaac Ro to its Board of Directors</w:t>
      </w:r>
    </w:p>
    <w:p>
      <w:pPr>
        <w:spacing w:after="0" w:line="24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color w:val="auto"/>
        </w:rPr>
        <w:t xml:space="preserve">REDWOOD CITY, Calif., </w:t>
      </w:r>
      <w:r>
        <w:rPr>
          <w:rFonts w:ascii="Arial" w:cs="Arial" w:eastAsia="Arial" w:hAnsi="Arial"/>
          <w:sz w:val="18"/>
          <w:szCs w:val="18"/>
          <w:color w:val="auto"/>
        </w:rPr>
        <w:t>Sept. 2, 2025 -- Seer, Inc. (Nasdaq: SEER), the pioneer and trusted partner for deep, unbiased proteomic insights,</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it has appointed Isaac Ro to serve on its Board of Directors.</w:t>
      </w:r>
    </w:p>
    <w:p>
      <w:pPr>
        <w:spacing w:after="0" w:line="14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“We are excited to welcome Isaac to our board,” said Omid Farokhzad, Chair and CEO of Seer. “Isaac brings a rare combination of financial leadership and deep sector experience across life science tools, diagnostics, and the broader healthcare ecosystem. His proven track record of guiding companies through transformative growth will be invaluable as we continue to execute on key milestones and accelerate the impact of our platform.”</w:t>
      </w:r>
    </w:p>
    <w:p>
      <w:pPr>
        <w:spacing w:after="0" w:line="16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“I’m looking forward to working with the Seer team as they push the boundaries of deep, unbiased proteomics,” said Isaac Ro. “Seer has built an impressive innovation engine with significant runway ahead as they begin to unlock the full potential of their platform. I’m excited to support their efforts to deepen our understanding of the proteome and expand our understanding of human health.”</w:t>
      </w:r>
    </w:p>
    <w:p>
      <w:pPr>
        <w:spacing w:after="0" w:line="15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Mr. Ro is a Partner at Catalio Capital Management, where he has led multiple venture and private credit investments in breakthrough life science companies. He currently serves on the boards of PinkDx and PrognomiQ. Previously, he was Executive Chairman of Haystack Oncology, where he led the company through its successful acquisition by Quest Diagnostics in 2023. Prior to Catalio, Mr. Ro served as Chief Financial Officer of Sema4 (NASDAQ: WGS), where he guided the company through its public listing in 2021 and the acquisition of GeneDx. He also held the role of Chief Financial Officer of Thrive Earlier Detection, where he led the company’s launch and subsequent sale to Exact Sciences in 2020. Prior to Thrive, Mr. Ro led the U.S. Medical Technology and Life Science Tools equity research teams at Goldman Sachs from 2010 to 2019, and held a similar role at Leerink Partners prior to that. Mr. Ro earned his B.A. in History and was Pre-Med at Middlebury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3731260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2305685" cy="2322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05685" cy="2322830"/>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Seer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Seer, Inc. (Nasdaq: SEER) sets the standard in deep, unbiased proteomics—delivering insights with scale, speed, precision, and reproducibility. Seer’s Proteograph Product Suite uniquely integrates proprietary engineered nanoparticles, streamlined automation instrumentation, optimized consumables, and advanced analytical software to solve challenges conventional methods have failed to overcome. Traditional proteomic technologies have struggled with inconsistent data, limited throughput, and prohibitive complexity, but Seer’s robust and scalable workflow consistently reveals biological insights that others cannot. Seer’s products are for research use only and are not intended for diagnostic procedures. For more information about Seer’s differentiated approach and ongoing leadership in proteomics, visit </w:t>
      </w:r>
      <w:r>
        <w:rPr>
          <w:rFonts w:ascii="Arial" w:cs="Arial" w:eastAsia="Arial" w:hAnsi="Arial"/>
          <w:sz w:val="18"/>
          <w:szCs w:val="18"/>
          <w:color w:val="467886"/>
        </w:rPr>
        <w:t>www.seer.bio</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Inquiries: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Carrie Mendivil</w:t>
      </w:r>
    </w:p>
    <w:p>
      <w:pPr>
        <w:spacing w:after="0"/>
        <w:rPr>
          <w:sz w:val="20"/>
          <w:szCs w:val="20"/>
          <w:color w:val="auto"/>
        </w:rPr>
      </w:pPr>
      <w:r>
        <w:rPr>
          <w:rFonts w:ascii="Arial" w:cs="Arial" w:eastAsia="Arial" w:hAnsi="Arial"/>
          <w:sz w:val="18"/>
          <w:szCs w:val="18"/>
          <w:color w:val="467886"/>
        </w:rPr>
        <w:t>investor@seer.bio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Consort Partners</w:t>
      </w:r>
    </w:p>
    <w:p>
      <w:pPr>
        <w:spacing w:after="0"/>
        <w:rPr>
          <w:sz w:val="20"/>
          <w:szCs w:val="20"/>
          <w:color w:val="auto"/>
        </w:rPr>
      </w:pPr>
      <w:r>
        <w:rPr>
          <w:rFonts w:ascii="Arial" w:cs="Arial" w:eastAsia="Arial" w:hAnsi="Arial"/>
          <w:sz w:val="18"/>
          <w:szCs w:val="18"/>
          <w:color w:val="467886"/>
        </w:rPr>
        <w:t>pr@seer.bio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2025-09-05T15:17:12Z</dcterms:created>
  <dcterms:modified xsi:type="dcterms:W3CDTF">2025-09-05T15:17:12Z</dcterms:modified>
</cp:coreProperties>
</file>