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SEER,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81578P106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8,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CUSIP No. 81578P106</w:t>
            </w:r>
          </w:p>
        </w:tc>
        <w:tc>
          <w:tcPr>
            <w:tcW w:w="2340" w:type="dxa"/>
            <w:vAlign w:val="bottom"/>
          </w:tcPr>
          <w:p>
            <w:pPr>
              <w:ind w:left="204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840" w:hanging="59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554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554980"/>
                    </a:xfrm>
                    <a:prstGeom prst="rect">
                      <a:avLst/>
                    </a:prstGeom>
                    <a:noFill/>
                  </pic:spPr>
                </pic:pic>
              </a:graphicData>
            </a:graphic>
          </wp:anchor>
        </w:drawing>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Invus Public Equities, L.P.</w:t>
      </w:r>
    </w:p>
    <w:p>
      <w:pPr>
        <w:spacing w:after="0" w:line="24" w:lineRule="exact"/>
        <w:rPr>
          <w:sz w:val="20"/>
          <w:szCs w:val="20"/>
          <w:color w:val="auto"/>
        </w:rPr>
      </w:pPr>
    </w:p>
    <w:p>
      <w:pPr>
        <w:ind w:left="840" w:hanging="597"/>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40"/>
        <w:spacing w:after="0" w:line="207" w:lineRule="exact"/>
        <w:tabs>
          <w:tab w:leader="none" w:pos="16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40" w:hanging="597"/>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840" w:hanging="597"/>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Bermuda</w:t>
      </w:r>
    </w:p>
    <w:p>
      <w:pPr>
        <w:spacing w:after="0" w:line="24"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SHARES</w:t>
            </w:r>
          </w:p>
        </w:tc>
        <w:tc>
          <w:tcPr>
            <w:tcW w:w="30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3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21"/>
                <w:szCs w:val="21"/>
                <w:color w:val="auto"/>
              </w:rPr>
            </w:pPr>
          </w:p>
        </w:tc>
        <w:tc>
          <w:tcPr>
            <w:tcW w:w="9140" w:type="dxa"/>
            <w:vAlign w:val="bottom"/>
          </w:tcPr>
          <w:p>
            <w:pPr>
              <w:ind w:left="8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840" w:hanging="597"/>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5,840,911</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18"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10.9%</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020"/>
          </w:cols>
          <w:pgMar w:left="440" w:top="274"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CUSIP No. 81578P106</w:t>
            </w:r>
          </w:p>
        </w:tc>
        <w:tc>
          <w:tcPr>
            <w:tcW w:w="2340" w:type="dxa"/>
            <w:vAlign w:val="bottom"/>
          </w:tcPr>
          <w:p>
            <w:pPr>
              <w:ind w:left="204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840" w:hanging="597"/>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554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554980"/>
                    </a:xfrm>
                    <a:prstGeom prst="rect">
                      <a:avLst/>
                    </a:prstGeom>
                    <a:noFill/>
                  </pic:spPr>
                </pic:pic>
              </a:graphicData>
            </a:graphic>
          </wp:anchor>
        </w:drawing>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Invus Public Equities Advisors, LLC</w:t>
      </w:r>
    </w:p>
    <w:p>
      <w:pPr>
        <w:spacing w:after="0" w:line="24" w:lineRule="exact"/>
        <w:rPr>
          <w:sz w:val="20"/>
          <w:szCs w:val="20"/>
          <w:color w:val="auto"/>
        </w:rPr>
      </w:pPr>
    </w:p>
    <w:p>
      <w:pPr>
        <w:ind w:left="840" w:hanging="597"/>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40"/>
        <w:spacing w:after="0" w:line="207" w:lineRule="exact"/>
        <w:tabs>
          <w:tab w:leader="none" w:pos="16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40" w:hanging="597"/>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840" w:hanging="59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SHARES</w:t>
            </w:r>
          </w:p>
        </w:tc>
        <w:tc>
          <w:tcPr>
            <w:tcW w:w="30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3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21"/>
                <w:szCs w:val="21"/>
                <w:color w:val="auto"/>
              </w:rPr>
            </w:pPr>
          </w:p>
        </w:tc>
        <w:tc>
          <w:tcPr>
            <w:tcW w:w="9140" w:type="dxa"/>
            <w:vAlign w:val="bottom"/>
          </w:tcPr>
          <w:p>
            <w:pPr>
              <w:ind w:left="8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840" w:hanging="597"/>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5,840,911</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18"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10.9%</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020"/>
          </w:cols>
          <w:pgMar w:left="440" w:top="274"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CUSIP No. 81578P106</w:t>
            </w:r>
          </w:p>
        </w:tc>
        <w:tc>
          <w:tcPr>
            <w:tcW w:w="2340" w:type="dxa"/>
            <w:vAlign w:val="bottom"/>
          </w:tcPr>
          <w:p>
            <w:pPr>
              <w:ind w:left="204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840" w:hanging="597"/>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554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554980"/>
                    </a:xfrm>
                    <a:prstGeom prst="rect">
                      <a:avLst/>
                    </a:prstGeom>
                    <a:noFill/>
                  </pic:spPr>
                </pic:pic>
              </a:graphicData>
            </a:graphic>
          </wp:anchor>
        </w:drawing>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Artal Treasury Limited</w:t>
      </w:r>
    </w:p>
    <w:p>
      <w:pPr>
        <w:spacing w:after="0" w:line="24" w:lineRule="exact"/>
        <w:rPr>
          <w:sz w:val="20"/>
          <w:szCs w:val="20"/>
          <w:color w:val="auto"/>
        </w:rPr>
      </w:pPr>
    </w:p>
    <w:p>
      <w:pPr>
        <w:ind w:left="840" w:hanging="59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40"/>
        <w:spacing w:after="0" w:line="207" w:lineRule="exact"/>
        <w:tabs>
          <w:tab w:leader="none" w:pos="16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40" w:hanging="597"/>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840" w:hanging="597"/>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Guernsey</w:t>
      </w:r>
    </w:p>
    <w:p>
      <w:pPr>
        <w:spacing w:after="0" w:line="24"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SHARES</w:t>
            </w:r>
          </w:p>
        </w:tc>
        <w:tc>
          <w:tcPr>
            <w:tcW w:w="30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3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21"/>
                <w:szCs w:val="21"/>
                <w:color w:val="auto"/>
              </w:rPr>
            </w:pPr>
          </w:p>
        </w:tc>
        <w:tc>
          <w:tcPr>
            <w:tcW w:w="9140" w:type="dxa"/>
            <w:vAlign w:val="bottom"/>
          </w:tcPr>
          <w:p>
            <w:pPr>
              <w:ind w:left="8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840" w:hanging="597"/>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5,840,911</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18"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10.9%</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020"/>
          </w:cols>
          <w:pgMar w:left="440" w:top="274"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CUSIP No. 81578P106</w:t>
            </w:r>
          </w:p>
        </w:tc>
        <w:tc>
          <w:tcPr>
            <w:tcW w:w="2340" w:type="dxa"/>
            <w:vAlign w:val="bottom"/>
          </w:tcPr>
          <w:p>
            <w:pPr>
              <w:ind w:left="204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840" w:hanging="597"/>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554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554980"/>
                    </a:xfrm>
                    <a:prstGeom prst="rect">
                      <a:avLst/>
                    </a:prstGeom>
                    <a:noFill/>
                  </pic:spPr>
                </pic:pic>
              </a:graphicData>
            </a:graphic>
          </wp:anchor>
        </w:drawing>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Artal International S.C.A.</w:t>
      </w:r>
    </w:p>
    <w:p>
      <w:pPr>
        <w:spacing w:after="0" w:line="24" w:lineRule="exact"/>
        <w:rPr>
          <w:sz w:val="20"/>
          <w:szCs w:val="20"/>
          <w:color w:val="auto"/>
        </w:rPr>
      </w:pPr>
    </w:p>
    <w:p>
      <w:pPr>
        <w:ind w:left="840" w:hanging="59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40"/>
        <w:spacing w:after="0" w:line="207" w:lineRule="exact"/>
        <w:tabs>
          <w:tab w:leader="none" w:pos="16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40" w:hanging="597"/>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840" w:hanging="597"/>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Luxembourg</w:t>
      </w:r>
    </w:p>
    <w:p>
      <w:pPr>
        <w:spacing w:after="0" w:line="24"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SHARES</w:t>
            </w:r>
          </w:p>
        </w:tc>
        <w:tc>
          <w:tcPr>
            <w:tcW w:w="30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3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21"/>
                <w:szCs w:val="21"/>
                <w:color w:val="auto"/>
              </w:rPr>
            </w:pPr>
          </w:p>
        </w:tc>
        <w:tc>
          <w:tcPr>
            <w:tcW w:w="9140" w:type="dxa"/>
            <w:vAlign w:val="bottom"/>
          </w:tcPr>
          <w:p>
            <w:pPr>
              <w:ind w:left="8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840" w:hanging="597"/>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5,840,911</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18"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10.9%</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020"/>
          </w:cols>
          <w:pgMar w:left="440" w:top="274"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CUSIP No. 81578P106</w:t>
            </w:r>
          </w:p>
        </w:tc>
        <w:tc>
          <w:tcPr>
            <w:tcW w:w="2340" w:type="dxa"/>
            <w:vAlign w:val="bottom"/>
          </w:tcPr>
          <w:p>
            <w:pPr>
              <w:ind w:left="204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840" w:hanging="59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554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5554980"/>
                    </a:xfrm>
                    <a:prstGeom prst="rect">
                      <a:avLst/>
                    </a:prstGeom>
                    <a:noFill/>
                  </pic:spPr>
                </pic:pic>
              </a:graphicData>
            </a:graphic>
          </wp:anchor>
        </w:drawing>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Artal International Management S.A.</w:t>
      </w:r>
    </w:p>
    <w:p>
      <w:pPr>
        <w:spacing w:after="0" w:line="24" w:lineRule="exact"/>
        <w:rPr>
          <w:sz w:val="20"/>
          <w:szCs w:val="20"/>
          <w:color w:val="auto"/>
        </w:rPr>
      </w:pPr>
    </w:p>
    <w:p>
      <w:pPr>
        <w:ind w:left="840" w:hanging="597"/>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40"/>
        <w:spacing w:after="0" w:line="207" w:lineRule="exact"/>
        <w:tabs>
          <w:tab w:leader="none" w:pos="16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40" w:hanging="597"/>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840" w:hanging="59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Luxembourg</w:t>
      </w:r>
    </w:p>
    <w:p>
      <w:pPr>
        <w:spacing w:after="0" w:line="24"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SHARES</w:t>
            </w:r>
          </w:p>
        </w:tc>
        <w:tc>
          <w:tcPr>
            <w:tcW w:w="30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3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21"/>
                <w:szCs w:val="21"/>
                <w:color w:val="auto"/>
              </w:rPr>
            </w:pPr>
          </w:p>
        </w:tc>
        <w:tc>
          <w:tcPr>
            <w:tcW w:w="9140" w:type="dxa"/>
            <w:vAlign w:val="bottom"/>
          </w:tcPr>
          <w:p>
            <w:pPr>
              <w:ind w:left="8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840" w:hanging="59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5,840,911</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18"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10.9%</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020"/>
          </w:cols>
          <w:pgMar w:left="440" w:top="274"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CUSIP No. 81578P106</w:t>
            </w:r>
          </w:p>
        </w:tc>
        <w:tc>
          <w:tcPr>
            <w:tcW w:w="2340" w:type="dxa"/>
            <w:vAlign w:val="bottom"/>
          </w:tcPr>
          <w:p>
            <w:pPr>
              <w:ind w:left="204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840" w:hanging="597"/>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554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554980"/>
                    </a:xfrm>
                    <a:prstGeom prst="rect">
                      <a:avLst/>
                    </a:prstGeom>
                    <a:noFill/>
                  </pic:spPr>
                </pic:pic>
              </a:graphicData>
            </a:graphic>
          </wp:anchor>
        </w:drawing>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Artal Group S.A.</w:t>
      </w:r>
    </w:p>
    <w:p>
      <w:pPr>
        <w:spacing w:after="0" w:line="24" w:lineRule="exact"/>
        <w:rPr>
          <w:sz w:val="20"/>
          <w:szCs w:val="20"/>
          <w:color w:val="auto"/>
        </w:rPr>
      </w:pPr>
    </w:p>
    <w:p>
      <w:pPr>
        <w:ind w:left="840" w:hanging="597"/>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40"/>
        <w:spacing w:after="0" w:line="207" w:lineRule="exact"/>
        <w:tabs>
          <w:tab w:leader="none" w:pos="16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40" w:hanging="597"/>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840" w:hanging="597"/>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Luxembourg</w:t>
      </w:r>
    </w:p>
    <w:p>
      <w:pPr>
        <w:spacing w:after="0" w:line="24"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SHARES</w:t>
            </w:r>
          </w:p>
        </w:tc>
        <w:tc>
          <w:tcPr>
            <w:tcW w:w="30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3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21"/>
                <w:szCs w:val="21"/>
                <w:color w:val="auto"/>
              </w:rPr>
            </w:pPr>
          </w:p>
        </w:tc>
        <w:tc>
          <w:tcPr>
            <w:tcW w:w="9140" w:type="dxa"/>
            <w:vAlign w:val="bottom"/>
          </w:tcPr>
          <w:p>
            <w:pPr>
              <w:ind w:left="8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840" w:hanging="597"/>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5,840,911</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18"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10.9%</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020"/>
          </w:cols>
          <w:pgMar w:left="440" w:top="274"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CUSIP No. 81578P106</w:t>
            </w:r>
          </w:p>
        </w:tc>
        <w:tc>
          <w:tcPr>
            <w:tcW w:w="2340" w:type="dxa"/>
            <w:vAlign w:val="bottom"/>
          </w:tcPr>
          <w:p>
            <w:pPr>
              <w:ind w:left="204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840" w:hanging="59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554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5554980"/>
                    </a:xfrm>
                    <a:prstGeom prst="rect">
                      <a:avLst/>
                    </a:prstGeom>
                    <a:noFill/>
                  </pic:spPr>
                </pic:pic>
              </a:graphicData>
            </a:graphic>
          </wp:anchor>
        </w:drawing>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Westend S.A.</w:t>
      </w:r>
    </w:p>
    <w:p>
      <w:pPr>
        <w:spacing w:after="0" w:line="24" w:lineRule="exact"/>
        <w:rPr>
          <w:sz w:val="20"/>
          <w:szCs w:val="20"/>
          <w:color w:val="auto"/>
        </w:rPr>
      </w:pPr>
    </w:p>
    <w:p>
      <w:pPr>
        <w:ind w:left="840" w:hanging="597"/>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40"/>
        <w:spacing w:after="0" w:line="207" w:lineRule="exact"/>
        <w:tabs>
          <w:tab w:leader="none" w:pos="16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40" w:hanging="59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840" w:hanging="597"/>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Luxembourg</w:t>
      </w:r>
    </w:p>
    <w:p>
      <w:pPr>
        <w:spacing w:after="0" w:line="24"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SHARES</w:t>
            </w:r>
          </w:p>
        </w:tc>
        <w:tc>
          <w:tcPr>
            <w:tcW w:w="30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3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21"/>
                <w:szCs w:val="21"/>
                <w:color w:val="auto"/>
              </w:rPr>
            </w:pPr>
          </w:p>
        </w:tc>
        <w:tc>
          <w:tcPr>
            <w:tcW w:w="9140" w:type="dxa"/>
            <w:vAlign w:val="bottom"/>
          </w:tcPr>
          <w:p>
            <w:pPr>
              <w:ind w:left="8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840" w:hanging="597"/>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5,840,911</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18"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10.9%</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020"/>
          </w:cols>
          <w:pgMar w:left="440" w:top="274"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CUSIP No. 81578P106</w:t>
            </w:r>
          </w:p>
        </w:tc>
        <w:tc>
          <w:tcPr>
            <w:tcW w:w="2340" w:type="dxa"/>
            <w:vAlign w:val="bottom"/>
          </w:tcPr>
          <w:p>
            <w:pPr>
              <w:ind w:left="204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840" w:hanging="597"/>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554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5554980"/>
                    </a:xfrm>
                    <a:prstGeom prst="rect">
                      <a:avLst/>
                    </a:prstGeom>
                    <a:noFill/>
                  </pic:spPr>
                </pic:pic>
              </a:graphicData>
            </a:graphic>
          </wp:anchor>
        </w:drawing>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Stichting Administratiekantoor Westend</w:t>
      </w:r>
    </w:p>
    <w:p>
      <w:pPr>
        <w:spacing w:after="0" w:line="24" w:lineRule="exact"/>
        <w:rPr>
          <w:sz w:val="20"/>
          <w:szCs w:val="20"/>
          <w:color w:val="auto"/>
        </w:rPr>
      </w:pPr>
    </w:p>
    <w:p>
      <w:pPr>
        <w:ind w:left="840" w:hanging="59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40"/>
        <w:spacing w:after="0" w:line="207" w:lineRule="exact"/>
        <w:tabs>
          <w:tab w:leader="none" w:pos="16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40" w:hanging="597"/>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840" w:hanging="597"/>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The Netherlands</w:t>
      </w:r>
    </w:p>
    <w:p>
      <w:pPr>
        <w:spacing w:after="0" w:line="24"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SHARES</w:t>
            </w:r>
          </w:p>
        </w:tc>
        <w:tc>
          <w:tcPr>
            <w:tcW w:w="30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3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21"/>
                <w:szCs w:val="21"/>
                <w:color w:val="auto"/>
              </w:rPr>
            </w:pPr>
          </w:p>
        </w:tc>
        <w:tc>
          <w:tcPr>
            <w:tcW w:w="9140" w:type="dxa"/>
            <w:vAlign w:val="bottom"/>
          </w:tcPr>
          <w:p>
            <w:pPr>
              <w:ind w:left="8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840" w:hanging="59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5,840,911</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18"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10.9%</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020"/>
          </w:cols>
          <w:pgMar w:left="440" w:top="274"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CUSIP No. 81578P106</w:t>
            </w:r>
          </w:p>
        </w:tc>
        <w:tc>
          <w:tcPr>
            <w:tcW w:w="2340" w:type="dxa"/>
            <w:vAlign w:val="bottom"/>
          </w:tcPr>
          <w:p>
            <w:pPr>
              <w:ind w:left="204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840" w:hanging="597"/>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554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5554980"/>
                    </a:xfrm>
                    <a:prstGeom prst="rect">
                      <a:avLst/>
                    </a:prstGeom>
                    <a:noFill/>
                  </pic:spPr>
                </pic:pic>
              </a:graphicData>
            </a:graphic>
          </wp:anchor>
        </w:drawing>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Mr. Pascal Minne</w:t>
      </w:r>
    </w:p>
    <w:p>
      <w:pPr>
        <w:spacing w:after="0" w:line="24" w:lineRule="exact"/>
        <w:rPr>
          <w:sz w:val="20"/>
          <w:szCs w:val="20"/>
          <w:color w:val="auto"/>
        </w:rPr>
      </w:pPr>
    </w:p>
    <w:p>
      <w:pPr>
        <w:ind w:left="840" w:hanging="597"/>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40"/>
        <w:spacing w:after="0" w:line="207" w:lineRule="exact"/>
        <w:tabs>
          <w:tab w:leader="none" w:pos="16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840" w:hanging="597"/>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840" w:hanging="597"/>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Belgium</w:t>
      </w:r>
    </w:p>
    <w:p>
      <w:pPr>
        <w:spacing w:after="0" w:line="24"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SHARES</w:t>
            </w:r>
          </w:p>
        </w:tc>
        <w:tc>
          <w:tcPr>
            <w:tcW w:w="30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14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3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1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21"/>
                <w:szCs w:val="21"/>
                <w:color w:val="auto"/>
              </w:rPr>
            </w:pPr>
          </w:p>
        </w:tc>
        <w:tc>
          <w:tcPr>
            <w:tcW w:w="9140" w:type="dxa"/>
            <w:vAlign w:val="bottom"/>
          </w:tcPr>
          <w:p>
            <w:pPr>
              <w:ind w:left="8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840" w:hanging="597"/>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5,840,911</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18" w:lineRule="exact"/>
        <w:rPr>
          <w:sz w:val="20"/>
          <w:szCs w:val="20"/>
          <w:color w:val="auto"/>
        </w:rPr>
      </w:pPr>
    </w:p>
    <w:p>
      <w:pPr>
        <w:ind w:left="8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10.9%</w:t>
      </w:r>
    </w:p>
    <w:p>
      <w:pPr>
        <w:spacing w:after="0" w:line="2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1020"/>
          </w:cols>
          <w:pgMar w:left="440" w:top="274" w:right="439" w:bottom="1440" w:gutter="0" w:footer="0" w:header="0"/>
        </w:sectPr>
      </w:pPr>
    </w:p>
    <w:bookmarkStart w:id="10" w:name="page11"/>
    <w:bookmarkEnd w:id="10"/>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Seer, Inc. (the “Issuer”)</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3800 Bridge Parkway, Suite 102, Redwood City, California 94065</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980" w:right="4879" w:firstLine="7"/>
        <w:spacing w:after="0" w:line="286" w:lineRule="auto"/>
        <w:tabs>
          <w:tab w:leader="none" w:pos="11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Invus Public Equities, L.P. (“Invus Public Equities”) 750 Lexington Avenue, 30th Floor, New York, NY 10022 Citizenship: Bermuda limited partnership</w:t>
      </w:r>
    </w:p>
    <w:p>
      <w:pPr>
        <w:spacing w:after="0" w:line="57" w:lineRule="exact"/>
        <w:rPr>
          <w:rFonts w:ascii="Arial" w:cs="Arial" w:eastAsia="Arial" w:hAnsi="Arial"/>
          <w:sz w:val="17"/>
          <w:szCs w:val="17"/>
          <w:color w:val="auto"/>
        </w:rPr>
      </w:pPr>
    </w:p>
    <w:p>
      <w:pPr>
        <w:ind w:left="980" w:right="4419" w:firstLine="7"/>
        <w:spacing w:after="0" w:line="263" w:lineRule="auto"/>
        <w:tabs>
          <w:tab w:leader="none" w:pos="1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Invus Public Equities Advisors, LLC (“Invus PE Advisors”) 750 Lexington Avenue, 30th Floor, New York, NY 10022 Citizenship: Delaware limited liability company</w:t>
      </w:r>
    </w:p>
    <w:p>
      <w:pPr>
        <w:spacing w:after="0" w:line="75" w:lineRule="exact"/>
        <w:rPr>
          <w:rFonts w:ascii="Arial" w:cs="Arial" w:eastAsia="Arial" w:hAnsi="Arial"/>
          <w:sz w:val="18"/>
          <w:szCs w:val="18"/>
          <w:color w:val="auto"/>
        </w:rPr>
      </w:pPr>
    </w:p>
    <w:p>
      <w:pPr>
        <w:ind w:left="1300" w:hanging="313"/>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Artal Treasury Limited (“Artal Treasury”)</w:t>
      </w:r>
    </w:p>
    <w:p>
      <w:pPr>
        <w:spacing w:after="0" w:line="23" w:lineRule="exact"/>
        <w:rPr>
          <w:sz w:val="20"/>
          <w:szCs w:val="20"/>
          <w:color w:val="auto"/>
        </w:rPr>
      </w:pPr>
    </w:p>
    <w:p>
      <w:pPr>
        <w:ind w:left="980" w:right="3979"/>
        <w:spacing w:after="0" w:line="260" w:lineRule="auto"/>
        <w:rPr>
          <w:sz w:val="20"/>
          <w:szCs w:val="20"/>
          <w:color w:val="auto"/>
        </w:rPr>
      </w:pPr>
      <w:r>
        <w:rPr>
          <w:rFonts w:ascii="Arial" w:cs="Arial" w:eastAsia="Arial" w:hAnsi="Arial"/>
          <w:sz w:val="18"/>
          <w:szCs w:val="18"/>
          <w:color w:val="auto"/>
        </w:rPr>
        <w:t>Suite 4, Borough House, rue du Pré, St. Peter Port, Guernsey GY1 3JJ Citizenship: Guernsey company</w:t>
      </w:r>
    </w:p>
    <w:p>
      <w:pPr>
        <w:spacing w:after="0" w:line="77" w:lineRule="exact"/>
        <w:rPr>
          <w:sz w:val="20"/>
          <w:szCs w:val="20"/>
          <w:color w:val="auto"/>
        </w:rPr>
      </w:pPr>
    </w:p>
    <w:p>
      <w:pPr>
        <w:ind w:left="980" w:right="5019" w:firstLine="7"/>
        <w:spacing w:after="0" w:line="311" w:lineRule="auto"/>
        <w:tabs>
          <w:tab w:leader="none" w:pos="128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Artal International S.C.A. (“Artal International”) Valley Park, 44, Rue de la Vallée, L-2661, Luxembourg Citizenship: Luxembourg limited partnership</w:t>
      </w:r>
    </w:p>
    <w:p>
      <w:pPr>
        <w:spacing w:after="0" w:line="40" w:lineRule="exact"/>
        <w:rPr>
          <w:rFonts w:ascii="Arial" w:cs="Arial" w:eastAsia="Arial" w:hAnsi="Arial"/>
          <w:sz w:val="16"/>
          <w:szCs w:val="16"/>
          <w:color w:val="auto"/>
        </w:rPr>
      </w:pPr>
    </w:p>
    <w:p>
      <w:pPr>
        <w:ind w:left="980" w:right="3459" w:firstLine="7"/>
        <w:spacing w:after="0" w:line="274" w:lineRule="auto"/>
        <w:tabs>
          <w:tab w:leader="none" w:pos="12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Artal International Management S.A. (“Artal International Management”) Valley Park, 44, Rue de la Vallée, L-2661, Luxembourg</w:t>
      </w:r>
    </w:p>
    <w:p>
      <w:pPr>
        <w:ind w:left="980"/>
        <w:spacing w:after="0"/>
        <w:rPr>
          <w:rFonts w:ascii="Arial" w:cs="Arial" w:eastAsia="Arial" w:hAnsi="Arial"/>
          <w:sz w:val="17"/>
          <w:szCs w:val="17"/>
          <w:color w:val="auto"/>
        </w:rPr>
      </w:pPr>
      <w:r>
        <w:rPr>
          <w:rFonts w:ascii="Arial" w:cs="Arial" w:eastAsia="Arial" w:hAnsi="Arial"/>
          <w:sz w:val="18"/>
          <w:szCs w:val="18"/>
          <w:color w:val="auto"/>
        </w:rPr>
        <w:t>Citizenship: Luxembourg société anonyme</w:t>
      </w:r>
    </w:p>
    <w:p>
      <w:pPr>
        <w:spacing w:after="0" w:line="102" w:lineRule="exact"/>
        <w:rPr>
          <w:rFonts w:ascii="Arial" w:cs="Arial" w:eastAsia="Arial" w:hAnsi="Arial"/>
          <w:sz w:val="17"/>
          <w:szCs w:val="17"/>
          <w:color w:val="auto"/>
        </w:rPr>
      </w:pPr>
    </w:p>
    <w:p>
      <w:pPr>
        <w:ind w:left="1300" w:hanging="313"/>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Artal Group S.A. (“Artal Group”)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Valley Park, 44, Rue de la Vallée, L-2661, Luxembourg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Citizenship: Luxembourg société anonyme</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(vii) Westend S.A. (“Westend”)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Valley Park, 44, Rue de la Vallée, L-2661, Luxembourg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Citizenship: Luxembourg société anonyme</w:t>
      </w:r>
    </w:p>
    <w:p>
      <w:pPr>
        <w:spacing w:after="0" w:line="103" w:lineRule="exact"/>
        <w:rPr>
          <w:sz w:val="20"/>
          <w:szCs w:val="20"/>
          <w:color w:val="auto"/>
        </w:rPr>
      </w:pPr>
    </w:p>
    <w:p>
      <w:pPr>
        <w:ind w:left="980" w:right="4339" w:firstLine="7"/>
        <w:spacing w:after="0" w:line="286" w:lineRule="auto"/>
        <w:tabs>
          <w:tab w:leader="none" w:pos="1385" w:val="left"/>
        </w:tabs>
        <w:numPr>
          <w:ilvl w:val="0"/>
          <w:numId w:val="51"/>
        </w:numPr>
        <w:rPr>
          <w:rFonts w:ascii="Arial" w:cs="Arial" w:eastAsia="Arial" w:hAnsi="Arial"/>
          <w:sz w:val="17"/>
          <w:szCs w:val="17"/>
          <w:color w:val="auto"/>
        </w:rPr>
      </w:pPr>
      <w:r>
        <w:rPr>
          <w:rFonts w:ascii="Arial" w:cs="Arial" w:eastAsia="Arial" w:hAnsi="Arial"/>
          <w:sz w:val="17"/>
          <w:szCs w:val="17"/>
          <w:color w:val="auto"/>
        </w:rPr>
        <w:t>Stichting Administratiekantoor Westend (the “Stichting”) Claude Debussylaan, 46, 1082 MD Amsterdam, The Netherlands Citizenship: Netherlands foundation</w:t>
      </w:r>
    </w:p>
    <w:p>
      <w:pPr>
        <w:spacing w:after="0" w:line="57" w:lineRule="exact"/>
        <w:rPr>
          <w:rFonts w:ascii="Arial" w:cs="Arial" w:eastAsia="Arial" w:hAnsi="Arial"/>
          <w:sz w:val="17"/>
          <w:szCs w:val="17"/>
          <w:color w:val="auto"/>
        </w:rPr>
      </w:pPr>
    </w:p>
    <w:p>
      <w:pPr>
        <w:ind w:left="1300" w:hanging="313"/>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Pascal Minne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 Clos du Bocage, B-1332 Genval, Belgium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Citizenship: Belgium</w:t>
      </w:r>
    </w:p>
    <w:p>
      <w:pPr>
        <w:spacing w:after="0" w:line="103" w:lineRule="exact"/>
        <w:rPr>
          <w:sz w:val="20"/>
          <w:szCs w:val="20"/>
          <w:color w:val="auto"/>
        </w:rPr>
      </w:pPr>
    </w:p>
    <w:p>
      <w:pPr>
        <w:jc w:val="right"/>
        <w:ind w:right="1799"/>
        <w:spacing w:after="0"/>
        <w:rPr>
          <w:sz w:val="20"/>
          <w:szCs w:val="20"/>
          <w:color w:val="auto"/>
        </w:rPr>
      </w:pPr>
      <w:r>
        <w:rPr>
          <w:rFonts w:ascii="Arial" w:cs="Arial" w:eastAsia="Arial" w:hAnsi="Arial"/>
          <w:sz w:val="18"/>
          <w:szCs w:val="18"/>
          <w:color w:val="auto"/>
        </w:rPr>
        <w:t>The foregoing persons are hereinafter sometimes collectively referred to as the “Reporting Persons.”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Common Stock, par value $0.00001 per share (the “Shares”)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81578P106</w:t>
      </w:r>
    </w:p>
    <w:p>
      <w:pPr>
        <w:sectPr>
          <w:pgSz w:w="11900" w:h="16838" w:orient="portrait"/>
          <w:cols w:equalWidth="0" w:num="1">
            <w:col w:w="10019"/>
          </w:cols>
          <w:pgMar w:left="440" w:top="27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180" w:type="dxa"/>
            <w:vAlign w:val="bottom"/>
            <w:gridSpan w:val="4"/>
          </w:tcPr>
          <w:p>
            <w:pPr>
              <w:ind w:left="220"/>
              <w:spacing w:after="0"/>
              <w:rPr>
                <w:sz w:val="20"/>
                <w:szCs w:val="20"/>
                <w:color w:val="auto"/>
              </w:rPr>
            </w:pPr>
            <w:r>
              <w:rPr>
                <w:rFonts w:ascii="Arial" w:cs="Arial" w:eastAsia="Arial" w:hAnsi="Arial"/>
                <w:sz w:val="18"/>
                <w:szCs w:val="18"/>
                <w:b w:val="1"/>
                <w:bCs w:val="1"/>
                <w:color w:val="auto"/>
                <w:w w:val="95"/>
              </w:rPr>
              <w:t>If This Statement Is Filed Pursuant to Sections 240.13d-1(b) or 240.13d-2(b) or (c), Check Whether the Person Filing Is a(n):</w:t>
            </w:r>
          </w:p>
        </w:tc>
      </w:tr>
      <w:tr>
        <w:trPr>
          <w:trHeight w:val="324"/>
        </w:trPr>
        <w:tc>
          <w:tcPr>
            <w:tcW w:w="760" w:type="dxa"/>
            <w:vAlign w:val="bottom"/>
          </w:tcPr>
          <w:p>
            <w:pPr>
              <w:spacing w:after="0"/>
              <w:rPr>
                <w:sz w:val="24"/>
                <w:szCs w:val="24"/>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rPr>
              <w:t>This Item 3 is not applicable.</w:t>
            </w:r>
          </w:p>
        </w:tc>
      </w:tr>
      <w:tr>
        <w:trPr>
          <w:trHeight w:val="580"/>
        </w:trPr>
        <w:tc>
          <w:tcPr>
            <w:tcW w:w="7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180" w:type="dxa"/>
            <w:vAlign w:val="bottom"/>
            <w:gridSpan w:val="4"/>
          </w:tcPr>
          <w:p>
            <w:pPr>
              <w:ind w:left="220"/>
              <w:spacing w:after="0"/>
              <w:rPr>
                <w:sz w:val="20"/>
                <w:szCs w:val="20"/>
                <w:color w:val="auto"/>
              </w:rPr>
            </w:pPr>
            <w:r>
              <w:rPr>
                <w:rFonts w:ascii="Arial" w:cs="Arial" w:eastAsia="Arial" w:hAnsi="Arial"/>
                <w:sz w:val="18"/>
                <w:szCs w:val="18"/>
                <w:b w:val="1"/>
                <w:bCs w:val="1"/>
                <w:color w:val="auto"/>
              </w:rPr>
              <w:t>Ownership.</w:t>
            </w:r>
          </w:p>
        </w:tc>
      </w:tr>
      <w:tr>
        <w:trPr>
          <w:trHeight w:val="324"/>
        </w:trPr>
        <w:tc>
          <w:tcPr>
            <w:tcW w:w="760" w:type="dxa"/>
            <w:vAlign w:val="bottom"/>
          </w:tcPr>
          <w:p>
            <w:pPr>
              <w:spacing w:after="0"/>
              <w:rPr>
                <w:sz w:val="24"/>
                <w:szCs w:val="24"/>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rPr>
              <w:t>(a) Amount beneficially owned:</w:t>
            </w:r>
          </w:p>
        </w:tc>
      </w:tr>
      <w:tr>
        <w:trPr>
          <w:trHeight w:val="310"/>
        </w:trPr>
        <w:tc>
          <w:tcPr>
            <w:tcW w:w="760" w:type="dxa"/>
            <w:vAlign w:val="bottom"/>
          </w:tcPr>
          <w:p>
            <w:pPr>
              <w:spacing w:after="0"/>
              <w:rPr>
                <w:sz w:val="24"/>
                <w:szCs w:val="24"/>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1"/>
              </w:rPr>
              <w:t>As of December 8, 2020, Invus Public Equities directly held 5,840,911 Shares. Invus PE Advisors, as the general partner of Invus Public</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4"/>
              </w:rPr>
              <w:t>Equities, controls Invus Public Equities and accordingly may be deemed to beneficially own the Shares held by Invus Public Equities.</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8"/>
              </w:rPr>
              <w:t>Artal Treasury, as the managing member of Invus PE Advisors, controls Invus PE Advisors, and accordingly may be deemed to</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2"/>
              </w:rPr>
              <w:t>beneficially own the Shares that Invus PE Advisors may be deemed to beneficially own. Artal International, as its Geneva branch is the</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0"/>
              </w:rPr>
              <w:t>sole stockholder of Artal Treasury, may be deemed to beneficially own the Shares that Artal Treasury may be deemed to beneficially own.</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4"/>
              </w:rPr>
              <w:t>Artal International Management, as the managing partner of Artal International, controls Artal International and, accordingly, may be</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1"/>
              </w:rPr>
              <w:t>deemed to beneficially own the Shares that Artal International may be deemed to beneficially own. Artal Group, as the parent company of</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5"/>
              </w:rPr>
              <w:t>Artal International Management, controls Artal International Management and, accordingly, may be deemed to beneficially own the</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0"/>
              </w:rPr>
              <w:t>Shares that Artal International Management may be deemed to beneficially own. Westend, as the parent company of Artal Group, controls</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2"/>
              </w:rPr>
              <w:t>Artal Group and, accordingly, may be deemed to beneficially own the Shares that Artal Group may be deemed to beneficially own. The</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0"/>
              </w:rPr>
              <w:t>Stichting, as the majority stockholder of Westend, controls Westend and, accordingly, may be deemed to beneficially own the Shares that</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3"/>
              </w:rPr>
              <w:t>Westend may be deemed to beneficially own. Mr. Minne, as the sole member of the board of the Stichting, controls the Stichting and,</w:t>
            </w:r>
          </w:p>
        </w:tc>
      </w:tr>
      <w:tr>
        <w:trPr>
          <w:trHeight w:val="230"/>
        </w:trPr>
        <w:tc>
          <w:tcPr>
            <w:tcW w:w="760" w:type="dxa"/>
            <w:vAlign w:val="bottom"/>
          </w:tcPr>
          <w:p>
            <w:pPr>
              <w:spacing w:after="0"/>
              <w:rPr>
                <w:sz w:val="20"/>
                <w:szCs w:val="20"/>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rPr>
              <w:t>accordingly, may be deemed to beneficially own the Shares that the Stichting may be deemed to beneficially own.</w:t>
            </w:r>
          </w:p>
        </w:tc>
      </w:tr>
      <w:tr>
        <w:trPr>
          <w:trHeight w:val="324"/>
        </w:trPr>
        <w:tc>
          <w:tcPr>
            <w:tcW w:w="760" w:type="dxa"/>
            <w:vAlign w:val="bottom"/>
          </w:tcPr>
          <w:p>
            <w:pPr>
              <w:spacing w:after="0"/>
              <w:rPr>
                <w:sz w:val="24"/>
                <w:szCs w:val="24"/>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rPr>
              <w:t>(b) Percent of class:</w:t>
            </w:r>
          </w:p>
        </w:tc>
      </w:tr>
      <w:tr>
        <w:trPr>
          <w:trHeight w:val="310"/>
        </w:trPr>
        <w:tc>
          <w:tcPr>
            <w:tcW w:w="760" w:type="dxa"/>
            <w:vAlign w:val="bottom"/>
          </w:tcPr>
          <w:p>
            <w:pPr>
              <w:spacing w:after="0"/>
              <w:rPr>
                <w:sz w:val="24"/>
                <w:szCs w:val="24"/>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1"/>
              </w:rPr>
              <w:t>Each of the Reporting Persons may be deemed to be the beneficial owner of the percentage of Shares listed on such Reporting Person’s</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1"/>
              </w:rPr>
              <w:t>cover page. Calculations of the percentage of Shares beneficially owned assume 53,350,763 shares outstanding following the closing of</w:t>
            </w:r>
          </w:p>
        </w:tc>
      </w:tr>
      <w:tr>
        <w:trPr>
          <w:trHeight w:val="216"/>
        </w:trPr>
        <w:tc>
          <w:tcPr>
            <w:tcW w:w="760" w:type="dxa"/>
            <w:vAlign w:val="bottom"/>
          </w:tcPr>
          <w:p>
            <w:pPr>
              <w:spacing w:after="0"/>
              <w:rPr>
                <w:sz w:val="18"/>
                <w:szCs w:val="18"/>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1"/>
              </w:rPr>
              <w:t>the Issuer’s initial public offering according to the Issuer’s prospectus supplement filed with the Securities and Exchange Commission on</w:t>
            </w:r>
          </w:p>
        </w:tc>
      </w:tr>
      <w:tr>
        <w:trPr>
          <w:trHeight w:val="230"/>
        </w:trPr>
        <w:tc>
          <w:tcPr>
            <w:tcW w:w="760" w:type="dxa"/>
            <w:vAlign w:val="bottom"/>
          </w:tcPr>
          <w:p>
            <w:pPr>
              <w:spacing w:after="0"/>
              <w:rPr>
                <w:sz w:val="20"/>
                <w:szCs w:val="20"/>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rPr>
              <w:t>December 4, 2020.</w:t>
            </w:r>
          </w:p>
        </w:tc>
      </w:tr>
      <w:tr>
        <w:trPr>
          <w:trHeight w:val="324"/>
        </w:trPr>
        <w:tc>
          <w:tcPr>
            <w:tcW w:w="760" w:type="dxa"/>
            <w:vAlign w:val="bottom"/>
          </w:tcPr>
          <w:p>
            <w:pPr>
              <w:spacing w:after="0"/>
              <w:rPr>
                <w:sz w:val="24"/>
                <w:szCs w:val="24"/>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rPr>
              <w:t>(c) Number of shares as to which the person has:</w:t>
            </w:r>
          </w:p>
        </w:tc>
      </w:tr>
      <w:tr>
        <w:trPr>
          <w:trHeight w:val="283"/>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Invus Public Equities, Invus PE Advisors, Artal Treasury, Artal International, Artal International Management, Artal Group, Westend,</w:t>
            </w:r>
          </w:p>
        </w:tc>
        <w:tc>
          <w:tcPr>
            <w:tcW w:w="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2"/>
              </w:rPr>
              <w:t>The Stichting and Mr. Minne:</w:t>
            </w:r>
          </w:p>
        </w:tc>
        <w:tc>
          <w:tcPr>
            <w:tcW w:w="7580" w:type="dxa"/>
            <w:vAlign w:val="bottom"/>
            <w:gridSpan w:val="2"/>
          </w:tcPr>
          <w:p>
            <w:pPr>
              <w:spacing w:after="0"/>
              <w:rPr>
                <w:sz w:val="17"/>
                <w:szCs w:val="17"/>
                <w:color w:val="auto"/>
              </w:rPr>
            </w:pPr>
          </w:p>
        </w:tc>
      </w:tr>
      <w:tr>
        <w:trPr>
          <w:trHeight w:val="345"/>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(i) Sole power to vote or to direct the vote:</w:t>
            </w:r>
          </w:p>
        </w:tc>
      </w:tr>
      <w:tr>
        <w:trPr>
          <w:trHeight w:val="324"/>
        </w:trPr>
        <w:tc>
          <w:tcPr>
            <w:tcW w:w="760" w:type="dxa"/>
            <w:vAlign w:val="bottom"/>
          </w:tcPr>
          <w:p>
            <w:pPr>
              <w:spacing w:after="0"/>
              <w:rPr>
                <w:sz w:val="24"/>
                <w:szCs w:val="24"/>
                <w:color w:val="auto"/>
              </w:rPr>
            </w:pPr>
          </w:p>
        </w:tc>
        <w:tc>
          <w:tcPr>
            <w:tcW w:w="2600" w:type="dxa"/>
            <w:vAlign w:val="bottom"/>
            <w:gridSpan w:val="2"/>
          </w:tcPr>
          <w:p>
            <w:pPr>
              <w:ind w:left="1220"/>
              <w:spacing w:after="0"/>
              <w:rPr>
                <w:sz w:val="20"/>
                <w:szCs w:val="20"/>
                <w:color w:val="auto"/>
              </w:rPr>
            </w:pPr>
            <w:r>
              <w:rPr>
                <w:rFonts w:ascii="Arial" w:cs="Arial" w:eastAsia="Arial" w:hAnsi="Arial"/>
                <w:sz w:val="18"/>
                <w:szCs w:val="18"/>
                <w:color w:val="auto"/>
              </w:rPr>
              <w:t>5,840,911</w:t>
            </w:r>
          </w:p>
        </w:tc>
        <w:tc>
          <w:tcPr>
            <w:tcW w:w="7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(ii) Shared power to vote or to direct the vote:</w:t>
            </w:r>
          </w:p>
        </w:tc>
      </w:tr>
      <w:tr>
        <w:trPr>
          <w:trHeight w:val="324"/>
        </w:trPr>
        <w:tc>
          <w:tcPr>
            <w:tcW w:w="760" w:type="dxa"/>
            <w:vAlign w:val="bottom"/>
          </w:tcPr>
          <w:p>
            <w:pPr>
              <w:spacing w:after="0"/>
              <w:rPr>
                <w:sz w:val="24"/>
                <w:szCs w:val="24"/>
                <w:color w:val="auto"/>
              </w:rPr>
            </w:pPr>
          </w:p>
        </w:tc>
        <w:tc>
          <w:tcPr>
            <w:tcW w:w="2600" w:type="dxa"/>
            <w:vAlign w:val="bottom"/>
            <w:gridSpan w:val="2"/>
          </w:tcPr>
          <w:p>
            <w:pPr>
              <w:ind w:left="1220"/>
              <w:spacing w:after="0"/>
              <w:rPr>
                <w:sz w:val="20"/>
                <w:szCs w:val="20"/>
                <w:color w:val="auto"/>
              </w:rPr>
            </w:pPr>
            <w:r>
              <w:rPr>
                <w:rFonts w:ascii="Arial" w:cs="Arial" w:eastAsia="Arial" w:hAnsi="Arial"/>
                <w:sz w:val="18"/>
                <w:szCs w:val="18"/>
                <w:color w:val="auto"/>
              </w:rPr>
              <w:t>0</w:t>
            </w:r>
          </w:p>
        </w:tc>
        <w:tc>
          <w:tcPr>
            <w:tcW w:w="7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(iii) Sole power to dispose or to direct the disposition of:</w:t>
            </w:r>
          </w:p>
        </w:tc>
      </w:tr>
      <w:tr>
        <w:trPr>
          <w:trHeight w:val="324"/>
        </w:trPr>
        <w:tc>
          <w:tcPr>
            <w:tcW w:w="760" w:type="dxa"/>
            <w:vAlign w:val="bottom"/>
          </w:tcPr>
          <w:p>
            <w:pPr>
              <w:spacing w:after="0"/>
              <w:rPr>
                <w:sz w:val="24"/>
                <w:szCs w:val="24"/>
                <w:color w:val="auto"/>
              </w:rPr>
            </w:pPr>
          </w:p>
        </w:tc>
        <w:tc>
          <w:tcPr>
            <w:tcW w:w="2600" w:type="dxa"/>
            <w:vAlign w:val="bottom"/>
            <w:gridSpan w:val="2"/>
          </w:tcPr>
          <w:p>
            <w:pPr>
              <w:ind w:left="1220"/>
              <w:spacing w:after="0"/>
              <w:rPr>
                <w:sz w:val="20"/>
                <w:szCs w:val="20"/>
                <w:color w:val="auto"/>
              </w:rPr>
            </w:pPr>
            <w:r>
              <w:rPr>
                <w:rFonts w:ascii="Arial" w:cs="Arial" w:eastAsia="Arial" w:hAnsi="Arial"/>
                <w:sz w:val="18"/>
                <w:szCs w:val="18"/>
                <w:color w:val="auto"/>
              </w:rPr>
              <w:t>5,840,911</w:t>
            </w:r>
          </w:p>
        </w:tc>
        <w:tc>
          <w:tcPr>
            <w:tcW w:w="7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(iv) Shared power to dispose or to direct the disposition of:</w:t>
            </w:r>
          </w:p>
        </w:tc>
      </w:tr>
      <w:tr>
        <w:trPr>
          <w:trHeight w:val="324"/>
        </w:trPr>
        <w:tc>
          <w:tcPr>
            <w:tcW w:w="760" w:type="dxa"/>
            <w:vAlign w:val="bottom"/>
          </w:tcPr>
          <w:p>
            <w:pPr>
              <w:spacing w:after="0"/>
              <w:rPr>
                <w:sz w:val="24"/>
                <w:szCs w:val="24"/>
                <w:color w:val="auto"/>
              </w:rPr>
            </w:pPr>
          </w:p>
        </w:tc>
        <w:tc>
          <w:tcPr>
            <w:tcW w:w="2600" w:type="dxa"/>
            <w:vAlign w:val="bottom"/>
            <w:gridSpan w:val="2"/>
          </w:tcPr>
          <w:p>
            <w:pPr>
              <w:ind w:left="1220"/>
              <w:spacing w:after="0"/>
              <w:rPr>
                <w:sz w:val="20"/>
                <w:szCs w:val="20"/>
                <w:color w:val="auto"/>
              </w:rPr>
            </w:pPr>
            <w:r>
              <w:rPr>
                <w:rFonts w:ascii="Arial" w:cs="Arial" w:eastAsia="Arial" w:hAnsi="Arial"/>
                <w:sz w:val="18"/>
                <w:szCs w:val="18"/>
                <w:color w:val="auto"/>
              </w:rPr>
              <w:t>0</w:t>
            </w:r>
          </w:p>
        </w:tc>
        <w:tc>
          <w:tcPr>
            <w:tcW w:w="7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80"/>
        </w:trPr>
        <w:tc>
          <w:tcPr>
            <w:tcW w:w="7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180" w:type="dxa"/>
            <w:vAlign w:val="bottom"/>
            <w:gridSpan w:val="4"/>
          </w:tcPr>
          <w:p>
            <w:pPr>
              <w:ind w:left="22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277"/>
        </w:trPr>
        <w:tc>
          <w:tcPr>
            <w:tcW w:w="760" w:type="dxa"/>
            <w:vAlign w:val="bottom"/>
          </w:tcPr>
          <w:p>
            <w:pPr>
              <w:spacing w:after="0"/>
              <w:rPr>
                <w:sz w:val="24"/>
                <w:szCs w:val="24"/>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760" w:type="dxa"/>
            <w:vAlign w:val="bottom"/>
          </w:tcPr>
          <w:p>
            <w:pPr>
              <w:spacing w:after="0"/>
              <w:rPr>
                <w:sz w:val="24"/>
                <w:szCs w:val="24"/>
                <w:color w:val="auto"/>
              </w:rPr>
            </w:pPr>
          </w:p>
        </w:tc>
        <w:tc>
          <w:tcPr>
            <w:tcW w:w="10180" w:type="dxa"/>
            <w:vAlign w:val="bottom"/>
            <w:gridSpan w:val="4"/>
          </w:tcPr>
          <w:p>
            <w:pPr>
              <w:ind w:left="220"/>
              <w:spacing w:after="0" w:line="207" w:lineRule="exact"/>
              <w:rPr>
                <w:sz w:val="20"/>
                <w:szCs w:val="20"/>
                <w:color w:val="auto"/>
              </w:rPr>
            </w:pPr>
            <w:r>
              <w:rPr>
                <w:rFonts w:ascii="Arial" w:cs="Arial" w:eastAsia="Arial" w:hAnsi="Arial"/>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560"/>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80" w:type="dxa"/>
            <w:vAlign w:val="bottom"/>
            <w:gridSpan w:val="4"/>
          </w:tcPr>
          <w:p>
            <w:pPr>
              <w:ind w:left="2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760" w:type="dxa"/>
            <w:vAlign w:val="bottom"/>
          </w:tcPr>
          <w:p>
            <w:pPr>
              <w:spacing w:after="0"/>
              <w:rPr>
                <w:sz w:val="24"/>
                <w:szCs w:val="24"/>
                <w:color w:val="auto"/>
              </w:rPr>
            </w:pPr>
          </w:p>
        </w:tc>
        <w:tc>
          <w:tcPr>
            <w:tcW w:w="10180" w:type="dxa"/>
            <w:vAlign w:val="bottom"/>
            <w:gridSpan w:val="4"/>
          </w:tcPr>
          <w:p>
            <w:pPr>
              <w:ind w:left="220"/>
              <w:spacing w:after="0"/>
              <w:rPr>
                <w:sz w:val="20"/>
                <w:szCs w:val="20"/>
                <w:color w:val="auto"/>
              </w:rPr>
            </w:pPr>
            <w:r>
              <w:rPr>
                <w:rFonts w:ascii="Arial" w:cs="Arial" w:eastAsia="Arial" w:hAnsi="Arial"/>
                <w:sz w:val="18"/>
                <w:szCs w:val="18"/>
                <w:color w:val="auto"/>
              </w:rPr>
              <w:t>This Item 6 is not applicable.</w:t>
            </w:r>
          </w:p>
        </w:tc>
      </w:tr>
    </w:tbl>
    <w:p>
      <w:pPr>
        <w:ind w:left="220"/>
        <w:spacing w:after="0"/>
        <w:rPr>
          <w:sz w:val="20"/>
          <w:szCs w:val="20"/>
          <w:color w:val="auto"/>
        </w:rPr>
        <w:sectPr>
          <w:pgSz w:w="11900" w:h="16838" w:orient="portrait"/>
          <w:cols w:equalWidth="0" w:num="1">
            <w:col w:w="10940"/>
          </w:cols>
          <w:pgMar w:left="440" w:top="270"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2" w:name="page13"/>
    <w:bookmarkEnd w:id="12"/>
    <w:p>
      <w:pPr>
        <w:ind w:left="980" w:right="60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Item 7 is 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Item 8 is 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Item 9 is 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11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920"/>
          </w:cols>
          <w:pgMar w:left="440" w:top="270" w:right="539" w:bottom="1440" w:gutter="0" w:footer="0" w:header="0"/>
        </w:sectPr>
      </w:pPr>
    </w:p>
    <w:bookmarkStart w:id="13" w:name="page14"/>
    <w:bookmarkEnd w:id="1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INVUS PUBLIC EQUITIES, L.P.</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INVUS PUBLIC EQUITIES ADVISORS, LLC, its general partner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Raymond Debbane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INVUS PUBLIC EQUITIES ADVISORS, LLC</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Raymond Debbane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TREASURY LIMITED</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Le Poidevin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Keith Le Poidevin</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INTERNATIONAL S.C.A.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ARTAL INTERNATIONAL MANAGEMENT S.A., its managing partner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INTERNATIONAL MANAGEMENT S.A.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GROUP S.A.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WESTEND S.A.</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Pascal Minne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Pascal Minne</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10460"/>
          </w:cols>
          <w:pgMar w:left="440" w:top="270"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STICHTING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ADMINISTRATIEKANTOOR WESTEND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Pascal Minne</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Pascal Minne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Sole Member of the Board</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PASCAL MINNE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Pascal Minne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18, 2020</w:t>
      </w:r>
    </w:p>
    <w:p>
      <w:pPr>
        <w:sectPr>
          <w:pgSz w:w="11900" w:h="16838" w:orient="portrait"/>
          <w:cols w:equalWidth="0" w:num="1">
            <w:col w:w="10019"/>
          </w:cols>
          <w:pgMar w:left="440" w:top="270" w:right="1440" w:bottom="1440" w:gutter="0" w:footer="0" w:header="0"/>
        </w:sectPr>
      </w:pPr>
    </w:p>
    <w:bookmarkStart w:id="15" w:name="page16"/>
    <w:bookmarkEnd w:id="15"/>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48"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
        <w:spacing w:after="0"/>
        <w:tabs>
          <w:tab w:leader="none" w:pos="1244"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Title</w:t>
      </w:r>
    </w:p>
    <w:p>
      <w:pPr>
        <w:spacing w:after="0" w:line="101" w:lineRule="exact"/>
        <w:rPr>
          <w:sz w:val="20"/>
          <w:szCs w:val="20"/>
          <w:color w:val="auto"/>
        </w:rPr>
      </w:pPr>
    </w:p>
    <w:p>
      <w:pPr>
        <w:ind w:left="1264" w:hanging="1264"/>
        <w:spacing w:after="0"/>
        <w:tabs>
          <w:tab w:leader="none" w:pos="1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Joint Filing Agreement</w:t>
      </w:r>
    </w:p>
    <w:p>
      <w:pPr>
        <w:sectPr>
          <w:pgSz w:w="11900" w:h="16838" w:orient="portrait"/>
          <w:cols w:equalWidth="0" w:num="1">
            <w:col w:w="10023"/>
          </w:cols>
          <w:pgMar w:left="436" w:top="270"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undersigned agree that the statement on Schedule 13G with respect to the Class A Common Stock, par value $0.00001 per share, of Seer, Inc., dated as of December 18, 2020, is, and any amendments thereto signed by each of the undersigned shall be, filed on behalf of each of them pursuant to and in accordance with the provisions of Rule 13d-1(k) under the Securities Exchange Act of 1934, as amended.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INVUS PUBLIC EQUITIES, L.P.</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INVUS PUBLIC EQUITIES ADVISORS, LLC, its general partner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Raymond Debbane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INVUS PUBLIC EQUITIES ADVISORS, LLC</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Raymond Debbane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TREASURY LIMITED</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Le Poidevin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Keith Le Poidevin</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INTERNATIONAL S.C.A.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ARTAL INTERNATIONAL MANAGEMENT S.A., its managing partner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INTERNATIONAL MANAGEMENT S.A.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GROUP S.A.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ectPr>
          <w:pgSz w:w="11900" w:h="16838" w:orient="portrait"/>
          <w:cols w:equalWidth="0" w:num="1">
            <w:col w:w="11020"/>
          </w:cols>
          <w:pgMar w:left="440" w:top="121"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WESTEND S.A.</w:t>
      </w:r>
    </w:p>
    <w:p>
      <w:pPr>
        <w:spacing w:after="0" w:line="25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Pascal Minne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Pascal Minne</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STICHTING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ADMINISTRATIEKANTOOR WESTEND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Pascal Minne</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Pascal Minne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Sole Member of the Board</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PASCAL MINNE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Pascal Minne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18, 2020</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
      <w:numFmt w:val="bullet"/>
      <w:start w:val="1"/>
    </w:lvl>
  </w:abstractNum>
  <w:abstractNum w:abstractNumId="3">
    <w:nsid w:val="2CA88611"/>
    <w:multiLevelType w:val="hybridMultilevel"/>
    <w:lvl w:ilvl="0">
      <w:lvlJc w:val="left"/>
      <w:lvlText w:val="1"/>
      <w:numFmt w:val="bullet"/>
      <w:start w:val="1"/>
    </w:lvl>
  </w:abstractNum>
  <w:abstractNum w:abstractNumId="4">
    <w:nsid w:val="836C40E"/>
    <w:multiLevelType w:val="hybridMultilevel"/>
    <w:lvl w:ilvl="0">
      <w:lvlJc w:val="left"/>
      <w:lvlText w:val="2"/>
      <w:numFmt w:val="bullet"/>
      <w:start w:val="1"/>
    </w:lvl>
  </w:abstractNum>
  <w:abstractNum w:abstractNumId="5">
    <w:nsid w:val="2901D82"/>
    <w:multiLevelType w:val="hybridMultilevel"/>
    <w:lvl w:ilvl="0">
      <w:lvlJc w:val="left"/>
      <w:lvlText w:val="3"/>
      <w:numFmt w:val="bullet"/>
      <w:start w:val="1"/>
    </w:lvl>
  </w:abstractNum>
  <w:abstractNum w:abstractNumId="6">
    <w:nsid w:val="3A95F874"/>
    <w:multiLevelType w:val="hybridMultilevel"/>
    <w:lvl w:ilvl="0">
      <w:lvlJc w:val="left"/>
      <w:lvlText w:val="4"/>
      <w:numFmt w:val="bullet"/>
      <w:start w:val="1"/>
    </w:lvl>
  </w:abstractNum>
  <w:abstractNum w:abstractNumId="7">
    <w:nsid w:val="8138641"/>
    <w:multiLevelType w:val="hybridMultilevel"/>
    <w:lvl w:ilvl="0">
      <w:lvlJc w:val="left"/>
      <w:lvlText w:val="9"/>
      <w:numFmt w:val="bullet"/>
      <w:start w:val="1"/>
    </w:lvl>
  </w:abstractNum>
  <w:abstractNum w:abstractNumId="8">
    <w:nsid w:val="1E7FF521"/>
    <w:multiLevelType w:val="hybridMultilevel"/>
    <w:lvl w:ilvl="0">
      <w:lvlJc w:val="left"/>
      <w:lvlText w:val="1"/>
      <w:numFmt w:val="bullet"/>
      <w:start w:val="1"/>
    </w:lvl>
  </w:abstractNum>
  <w:abstractNum w:abstractNumId="9">
    <w:nsid w:val="7C3DBD3D"/>
    <w:multiLevelType w:val="hybridMultilevel"/>
    <w:lvl w:ilvl="0">
      <w:lvlJc w:val="left"/>
      <w:lvlText w:val="2"/>
      <w:numFmt w:val="bullet"/>
      <w:start w:val="1"/>
    </w:lvl>
  </w:abstractNum>
  <w:abstractNum w:abstractNumId="10">
    <w:nsid w:val="737B8DDC"/>
    <w:multiLevelType w:val="hybridMultilevel"/>
    <w:lvl w:ilvl="0">
      <w:lvlJc w:val="left"/>
      <w:lvlText w:val="3"/>
      <w:numFmt w:val="bullet"/>
      <w:start w:val="1"/>
    </w:lvl>
  </w:abstractNum>
  <w:abstractNum w:abstractNumId="11">
    <w:nsid w:val="6CEAF087"/>
    <w:multiLevelType w:val="hybridMultilevel"/>
    <w:lvl w:ilvl="0">
      <w:lvlJc w:val="left"/>
      <w:lvlText w:val="4"/>
      <w:numFmt w:val="bullet"/>
      <w:start w:val="1"/>
    </w:lvl>
  </w:abstractNum>
  <w:abstractNum w:abstractNumId="12">
    <w:nsid w:val="22221A70"/>
    <w:multiLevelType w:val="hybridMultilevel"/>
    <w:lvl w:ilvl="0">
      <w:lvlJc w:val="left"/>
      <w:lvlText w:val="9"/>
      <w:numFmt w:val="bullet"/>
      <w:start w:val="1"/>
    </w:lvl>
  </w:abstractNum>
  <w:abstractNum w:abstractNumId="13">
    <w:nsid w:val="4516DDE9"/>
    <w:multiLevelType w:val="hybridMultilevel"/>
    <w:lvl w:ilvl="0">
      <w:lvlJc w:val="left"/>
      <w:lvlText w:val="1"/>
      <w:numFmt w:val="bullet"/>
      <w:start w:val="1"/>
    </w:lvl>
  </w:abstractNum>
  <w:abstractNum w:abstractNumId="14">
    <w:nsid w:val="3006C83E"/>
    <w:multiLevelType w:val="hybridMultilevel"/>
    <w:lvl w:ilvl="0">
      <w:lvlJc w:val="left"/>
      <w:lvlText w:val="2"/>
      <w:numFmt w:val="bullet"/>
      <w:start w:val="1"/>
    </w:lvl>
  </w:abstractNum>
  <w:abstractNum w:abstractNumId="15">
    <w:nsid w:val="614FD4A1"/>
    <w:multiLevelType w:val="hybridMultilevel"/>
    <w:lvl w:ilvl="0">
      <w:lvlJc w:val="left"/>
      <w:lvlText w:val="3"/>
      <w:numFmt w:val="bullet"/>
      <w:start w:val="1"/>
    </w:lvl>
  </w:abstractNum>
  <w:abstractNum w:abstractNumId="16">
    <w:nsid w:val="419AC241"/>
    <w:multiLevelType w:val="hybridMultilevel"/>
    <w:lvl w:ilvl="0">
      <w:lvlJc w:val="left"/>
      <w:lvlText w:val="4"/>
      <w:numFmt w:val="bullet"/>
      <w:start w:val="1"/>
    </w:lvl>
  </w:abstractNum>
  <w:abstractNum w:abstractNumId="17">
    <w:nsid w:val="5577F8E1"/>
    <w:multiLevelType w:val="hybridMultilevel"/>
    <w:lvl w:ilvl="0">
      <w:lvlJc w:val="left"/>
      <w:lvlText w:val="9"/>
      <w:numFmt w:val="bullet"/>
      <w:start w:val="1"/>
    </w:lvl>
  </w:abstractNum>
  <w:abstractNum w:abstractNumId="18">
    <w:nsid w:val="440BADFC"/>
    <w:multiLevelType w:val="hybridMultilevel"/>
    <w:lvl w:ilvl="0">
      <w:lvlJc w:val="left"/>
      <w:lvlText w:val="1"/>
      <w:numFmt w:val="bullet"/>
      <w:start w:val="1"/>
    </w:lvl>
  </w:abstractNum>
  <w:abstractNum w:abstractNumId="19">
    <w:nsid w:val="5072367"/>
    <w:multiLevelType w:val="hybridMultilevel"/>
    <w:lvl w:ilvl="0">
      <w:lvlJc w:val="left"/>
      <w:lvlText w:val="2"/>
      <w:numFmt w:val="bullet"/>
      <w:start w:val="1"/>
    </w:lvl>
  </w:abstractNum>
  <w:abstractNum w:abstractNumId="20">
    <w:nsid w:val="3804823E"/>
    <w:multiLevelType w:val="hybridMultilevel"/>
    <w:lvl w:ilvl="0">
      <w:lvlJc w:val="left"/>
      <w:lvlText w:val="3"/>
      <w:numFmt w:val="bullet"/>
      <w:start w:val="1"/>
    </w:lvl>
  </w:abstractNum>
  <w:abstractNum w:abstractNumId="21">
    <w:nsid w:val="77465F01"/>
    <w:multiLevelType w:val="hybridMultilevel"/>
    <w:lvl w:ilvl="0">
      <w:lvlJc w:val="left"/>
      <w:lvlText w:val="4"/>
      <w:numFmt w:val="bullet"/>
      <w:start w:val="1"/>
    </w:lvl>
  </w:abstractNum>
  <w:abstractNum w:abstractNumId="22">
    <w:nsid w:val="7724C67E"/>
    <w:multiLevelType w:val="hybridMultilevel"/>
    <w:lvl w:ilvl="0">
      <w:lvlJc w:val="left"/>
      <w:lvlText w:val="9"/>
      <w:numFmt w:val="bullet"/>
      <w:start w:val="1"/>
    </w:lvl>
  </w:abstractNum>
  <w:abstractNum w:abstractNumId="23">
    <w:nsid w:val="5C482A97"/>
    <w:multiLevelType w:val="hybridMultilevel"/>
    <w:lvl w:ilvl="0">
      <w:lvlJc w:val="left"/>
      <w:lvlText w:val="1"/>
      <w:numFmt w:val="bullet"/>
      <w:start w:val="1"/>
    </w:lvl>
  </w:abstractNum>
  <w:abstractNum w:abstractNumId="24">
    <w:nsid w:val="2463B9EA"/>
    <w:multiLevelType w:val="hybridMultilevel"/>
    <w:lvl w:ilvl="0">
      <w:lvlJc w:val="left"/>
      <w:lvlText w:val="2"/>
      <w:numFmt w:val="bullet"/>
      <w:start w:val="1"/>
    </w:lvl>
  </w:abstractNum>
  <w:abstractNum w:abstractNumId="25">
    <w:nsid w:val="5E884ADC"/>
    <w:multiLevelType w:val="hybridMultilevel"/>
    <w:lvl w:ilvl="0">
      <w:lvlJc w:val="left"/>
      <w:lvlText w:val="3"/>
      <w:numFmt w:val="bullet"/>
      <w:start w:val="1"/>
    </w:lvl>
  </w:abstractNum>
  <w:abstractNum w:abstractNumId="26">
    <w:nsid w:val="51EAD36B"/>
    <w:multiLevelType w:val="hybridMultilevel"/>
    <w:lvl w:ilvl="0">
      <w:lvlJc w:val="left"/>
      <w:lvlText w:val="4"/>
      <w:numFmt w:val="bullet"/>
      <w:start w:val="1"/>
    </w:lvl>
  </w:abstractNum>
  <w:abstractNum w:abstractNumId="27">
    <w:nsid w:val="2D517796"/>
    <w:multiLevelType w:val="hybridMultilevel"/>
    <w:lvl w:ilvl="0">
      <w:lvlJc w:val="left"/>
      <w:lvlText w:val="9"/>
      <w:numFmt w:val="bullet"/>
      <w:start w:val="1"/>
    </w:lvl>
  </w:abstractNum>
  <w:abstractNum w:abstractNumId="28">
    <w:nsid w:val="580BD78F"/>
    <w:multiLevelType w:val="hybridMultilevel"/>
    <w:lvl w:ilvl="0">
      <w:lvlJc w:val="left"/>
      <w:lvlText w:val="1"/>
      <w:numFmt w:val="bullet"/>
      <w:start w:val="1"/>
    </w:lvl>
  </w:abstractNum>
  <w:abstractNum w:abstractNumId="29">
    <w:nsid w:val="153EA438"/>
    <w:multiLevelType w:val="hybridMultilevel"/>
    <w:lvl w:ilvl="0">
      <w:lvlJc w:val="left"/>
      <w:lvlText w:val="2"/>
      <w:numFmt w:val="bullet"/>
      <w:start w:val="1"/>
    </w:lvl>
  </w:abstractNum>
  <w:abstractNum w:abstractNumId="30">
    <w:nsid w:val="3855585C"/>
    <w:multiLevelType w:val="hybridMultilevel"/>
    <w:lvl w:ilvl="0">
      <w:lvlJc w:val="left"/>
      <w:lvlText w:val="3"/>
      <w:numFmt w:val="bullet"/>
      <w:start w:val="1"/>
    </w:lvl>
  </w:abstractNum>
  <w:abstractNum w:abstractNumId="31">
    <w:nsid w:val="70A64E2A"/>
    <w:multiLevelType w:val="hybridMultilevel"/>
    <w:lvl w:ilvl="0">
      <w:lvlJc w:val="left"/>
      <w:lvlText w:val="4"/>
      <w:numFmt w:val="bullet"/>
      <w:start w:val="1"/>
    </w:lvl>
  </w:abstractNum>
  <w:abstractNum w:abstractNumId="32">
    <w:nsid w:val="6A2342EC"/>
    <w:multiLevelType w:val="hybridMultilevel"/>
    <w:lvl w:ilvl="0">
      <w:lvlJc w:val="left"/>
      <w:lvlText w:val="9"/>
      <w:numFmt w:val="bullet"/>
      <w:start w:val="1"/>
    </w:lvl>
  </w:abstractNum>
  <w:abstractNum w:abstractNumId="33">
    <w:nsid w:val="2A487CB0"/>
    <w:multiLevelType w:val="hybridMultilevel"/>
    <w:lvl w:ilvl="0">
      <w:lvlJc w:val="left"/>
      <w:lvlText w:val="1"/>
      <w:numFmt w:val="bullet"/>
      <w:start w:val="1"/>
    </w:lvl>
  </w:abstractNum>
  <w:abstractNum w:abstractNumId="34">
    <w:nsid w:val="1D4ED43B"/>
    <w:multiLevelType w:val="hybridMultilevel"/>
    <w:lvl w:ilvl="0">
      <w:lvlJc w:val="left"/>
      <w:lvlText w:val="2"/>
      <w:numFmt w:val="bullet"/>
      <w:start w:val="1"/>
    </w:lvl>
  </w:abstractNum>
  <w:abstractNum w:abstractNumId="35">
    <w:nsid w:val="725A06FB"/>
    <w:multiLevelType w:val="hybridMultilevel"/>
    <w:lvl w:ilvl="0">
      <w:lvlJc w:val="left"/>
      <w:lvlText w:val="3"/>
      <w:numFmt w:val="bullet"/>
      <w:start w:val="1"/>
    </w:lvl>
  </w:abstractNum>
  <w:abstractNum w:abstractNumId="36">
    <w:nsid w:val="2CD89A32"/>
    <w:multiLevelType w:val="hybridMultilevel"/>
    <w:lvl w:ilvl="0">
      <w:lvlJc w:val="left"/>
      <w:lvlText w:val="4"/>
      <w:numFmt w:val="bullet"/>
      <w:start w:val="1"/>
    </w:lvl>
  </w:abstractNum>
  <w:abstractNum w:abstractNumId="37">
    <w:nsid w:val="57E4CCAF"/>
    <w:multiLevelType w:val="hybridMultilevel"/>
    <w:lvl w:ilvl="0">
      <w:lvlJc w:val="left"/>
      <w:lvlText w:val="9"/>
      <w:numFmt w:val="bullet"/>
      <w:start w:val="1"/>
    </w:lvl>
  </w:abstractNum>
  <w:abstractNum w:abstractNumId="38">
    <w:nsid w:val="7A6D8D3C"/>
    <w:multiLevelType w:val="hybridMultilevel"/>
    <w:lvl w:ilvl="0">
      <w:lvlJc w:val="left"/>
      <w:lvlText w:val="1"/>
      <w:numFmt w:val="bullet"/>
      <w:start w:val="1"/>
    </w:lvl>
  </w:abstractNum>
  <w:abstractNum w:abstractNumId="39">
    <w:nsid w:val="4B588F54"/>
    <w:multiLevelType w:val="hybridMultilevel"/>
    <w:lvl w:ilvl="0">
      <w:lvlJc w:val="left"/>
      <w:lvlText w:val="2"/>
      <w:numFmt w:val="bullet"/>
      <w:start w:val="1"/>
    </w:lvl>
  </w:abstractNum>
  <w:abstractNum w:abstractNumId="40">
    <w:nsid w:val="542289EC"/>
    <w:multiLevelType w:val="hybridMultilevel"/>
    <w:lvl w:ilvl="0">
      <w:lvlJc w:val="left"/>
      <w:lvlText w:val="3"/>
      <w:numFmt w:val="bullet"/>
      <w:start w:val="1"/>
    </w:lvl>
  </w:abstractNum>
  <w:abstractNum w:abstractNumId="41">
    <w:nsid w:val="6DE91B18"/>
    <w:multiLevelType w:val="hybridMultilevel"/>
    <w:lvl w:ilvl="0">
      <w:lvlJc w:val="left"/>
      <w:lvlText w:val="4"/>
      <w:numFmt w:val="bullet"/>
      <w:start w:val="1"/>
    </w:lvl>
  </w:abstractNum>
  <w:abstractNum w:abstractNumId="42">
    <w:nsid w:val="38437FDB"/>
    <w:multiLevelType w:val="hybridMultilevel"/>
    <w:lvl w:ilvl="0">
      <w:lvlJc w:val="left"/>
      <w:lvlText w:val="9"/>
      <w:numFmt w:val="bullet"/>
      <w:start w:val="1"/>
    </w:lvl>
  </w:abstractNum>
  <w:abstractNum w:abstractNumId="43">
    <w:nsid w:val="7644A45C"/>
    <w:multiLevelType w:val="hybridMultilevel"/>
    <w:lvl w:ilvl="0">
      <w:lvlJc w:val="left"/>
      <w:lvlText w:val="1"/>
      <w:numFmt w:val="bullet"/>
      <w:start w:val="1"/>
    </w:lvl>
  </w:abstractNum>
  <w:abstractNum w:abstractNumId="44">
    <w:nsid w:val="32FFF902"/>
    <w:multiLevelType w:val="hybridMultilevel"/>
    <w:lvl w:ilvl="0">
      <w:lvlJc w:val="left"/>
      <w:lvlText w:val="2"/>
      <w:numFmt w:val="bullet"/>
      <w:start w:val="1"/>
    </w:lvl>
  </w:abstractNum>
  <w:abstractNum w:abstractNumId="45">
    <w:nsid w:val="684A481A"/>
    <w:multiLevelType w:val="hybridMultilevel"/>
    <w:lvl w:ilvl="0">
      <w:lvlJc w:val="left"/>
      <w:lvlText w:val="3"/>
      <w:numFmt w:val="bullet"/>
      <w:start w:val="1"/>
    </w:lvl>
  </w:abstractNum>
  <w:abstractNum w:abstractNumId="46">
    <w:nsid w:val="579478FE"/>
    <w:multiLevelType w:val="hybridMultilevel"/>
    <w:lvl w:ilvl="0">
      <w:lvlJc w:val="left"/>
      <w:lvlText w:val="4"/>
      <w:numFmt w:val="bullet"/>
      <w:start w:val="1"/>
    </w:lvl>
  </w:abstractNum>
  <w:abstractNum w:abstractNumId="47">
    <w:nsid w:val="749ABB43"/>
    <w:multiLevelType w:val="hybridMultilevel"/>
    <w:lvl w:ilvl="0">
      <w:lvlJc w:val="left"/>
      <w:lvlText w:val="9"/>
      <w:numFmt w:val="bullet"/>
      <w:start w:val="1"/>
    </w:lvl>
  </w:abstractNum>
  <w:abstractNum w:abstractNumId="48">
    <w:nsid w:val="3DC240FB"/>
    <w:multiLevelType w:val="hybridMultilevel"/>
    <w:lvl w:ilvl="0">
      <w:lvlJc w:val="left"/>
      <w:lvlText w:val="(%1)"/>
      <w:numFmt w:val="lowerRoman"/>
      <w:start w:val="1"/>
    </w:lvl>
  </w:abstractNum>
  <w:abstractNum w:abstractNumId="49">
    <w:nsid w:val="1BA026FA"/>
    <w:multiLevelType w:val="hybridMultilevel"/>
    <w:lvl w:ilvl="0">
      <w:lvlJc w:val="left"/>
      <w:lvlText w:val="(%1)"/>
      <w:numFmt w:val="lowerRoman"/>
      <w:start w:val="4"/>
    </w:lvl>
  </w:abstractNum>
  <w:abstractNum w:abstractNumId="50">
    <w:nsid w:val="79A1DEAA"/>
    <w:multiLevelType w:val="hybridMultilevel"/>
    <w:lvl w:ilvl="0">
      <w:lvlJc w:val="left"/>
      <w:lvlText w:val="(%1)"/>
      <w:numFmt w:val="lowerRoman"/>
      <w:start w:val="8"/>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2020-12-18T15:25:51Z</dcterms:created>
  <dcterms:modified xsi:type="dcterms:W3CDTF">2020-12-18T15:25:51Z</dcterms:modified>
</cp:coreProperties>
</file>