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88" w:before="40" w:after="283"/>
        <w:jc w:val="center"/>
        <w:rPr>
          <w:rFonts w:ascii="Times New Roman;sans-serif" w:hAnsi="Times New Roman;sans-serif"/>
          <w:b/>
          <w:color w:val="000000"/>
          <w:sz w:val="22"/>
        </w:rPr>
      </w:pPr>
      <w:r>
        <w:rPr>
          <w:rFonts w:ascii="Times New Roman;sans-serif" w:hAnsi="Times New Roman;sans-serif"/>
          <w:b/>
          <w:color w:val="000000"/>
          <w:sz w:val="22"/>
        </w:rPr>
        <w:t>Washington, D.C. 20549</w:t>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jc w:val="center"/>
        <w:rPr>
          <w:rFonts w:ascii="Times New Roman;sans-serif" w:hAnsi="Times New Roman;sans-serif"/>
          <w:b/>
          <w:color w:val="000000"/>
          <w:sz w:val="32"/>
        </w:rPr>
      </w:pPr>
      <w:r>
        <w:rPr>
          <w:rFonts w:ascii="Times New Roman;sans-serif" w:hAnsi="Times New Roman;sans-serif"/>
          <w:b/>
          <w:color w:val="000000"/>
          <w:sz w:val="32"/>
        </w:rPr>
        <w:t>FORM 8-K</w:t>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Date of Report (Date of earliest event reported): </w:t>
      </w:r>
    </w:p>
    <w:p>
      <w:pPr>
        <w:pStyle w:val="TextBody"/>
        <w:spacing w:lineRule="auto" w:line="288" w:before="80" w:after="283"/>
        <w:jc w:val="center"/>
        <w:rPr>
          <w:rFonts w:ascii="Times New Roman;sans-serif" w:hAnsi="Times New Roman;sans-serif"/>
          <w:b/>
          <w:color w:val="000000"/>
          <w:sz w:val="24"/>
        </w:rPr>
      </w:pPr>
      <w:r>
        <w:rPr>
          <w:rFonts w:ascii="Times New Roman;sans-serif" w:hAnsi="Times New Roman;sans-serif"/>
          <w:b/>
          <w:color w:val="000000"/>
          <w:sz w:val="24"/>
        </w:rPr>
        <w:t>August 12, 2021</w:t>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jc w:val="center"/>
        <w:rPr>
          <w:rFonts w:ascii="Times New Roman;sans-serif" w:hAnsi="Times New Roman;sans-serif"/>
          <w:b/>
          <w:color w:val="000000"/>
          <w:sz w:val="32"/>
        </w:rPr>
      </w:pPr>
      <w:r>
        <w:rPr>
          <w:rFonts w:ascii="Times New Roman;sans-serif" w:hAnsi="Times New Roman;sans-serif"/>
          <w:b/>
          <w:color w:val="000000"/>
          <w:sz w:val="32"/>
        </w:rPr>
        <w:t>Seer, Inc.</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5468" w:type="dxa"/>
        <w:jc w:val="center"/>
        <w:tblInd w:w="0" w:type="dxa"/>
        <w:tblCellMar>
          <w:top w:w="28" w:type="dxa"/>
          <w:left w:w="28" w:type="dxa"/>
          <w:bottom w:w="28" w:type="dxa"/>
          <w:right w:w="28" w:type="dxa"/>
        </w:tblCellMar>
      </w:tblPr>
      <w:tblGrid>
        <w:gridCol w:w="819"/>
        <w:gridCol w:w="718"/>
        <w:gridCol w:w="728"/>
        <w:gridCol w:w="109"/>
        <w:gridCol w:w="109"/>
        <w:gridCol w:w="109"/>
        <w:gridCol w:w="353"/>
        <w:gridCol w:w="353"/>
        <w:gridCol w:w="358"/>
        <w:gridCol w:w="109"/>
        <w:gridCol w:w="109"/>
        <w:gridCol w:w="109"/>
        <w:gridCol w:w="434"/>
        <w:gridCol w:w="434"/>
        <w:gridCol w:w="617"/>
      </w:tblGrid>
      <w:tr>
        <w:trPr/>
        <w:tc>
          <w:tcPr>
            <w:tcW w:w="819"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001-39747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82-1153150</w:t>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3800 Bridge Parkway, Suite 102</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Redwood City, California 94065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including zip code)</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650-453-0000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reports)</w:t>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Check the appropriate box below if the Form 8-K filing is intended to simultaneously satisfy the filing obligation of the registrant under any of the following provisions:</w:t>
      </w:r>
    </w:p>
    <w:p>
      <w:pPr>
        <w:pStyle w:val="TextBody"/>
        <w:spacing w:before="0" w:after="0"/>
        <w:jc w:val="center"/>
        <w:rPr/>
      </w:pPr>
      <w:r>
        <w:rPr/>
      </w:r>
    </w:p>
    <w:tbl>
      <w:tblPr>
        <w:tblW w:w="8442" w:type="dxa"/>
        <w:jc w:val="center"/>
        <w:tblInd w:w="0" w:type="dxa"/>
        <w:tblCellMar>
          <w:top w:w="28" w:type="dxa"/>
          <w:left w:w="28" w:type="dxa"/>
          <w:bottom w:w="28" w:type="dxa"/>
          <w:right w:w="28" w:type="dxa"/>
        </w:tblCellMar>
      </w:tblPr>
      <w:tblGrid>
        <w:gridCol w:w="124"/>
        <w:gridCol w:w="109"/>
        <w:gridCol w:w="109"/>
        <w:gridCol w:w="2369"/>
        <w:gridCol w:w="2369"/>
        <w:gridCol w:w="336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9" w:type="dxa"/>
            <w:tcBorders/>
            <w:shd w:fill="auto" w:val="clear"/>
            <w:vAlign w:val="center"/>
          </w:tcPr>
          <w:p>
            <w:pPr>
              <w:pStyle w:val="TableContents"/>
              <w:spacing w:before="0" w:after="283"/>
              <w:rPr>
                <w:sz w:val="4"/>
                <w:szCs w:val="4"/>
              </w:rPr>
            </w:pPr>
            <w:r>
              <w:rPr>
                <w:sz w:val="4"/>
                <w:szCs w:val="4"/>
              </w:rPr>
            </w:r>
          </w:p>
        </w:tc>
        <w:tc>
          <w:tcPr>
            <w:tcW w:w="2369" w:type="dxa"/>
            <w:tcBorders/>
            <w:shd w:fill="auto" w:val="clear"/>
            <w:vAlign w:val="center"/>
          </w:tcPr>
          <w:p>
            <w:pPr>
              <w:pStyle w:val="TableContents"/>
              <w:spacing w:before="0" w:after="283"/>
              <w:rPr>
                <w:sz w:val="4"/>
                <w:szCs w:val="4"/>
              </w:rPr>
            </w:pPr>
            <w:r>
              <w:rPr>
                <w:sz w:val="4"/>
                <w:szCs w:val="4"/>
              </w:rPr>
            </w:r>
          </w:p>
        </w:tc>
        <w:tc>
          <w:tcPr>
            <w:tcW w:w="336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Written communications pursuant to Rule 425 under the Securities Act (17 CFR 230.425)</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Soliciting material pursuant to Rule 14a-12 under the Exchange Act (17 CFR 240.14a-12)</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14d-2(b) under the Exchange Act (17 CFR 240.14d-2(b))</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13e-4(c) under the Exchange Act (17 CFR 240.13e-4(c))</w:t>
            </w:r>
          </w:p>
        </w:tc>
      </w:tr>
    </w:tbl>
    <w:tbl>
      <w:tblPr>
        <w:tblW w:w="8727" w:type="dxa"/>
        <w:jc w:val="center"/>
        <w:tblInd w:w="0" w:type="dxa"/>
        <w:tblCellMar>
          <w:top w:w="28" w:type="dxa"/>
          <w:left w:w="28" w:type="dxa"/>
          <w:bottom w:w="28" w:type="dxa"/>
          <w:right w:w="28" w:type="dxa"/>
        </w:tblCellMar>
      </w:tblPr>
      <w:tblGrid>
        <w:gridCol w:w="1404"/>
        <w:gridCol w:w="1236"/>
        <w:gridCol w:w="1244"/>
        <w:gridCol w:w="454"/>
        <w:gridCol w:w="454"/>
        <w:gridCol w:w="456"/>
        <w:gridCol w:w="1019"/>
        <w:gridCol w:w="1019"/>
        <w:gridCol w:w="1441"/>
      </w:tblGrid>
      <w:tr>
        <w:trPr/>
        <w:tc>
          <w:tcPr>
            <w:tcW w:w="1404"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36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w:t>
            </w:r>
          </w:p>
        </w:tc>
        <w:tc>
          <w:tcPr>
            <w:tcW w:w="347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88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par value $0.00001 per share</w:t>
            </w:r>
          </w:p>
        </w:tc>
        <w:tc>
          <w:tcPr>
            <w:tcW w:w="136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SEER</w:t>
            </w:r>
          </w:p>
        </w:tc>
        <w:tc>
          <w:tcPr>
            <w:tcW w:w="3479"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32" w:before="55" w:after="30"/>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p>
            <w:pPr>
              <w:pStyle w:val="TableContents"/>
              <w:spacing w:lineRule="auto" w:line="232" w:before="55" w:after="30"/>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Global Select Market)</w:t>
            </w:r>
          </w:p>
        </w:tc>
      </w:tr>
    </w:tbl>
    <w:p>
      <w:pPr>
        <w:pStyle w:val="TextBody"/>
        <w:spacing w:lineRule="auto" w:line="333" w:before="120" w:after="180"/>
        <w:rPr>
          <w:rFonts w:ascii="Times New Roman;sans-serif" w:hAnsi="Times New Roman;sans-serif"/>
          <w:b w:val="false"/>
          <w:color w:val="000000"/>
          <w:sz w:val="14"/>
        </w:rPr>
      </w:pPr>
      <w:r>
        <w:rPr>
          <w:rFonts w:ascii="Times New Roman;sans-serif" w:hAnsi="Times New Roman;sans-serif"/>
          <w:b w:val="false"/>
          <w:color w:val="000000"/>
          <w:sz w:val="14"/>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lineRule="auto" w:line="333" w:before="0" w:after="180"/>
        <w:rPr>
          <w:rFonts w:ascii="Times New Roman;sans-serif" w:hAnsi="Times New Roman;sans-serif"/>
          <w:b w:val="false"/>
          <w:color w:val="000000"/>
          <w:sz w:val="14"/>
        </w:rPr>
      </w:pPr>
      <w:r>
        <w:rPr>
          <w:rFonts w:ascii="Times New Roman;sans-serif" w:hAnsi="Times New Roman;sans-serif"/>
          <w:b w:val="false"/>
          <w:color w:val="000000"/>
          <w:sz w:val="14"/>
        </w:rPr>
        <w:t>Emerging growth company ☒</w:t>
      </w:r>
    </w:p>
    <w:p>
      <w:pPr>
        <w:pStyle w:val="TextBody"/>
        <w:spacing w:lineRule="auto" w:line="333" w:before="0" w:after="0"/>
        <w:rPr>
          <w:rFonts w:ascii="Times New Roman;sans-serif" w:hAnsi="Times New Roman;sans-serif"/>
          <w:b w:val="false"/>
          <w:color w:val="000000"/>
          <w:sz w:val="14"/>
        </w:rPr>
      </w:pPr>
      <w:r>
        <w:rPr>
          <w:rFonts w:ascii="Times New Roman;sans-serif" w:hAnsi="Times New Roman;sans-serif"/>
          <w:b w:val="false"/>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2.02 – Results of Operations and Financial Condition.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August 12, 2021, Seer, Inc. (the “Company”) issued a press release (the “Press Release”) announcing results for the quarter ended June 30, 2021. A copy of the Press Release is attached as Exhibit 99.1 to this current report on Form 8-K and is incorporated by reference herein.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360"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     Exhibits</w:t>
      </w:r>
    </w:p>
    <w:p>
      <w:pPr>
        <w:pStyle w:val="TextBody"/>
        <w:spacing w:before="0" w:after="0"/>
        <w:rPr/>
      </w:pPr>
      <w:r>
        <w:rPr/>
      </w:r>
    </w:p>
    <w:tbl>
      <w:tblPr>
        <w:tblW w:w="4526" w:type="dxa"/>
        <w:jc w:val="left"/>
        <w:tblInd w:w="0" w:type="dxa"/>
        <w:tblCellMar>
          <w:top w:w="28" w:type="dxa"/>
          <w:left w:w="28" w:type="dxa"/>
          <w:bottom w:w="28" w:type="dxa"/>
          <w:right w:w="28" w:type="dxa"/>
        </w:tblCellMar>
      </w:tblPr>
      <w:tblGrid>
        <w:gridCol w:w="391"/>
        <w:gridCol w:w="344"/>
        <w:gridCol w:w="345"/>
        <w:gridCol w:w="109"/>
        <w:gridCol w:w="109"/>
        <w:gridCol w:w="109"/>
        <w:gridCol w:w="773"/>
        <w:gridCol w:w="773"/>
        <w:gridCol w:w="775"/>
        <w:gridCol w:w="234"/>
        <w:gridCol w:w="234"/>
        <w:gridCol w:w="330"/>
      </w:tblGrid>
      <w:tr>
        <w:trPr/>
        <w:tc>
          <w:tcPr>
            <w:tcW w:w="391"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r>
      <w:tr>
        <w:trPr/>
        <w:tc>
          <w:tcPr>
            <w:tcW w:w="10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1b6928aa2914477907efdac312cff55_16">
              <w:r>
                <w:rPr>
                  <w:rStyle w:val="InternetLink"/>
                  <w:rFonts w:ascii="Times New Roman;sans-serif" w:hAnsi="Times New Roman;sans-serif"/>
                  <w:b w:val="false"/>
                  <w:color w:val="0000FF"/>
                  <w:sz w:val="20"/>
                  <w:u w:val="single"/>
                </w:rPr>
                <w:t>99.1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9" w:type="dxa"/>
            <w:gridSpan w:val="6"/>
            <w:tcBorders/>
            <w:shd w:fill="auto" w:val="clear"/>
            <w:tcMar>
              <w:top w:w="0" w:type="dxa"/>
              <w:left w:w="0" w:type="dxa"/>
              <w:bottom w:w="0" w:type="dxa"/>
              <w:right w:w="0" w:type="dxa"/>
            </w:tcMar>
            <w:vAlign w:val="center"/>
          </w:tcPr>
          <w:p>
            <w:pPr>
              <w:pStyle w:val="TableContents"/>
              <w:spacing w:lineRule="auto" w:line="288" w:before="75" w:after="30"/>
              <w:jc w:val="left"/>
              <w:rPr>
                <w:rFonts w:ascii="Times New Roman;sans-serif" w:hAnsi="Times New Roman;sans-serif"/>
                <w:b w:val="false"/>
                <w:color w:val="000000"/>
                <w:sz w:val="20"/>
              </w:rPr>
            </w:pPr>
            <w:r>
              <w:rPr>
                <w:rFonts w:ascii="Times New Roman;sans-serif" w:hAnsi="Times New Roman;sans-serif"/>
                <w:b w:val="false"/>
                <w:color w:val="000000"/>
                <w:sz w:val="20"/>
              </w:rPr>
              <w:t>Press Release dated August 12, 2021</w:t>
            </w:r>
          </w:p>
        </w:tc>
      </w:tr>
      <w:tr>
        <w:trPr/>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21" w:type="dxa"/>
            <w:gridSpan w:val="3"/>
            <w:tcBorders/>
            <w:shd w:fill="auto" w:val="clear"/>
            <w:vAlign w:val="center"/>
          </w:tcPr>
          <w:p>
            <w:pPr>
              <w:pStyle w:val="TableContents"/>
              <w:spacing w:before="0" w:after="283"/>
              <w:rPr>
                <w:sz w:val="4"/>
                <w:szCs w:val="4"/>
              </w:rPr>
            </w:pPr>
            <w:r>
              <w:rPr>
                <w:sz w:val="4"/>
                <w:szCs w:val="4"/>
              </w:rPr>
            </w:r>
          </w:p>
        </w:tc>
        <w:tc>
          <w:tcPr>
            <w:tcW w:w="798" w:type="dxa"/>
            <w:gridSpan w:val="3"/>
            <w:tcBorders/>
            <w:shd w:fill="auto" w:val="clea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360" w:after="283"/>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spacing w:before="0" w:after="0"/>
        <w:ind w:left="0" w:right="0" w:firstLine="7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spacing w:before="0" w:after="0"/>
        <w:rPr/>
      </w:pPr>
      <w:r>
        <w:rPr/>
      </w:r>
    </w:p>
    <w:tbl>
      <w:tblPr>
        <w:tblW w:w="4337" w:type="dxa"/>
        <w:jc w:val="left"/>
        <w:tblInd w:w="0" w:type="dxa"/>
        <w:tblCellMar>
          <w:top w:w="28" w:type="dxa"/>
          <w:left w:w="28" w:type="dxa"/>
          <w:bottom w:w="28" w:type="dxa"/>
          <w:right w:w="28" w:type="dxa"/>
        </w:tblCellMar>
      </w:tblPr>
      <w:tblGrid>
        <w:gridCol w:w="124"/>
        <w:gridCol w:w="109"/>
        <w:gridCol w:w="109"/>
        <w:gridCol w:w="484"/>
        <w:gridCol w:w="484"/>
        <w:gridCol w:w="486"/>
        <w:gridCol w:w="177"/>
        <w:gridCol w:w="177"/>
        <w:gridCol w:w="177"/>
        <w:gridCol w:w="587"/>
        <w:gridCol w:w="587"/>
        <w:gridCol w:w="83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SEER, INC.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August 12, 2021</w:t>
            </w:r>
          </w:p>
        </w:tc>
        <w:tc>
          <w:tcPr>
            <w:tcW w:w="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Horn]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Horn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 xml:space="preserve">Ex. 99.1 </w:t>
      </w:r>
    </w:p>
    <w:p>
      <w:pPr>
        <w:pStyle w:val="TextBody"/>
        <w:spacing w:before="0" w:after="0"/>
        <w:jc w:val="center"/>
        <w:rPr/>
      </w:pPr>
      <w:r>
        <w:rPr/>
      </w:r>
    </w:p>
    <w:p>
      <w:pPr>
        <w:pStyle w:val="TextBody"/>
        <w:spacing w:lineRule="auto" w:line="288" w:before="0" w:after="0"/>
        <w:jc w:val="center"/>
        <w:rPr>
          <w:rFonts w:ascii="Arial;sans-serif" w:hAnsi="Arial;sans-serif"/>
          <w:b/>
          <w:color w:val="000000"/>
          <w:sz w:val="24"/>
        </w:rPr>
      </w:pPr>
      <w:r>
        <w:rPr>
          <w:rFonts w:ascii="Arial;sans-serif" w:hAnsi="Arial;sans-serif"/>
          <w:b/>
          <w:color w:val="000000"/>
          <w:sz w:val="24"/>
        </w:rPr>
        <w:t xml:space="preserve">Seer Reports Second Quarter 2021 Financial Results </w:t>
      </w:r>
    </w:p>
    <w:p>
      <w:pPr>
        <w:pStyle w:val="TextBody"/>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Expanded installed base and booked initial revenue for Proteograph Product Suite</w:t>
      </w:r>
    </w:p>
    <w:p>
      <w:pPr>
        <w:pStyle w:val="TextBody"/>
        <w:spacing w:before="0" w:after="0"/>
        <w:rPr/>
      </w:pPr>
      <w:r>
        <w:rPr/>
      </w:r>
    </w:p>
    <w:p>
      <w:pPr>
        <w:pStyle w:val="TextBody"/>
        <w:spacing w:lineRule="auto" w:line="276" w:before="0" w:after="0"/>
        <w:jc w:val="both"/>
        <w:rPr/>
      </w:pPr>
      <w:r>
        <w:rPr>
          <w:rFonts w:ascii="Arial;sans-serif" w:hAnsi="Arial;sans-serif"/>
          <w:b/>
          <w:color w:val="000000"/>
          <w:sz w:val="20"/>
        </w:rPr>
        <w:t xml:space="preserve">REDWOOD CITY, Calif. </w:t>
      </w:r>
      <w:r>
        <w:rPr>
          <w:rFonts w:ascii="Arial;sans-serif" w:hAnsi="Arial;sans-serif"/>
          <w:b w:val="false"/>
          <w:color w:val="000000"/>
          <w:sz w:val="20"/>
        </w:rPr>
        <w:t>Aug 12, 2021 – Seer, Inc. (Nasdaq: SEER), a life sciences company commercializing a disruptive new platform for proteomics, today reported financial results for the second quarter ended June 30, 2021.</w:t>
      </w:r>
    </w:p>
    <w:p>
      <w:pPr>
        <w:pStyle w:val="TextBody"/>
        <w:spacing w:before="0" w:after="0"/>
        <w:rPr/>
      </w:pPr>
      <w:r>
        <w:rPr/>
      </w:r>
    </w:p>
    <w:p>
      <w:pPr>
        <w:pStyle w:val="TextBody"/>
        <w:spacing w:lineRule="auto" w:line="276" w:before="0" w:after="0"/>
        <w:jc w:val="both"/>
        <w:rPr>
          <w:color w:val="000000"/>
        </w:rPr>
      </w:pPr>
      <w:r>
        <w:rPr>
          <w:color w:val="000000"/>
        </w:rPr>
        <w:t>“</w:t>
      </w:r>
      <w:r>
        <w:rPr>
          <w:rFonts w:ascii="Arial;sans-serif" w:hAnsi="Arial;sans-serif"/>
          <w:b w:val="false"/>
          <w:color w:val="000000"/>
          <w:sz w:val="20"/>
        </w:rPr>
        <w:t>I am incredibly proud of our team and the strides we are making to transform proteomics and empower the scientific community,” said Omid Farokhzad, Chair and Chief Executive Officer. “The performance of the Proteograph Product Suite in customers’ hands has exceeded our expectations, and I am excited about the early data they are generating. This strong progress further substantiates our belief that Seer’s technology will open up a new gateway to the proteome and advance our understanding of biology.”</w:t>
      </w:r>
    </w:p>
    <w:p>
      <w:pPr>
        <w:pStyle w:val="TextBody"/>
        <w:spacing w:before="0" w:after="0"/>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 xml:space="preserve">Recent Highlights </w:t>
      </w:r>
    </w:p>
    <w:p>
      <w:pPr>
        <w:pStyle w:val="TextBody"/>
        <w:spacing w:lineRule="auto" w:line="276" w:before="0" w:after="0"/>
        <w:ind w:left="0" w:right="0" w:hanging="360"/>
        <w:jc w:val="both"/>
        <w:rPr/>
      </w:pPr>
      <w:r>
        <w:rPr>
          <w:color w:val="000000"/>
        </w:rPr>
        <w:t>•</w:t>
      </w:r>
      <w:r>
        <w:rPr>
          <w:rFonts w:ascii="Arial;sans-serif" w:hAnsi="Arial;sans-serif"/>
          <w:b w:val="false"/>
          <w:color w:val="000000"/>
          <w:sz w:val="20"/>
        </w:rPr>
        <w:t>Shipped and installed the Proteograph Product Suite to additional sites, including the first international customer</w:t>
      </w:r>
    </w:p>
    <w:p>
      <w:pPr>
        <w:pStyle w:val="TextBody"/>
        <w:spacing w:lineRule="auto" w:line="276" w:before="0" w:after="0"/>
        <w:ind w:left="0" w:right="0" w:hanging="360"/>
        <w:jc w:val="both"/>
        <w:rPr/>
      </w:pPr>
      <w:r>
        <w:rPr>
          <w:color w:val="000000"/>
        </w:rPr>
        <w:t>•</w:t>
      </w:r>
      <w:r>
        <w:rPr>
          <w:rFonts w:ascii="Arial;sans-serif" w:hAnsi="Arial;sans-serif"/>
          <w:b w:val="false"/>
          <w:color w:val="000000"/>
          <w:sz w:val="20"/>
        </w:rPr>
        <w:t>Booked initial revenue for the Proteograph Product Suite</w:t>
      </w:r>
    </w:p>
    <w:p>
      <w:pPr>
        <w:pStyle w:val="TextBody"/>
        <w:spacing w:lineRule="auto" w:line="276" w:before="0" w:after="0"/>
        <w:ind w:left="0" w:right="0" w:hanging="360"/>
        <w:jc w:val="both"/>
        <w:rPr/>
      </w:pPr>
      <w:r>
        <w:rPr>
          <w:color w:val="000000"/>
        </w:rPr>
        <w:t>•</w:t>
      </w:r>
      <w:r>
        <w:rPr>
          <w:rFonts w:ascii="Arial;sans-serif" w:hAnsi="Arial;sans-serif"/>
          <w:b w:val="false"/>
          <w:color w:val="000000"/>
          <w:sz w:val="20"/>
        </w:rPr>
        <w:t>Made strong progress in the Limited Release phase of commercialization; on track to achieve a high single digit number of Limited Release customers in 2021</w:t>
      </w:r>
    </w:p>
    <w:p>
      <w:pPr>
        <w:pStyle w:val="TextBody"/>
        <w:spacing w:lineRule="auto" w:line="276" w:before="0" w:after="0"/>
        <w:ind w:left="0" w:right="0" w:hanging="360"/>
        <w:jc w:val="both"/>
        <w:rPr/>
      </w:pPr>
      <w:r>
        <w:rPr>
          <w:color w:val="000000"/>
        </w:rPr>
        <w:t>•</w:t>
      </w:r>
      <w:r>
        <w:rPr>
          <w:rFonts w:ascii="Arial;sans-serif" w:hAnsi="Arial;sans-serif"/>
          <w:b w:val="false"/>
          <w:color w:val="000000"/>
          <w:sz w:val="20"/>
        </w:rPr>
        <w:t>Continued to see momentum in the market with early customers excited by their data, submitting abstracts, preparing for peer-reviewed publications, and securing funding for larger studies</w:t>
      </w:r>
    </w:p>
    <w:p>
      <w:pPr>
        <w:pStyle w:val="TextBody"/>
        <w:spacing w:lineRule="auto" w:line="276" w:before="0" w:after="0"/>
        <w:ind w:left="0" w:right="0" w:hanging="360"/>
        <w:jc w:val="both"/>
        <w:rPr/>
      </w:pPr>
      <w:r>
        <w:rPr>
          <w:color w:val="000000"/>
        </w:rPr>
        <w:t>•</w:t>
      </w:r>
      <w:r>
        <w:rPr>
          <w:rFonts w:ascii="Arial;sans-serif" w:hAnsi="Arial;sans-serif"/>
          <w:b w:val="false"/>
          <w:color w:val="000000"/>
          <w:sz w:val="20"/>
        </w:rPr>
        <w:t>Accelerated entry into the Chinese market through a new distribution partnership with Enlight Medical</w:t>
      </w:r>
    </w:p>
    <w:p>
      <w:pPr>
        <w:pStyle w:val="TextBody"/>
        <w:spacing w:before="0" w:after="0"/>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Second Quarter 2021 Financial Results</w:t>
      </w:r>
    </w:p>
    <w:p>
      <w:pPr>
        <w:pStyle w:val="TextBody"/>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Revenue was $1.3 million for the three months ended June 30, 2021, as compared to $71,000 for the three months ended June 30, 2020. The increase was the result of commencement of sales of our Proteograph Product Suite and services performed for PrognomIQ. Product revenue was $837,000, related party revenue was $380,000, and grant revenue was $117,000. </w:t>
      </w:r>
    </w:p>
    <w:p>
      <w:pPr>
        <w:pStyle w:val="TextBody"/>
        <w:spacing w:before="0" w:after="0"/>
        <w:rPr/>
      </w:pPr>
      <w:r>
        <w:rPr/>
      </w:r>
    </w:p>
    <w:p>
      <w:pPr>
        <w:pStyle w:val="TextBody"/>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Gross profit, inclusive of grant revenue, was $748,000 and gross margin was 56% for the second quarter of 2021. </w:t>
      </w:r>
    </w:p>
    <w:p>
      <w:pPr>
        <w:pStyle w:val="TextBody"/>
        <w:spacing w:before="0" w:after="0"/>
        <w:rPr/>
      </w:pPr>
      <w:r>
        <w:rPr/>
      </w:r>
    </w:p>
    <w:p>
      <w:pPr>
        <w:pStyle w:val="TextBody"/>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Operating expenses were $17.4 million for the second quarter of 2021, as compared to $6.4 million for the corresponding prior year period. The increase in expenses was driven by increased compensation, benefit and stock-based compensation expense associated with an increase in personnel, and an increase in costs associated with becoming a publicly traded company. </w:t>
      </w:r>
    </w:p>
    <w:p>
      <w:pPr>
        <w:pStyle w:val="TextBody"/>
        <w:spacing w:before="0" w:after="0"/>
        <w:rPr/>
      </w:pPr>
      <w:r>
        <w:rPr/>
      </w:r>
    </w:p>
    <w:p>
      <w:pPr>
        <w:pStyle w:val="TextBody"/>
        <w:spacing w:lineRule="auto" w:line="276" w:before="0" w:after="0"/>
        <w:jc w:val="both"/>
        <w:rPr>
          <w:rFonts w:ascii="Arial;sans-serif" w:hAnsi="Arial;sans-serif"/>
          <w:b w:val="false"/>
          <w:color w:val="000000"/>
          <w:sz w:val="20"/>
        </w:rPr>
      </w:pPr>
      <w:r>
        <w:rPr>
          <w:rFonts w:ascii="Arial;sans-serif" w:hAnsi="Arial;sans-serif"/>
          <w:b w:val="false"/>
          <w:color w:val="000000"/>
          <w:sz w:val="20"/>
        </w:rPr>
        <w:t>Net loss was $16.6 million for the second quarter of 2021, as compared to $6.1 million for the corresponding prior year period.</w:t>
      </w:r>
    </w:p>
    <w:p>
      <w:pPr>
        <w:pStyle w:val="TextBody"/>
        <w:spacing w:before="0" w:after="0"/>
        <w:rPr/>
      </w:pPr>
      <w:r>
        <w:rPr/>
      </w:r>
    </w:p>
    <w:p>
      <w:pPr>
        <w:pStyle w:val="TextBody"/>
        <w:spacing w:lineRule="auto" w:line="276" w:before="0" w:after="0"/>
        <w:jc w:val="both"/>
        <w:rPr>
          <w:rFonts w:ascii="Arial;sans-serif" w:hAnsi="Arial;sans-serif"/>
          <w:b w:val="false"/>
          <w:color w:val="000000"/>
          <w:sz w:val="20"/>
        </w:rPr>
      </w:pPr>
      <w:r>
        <w:rPr>
          <w:rFonts w:ascii="Arial;sans-serif" w:hAnsi="Arial;sans-serif"/>
          <w:b w:val="false"/>
          <w:color w:val="000000"/>
          <w:sz w:val="20"/>
        </w:rPr>
        <w:t>Cash, cash equivalents and investments were approximately $518 million as of June 30, 2021.</w:t>
      </w:r>
    </w:p>
    <w:p>
      <w:pPr>
        <w:pStyle w:val="TextBody"/>
        <w:spacing w:before="0" w:after="0"/>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Webcast Information</w:t>
      </w:r>
    </w:p>
    <w:p>
      <w:pPr>
        <w:pStyle w:val="TextBody"/>
        <w:spacing w:lineRule="auto" w:line="276" w:before="0" w:after="0"/>
        <w:jc w:val="both"/>
        <w:rPr/>
      </w:pPr>
      <w:r>
        <w:rPr>
          <w:rFonts w:ascii="Arial;sans-serif" w:hAnsi="Arial;sans-serif"/>
          <w:b w:val="false"/>
          <w:color w:val="000000"/>
          <w:sz w:val="20"/>
        </w:rPr>
        <w:t xml:space="preserve">Seer will host a conference call to discuss the second quarter 2021 financial results on Thursday, August 12, 2021 at 1:30 pm Pacific Time / 4:30 pm Eastern Time. A webcast of the conference call can be accessed at </w:t>
      </w:r>
      <w:r>
        <w:rPr>
          <w:rFonts w:ascii="Arial;sans-serif" w:hAnsi="Arial;sans-serif"/>
          <w:b w:val="false"/>
          <w:color w:val="0000FF"/>
          <w:sz w:val="20"/>
        </w:rPr>
        <w:t>http://investor.seer.bio.</w:t>
      </w:r>
      <w:r>
        <w:rPr>
          <w:color w:val="0000FF"/>
        </w:rPr>
        <w:t xml:space="preserve"> </w:t>
      </w:r>
      <w:r>
        <w:rPr>
          <w:rFonts w:ascii="Arial;sans-serif" w:hAnsi="Arial;sans-serif"/>
          <w:b w:val="false"/>
          <w:color w:val="000000"/>
          <w:sz w:val="20"/>
        </w:rPr>
        <w:t xml:space="preserve">The webcast will be archived and available for replay for at least 90 days after the event. </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About Seer</w:t>
      </w:r>
    </w:p>
    <w:p>
      <w:pPr>
        <w:pStyle w:val="TextBody"/>
        <w:spacing w:lineRule="auto" w:line="276" w:before="0" w:after="0"/>
        <w:rPr/>
      </w:pPr>
      <w:r>
        <w:rPr>
          <w:rFonts w:ascii="Arial;sans-serif" w:hAnsi="Arial;sans-serif"/>
          <w:b w:val="false"/>
          <w:color w:val="000000"/>
          <w:sz w:val="20"/>
        </w:rPr>
        <w:t xml:space="preserve">Seer is a life sciences company developing transformative products that open up a new gateway to the proteome. Seer is commercializing its Proteograph Product Suite, an integrated solution that includes proprietary engineered nanoparticles, consumables, automation instrumentation and software to perform deep, unbiased proteomic analysis at scale in a matter of hours. Seer designed the Proteograph workflow to be efficient and easy-to-use, leveraging widely adopted laboratory instrumentation to provide a decentralized solution that can be adopted by nearly any lab. Seer’s Proteograph Product Suite is for research use only and is not intended for diagnostic procedures. For more information, please visit </w:t>
      </w:r>
      <w:r>
        <w:rPr>
          <w:rFonts w:ascii="Arial;sans-serif" w:hAnsi="Arial;sans-serif"/>
          <w:b w:val="false"/>
          <w:color w:val="0000FF"/>
          <w:sz w:val="20"/>
        </w:rPr>
        <w:t>www.seer.bio</w:t>
      </w:r>
      <w:r>
        <w:rPr>
          <w:rFonts w:ascii="Arial;sans-serif" w:hAnsi="Arial;sans-serif"/>
          <w:b w:val="false"/>
          <w:color w:val="000000"/>
          <w:sz w:val="20"/>
        </w:rPr>
        <w:t>.</w:t>
      </w:r>
    </w:p>
    <w:p>
      <w:pPr>
        <w:pStyle w:val="TextBody"/>
        <w:spacing w:before="0" w:after="0"/>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Forward Looking Statements</w:t>
      </w:r>
    </w:p>
    <w:p>
      <w:pPr>
        <w:pStyle w:val="TextBody"/>
        <w:spacing w:lineRule="auto" w:line="276" w:before="0" w:after="0"/>
        <w:rPr>
          <w:rFonts w:ascii="Arial;sans-serif" w:hAnsi="Arial;sans-serif"/>
          <w:b w:val="false"/>
          <w:color w:val="000000"/>
          <w:sz w:val="20"/>
        </w:rPr>
      </w:pPr>
      <w:r>
        <w:rPr>
          <w:rFonts w:ascii="Arial;sans-serif" w:hAnsi="Arial;sans-serif"/>
          <w:b w:val="false"/>
          <w:color w:val="000000"/>
          <w:sz w:val="20"/>
        </w:rPr>
        <w:t>This press release contains “forward-looking statements” within the meaning of the Private Securities Litigation Reform Act of 1995, as amended. Such forward-looking statements are based on the Company’s beliefs and assumptions and on information currently available to it on the date of this press release. Forward-looking statements may involve known and unknown risks, uncertainties and other factors that may cause the Company’s actual results, performance or achievements to be materially different from those expressed or implied by the forward-looking statements, including but not limited to statements regarding our timing and ability to enable unbiased, deep and rapid proteomics available at scale, the number of Limited Release customers achieved in 2021, and plans to enter the China market. These and other risks are described more fully in the Company’s filings with the Securities and Exchange Commission (“SEC”), including the Company’s Quarterly Report on Form 10-Q, to be filed with the SEC on August 12, 2021, and other documents the Company subsequently files with the SEC from time to time. Except to the extent required by law, the Company undertakes no obligation to update such statements to reflect events that occur or circumstances that exist after the date on which they were made.</w:t>
      </w:r>
    </w:p>
    <w:p>
      <w:pPr>
        <w:pStyle w:val="TextBody"/>
        <w:spacing w:before="0" w:after="0"/>
        <w:rPr/>
      </w:pPr>
      <w:r>
        <w:rPr/>
      </w:r>
    </w:p>
    <w:p>
      <w:pPr>
        <w:pStyle w:val="TextBody"/>
        <w:spacing w:before="0" w:after="0"/>
        <w:rPr/>
      </w:pPr>
      <w:r>
        <w:rPr/>
      </w:r>
    </w:p>
    <w:p>
      <w:pPr>
        <w:pStyle w:val="TextBody"/>
        <w:spacing w:lineRule="auto" w:line="288" w:before="0" w:after="0"/>
        <w:jc w:val="both"/>
        <w:rPr>
          <w:rFonts w:ascii="Arial;sans-serif" w:hAnsi="Arial;sans-serif"/>
          <w:b w:val="false"/>
          <w:color w:val="000000"/>
          <w:sz w:val="20"/>
          <w:u w:val="single"/>
        </w:rPr>
      </w:pPr>
      <w:r>
        <w:rPr>
          <w:rFonts w:ascii="Arial;sans-serif" w:hAnsi="Arial;sans-serif"/>
          <w:b w:val="false"/>
          <w:color w:val="000000"/>
          <w:sz w:val="20"/>
          <w:u w:val="single"/>
        </w:rPr>
        <w:t>Investor Contact:</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Carrie Mendivil</w:t>
      </w:r>
    </w:p>
    <w:p>
      <w:pPr>
        <w:pStyle w:val="TextBody"/>
        <w:spacing w:lineRule="auto" w:line="288" w:before="0" w:after="0"/>
        <w:rPr>
          <w:rFonts w:ascii="Arial;sans-serif" w:hAnsi="Arial;sans-serif"/>
          <w:b w:val="false"/>
          <w:color w:val="0563C1"/>
          <w:sz w:val="20"/>
          <w:u w:val="single"/>
        </w:rPr>
      </w:pPr>
      <w:r>
        <w:rPr>
          <w:rFonts w:ascii="Arial;sans-serif" w:hAnsi="Arial;sans-serif"/>
          <w:b w:val="false"/>
          <w:color w:val="0563C1"/>
          <w:sz w:val="20"/>
          <w:u w:val="single"/>
        </w:rPr>
        <w:t>investor@seer.bio</w:t>
      </w:r>
    </w:p>
    <w:p>
      <w:pPr>
        <w:pStyle w:val="TextBody"/>
        <w:spacing w:before="0" w:after="0"/>
        <w:rPr/>
      </w:pPr>
      <w:r>
        <w:rPr/>
      </w:r>
    </w:p>
    <w:p>
      <w:pPr>
        <w:pStyle w:val="TextBody"/>
        <w:spacing w:lineRule="auto" w:line="288" w:before="0" w:after="0"/>
        <w:rPr>
          <w:rFonts w:ascii="Arial;sans-serif" w:hAnsi="Arial;sans-serif"/>
          <w:b w:val="false"/>
          <w:color w:val="000000"/>
          <w:sz w:val="20"/>
          <w:u w:val="single"/>
        </w:rPr>
      </w:pPr>
      <w:r>
        <w:rPr>
          <w:rFonts w:ascii="Arial;sans-serif" w:hAnsi="Arial;sans-serif"/>
          <w:b w:val="false"/>
          <w:color w:val="000000"/>
          <w:sz w:val="20"/>
          <w:u w:val="single"/>
        </w:rPr>
        <w:t>Media Contact:</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Karen Possemato</w:t>
      </w:r>
    </w:p>
    <w:p>
      <w:pPr>
        <w:pStyle w:val="TextBody"/>
        <w:spacing w:lineRule="auto" w:line="288" w:before="0" w:after="0"/>
        <w:rPr>
          <w:rFonts w:ascii="Arial;sans-serif" w:hAnsi="Arial;sans-serif"/>
          <w:b w:val="false"/>
          <w:color w:val="0000FF"/>
          <w:sz w:val="20"/>
        </w:rPr>
      </w:pPr>
      <w:r>
        <w:rPr>
          <w:rFonts w:ascii="Arial;sans-serif" w:hAnsi="Arial;sans-serif"/>
          <w:b w:val="false"/>
          <w:color w:val="0000FF"/>
          <w:sz w:val="20"/>
        </w:rPr>
        <w:t>pr@seer.bio</w:t>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0"/>
        <w:jc w:val="center"/>
        <w:rPr>
          <w:rFonts w:ascii="Arial;sans-serif" w:hAnsi="Arial;sans-serif"/>
          <w:b/>
          <w:color w:val="000000"/>
          <w:sz w:val="18"/>
        </w:rPr>
      </w:pPr>
      <w:r>
        <w:rPr>
          <w:rFonts w:ascii="Arial;sans-serif" w:hAnsi="Arial;sans-serif"/>
          <w:b/>
          <w:color w:val="000000"/>
          <w:sz w:val="18"/>
        </w:rPr>
        <w:t>Seer, Inc.</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OPERATIONS</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(In thousands, except share and per share amounts)</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1714"/>
        <w:gridCol w:w="1287"/>
        <w:gridCol w:w="1264"/>
        <w:gridCol w:w="211"/>
        <w:gridCol w:w="770"/>
        <w:gridCol w:w="109"/>
        <w:gridCol w:w="109"/>
        <w:gridCol w:w="109"/>
        <w:gridCol w:w="109"/>
        <w:gridCol w:w="211"/>
        <w:gridCol w:w="665"/>
        <w:gridCol w:w="109"/>
        <w:gridCol w:w="109"/>
        <w:gridCol w:w="109"/>
        <w:gridCol w:w="109"/>
        <w:gridCol w:w="211"/>
        <w:gridCol w:w="770"/>
        <w:gridCol w:w="109"/>
        <w:gridCol w:w="109"/>
        <w:gridCol w:w="109"/>
        <w:gridCol w:w="109"/>
        <w:gridCol w:w="211"/>
        <w:gridCol w:w="770"/>
        <w:gridCol w:w="109"/>
        <w:gridCol w:w="109"/>
        <w:gridCol w:w="109"/>
        <w:gridCol w:w="109"/>
        <w:gridCol w:w="109"/>
        <w:gridCol w:w="109"/>
        <w:gridCol w:w="159"/>
      </w:tblGrid>
      <w:tr>
        <w:trPr/>
        <w:tc>
          <w:tcPr>
            <w:tcW w:w="1714"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126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4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2" w:type="dxa"/>
            <w:gridSpan w:val="9"/>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4" w:type="dxa"/>
            <w:gridSpan w:val="12"/>
            <w:tcBorders>
              <w:bottom w:val="single" w:sz="8" w:space="0" w:color="000000"/>
            </w:tcBorders>
            <w:shd w:fill="auto" w:val="clear"/>
            <w:tcMar>
              <w:top w:w="0" w:type="dxa"/>
              <w:left w:w="0" w:type="dxa"/>
              <w:bottom w:w="30" w:type="dxa"/>
              <w:right w:w="0" w:type="dxa"/>
            </w:tcMar>
            <w:vAlign w:val="center"/>
          </w:tcPr>
          <w:p>
            <w:pPr>
              <w:pStyle w:val="TableContents"/>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417"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6"/>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6"/>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6"/>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6"/>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6"/>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5"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240"/>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211" w:type="dxa"/>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5"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firstLine="240"/>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w:t>
            </w:r>
          </w:p>
        </w:tc>
        <w:tc>
          <w:tcPr>
            <w:tcW w:w="1090" w:type="dxa"/>
            <w:gridSpan w:val="3"/>
            <w:tcBorders/>
            <w:shd w:fill="CCEEFF" w:val="clear"/>
            <w:tcMar>
              <w:top w:w="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spacing w:lineRule="auto" w:line="268" w:before="0" w:after="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spacing w:lineRule="auto" w:line="268" w:before="0" w:after="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5"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240"/>
              <w:jc w:val="left"/>
              <w:rPr>
                <w:rFonts w:ascii="Times New Roman;sans-serif" w:hAnsi="Times New Roman;sans-serif"/>
                <w:b w:val="false"/>
                <w:color w:val="000000"/>
                <w:sz w:val="20"/>
              </w:rPr>
            </w:pPr>
            <w:r>
              <w:rPr>
                <w:rFonts w:ascii="Times New Roman;sans-serif" w:hAnsi="Times New Roman;sans-serif"/>
                <w:b w:val="false"/>
                <w:color w:val="000000"/>
                <w:sz w:val="20"/>
              </w:rPr>
              <w:t>Grant</w:t>
            </w:r>
          </w:p>
        </w:tc>
        <w:tc>
          <w:tcPr>
            <w:tcW w:w="1090" w:type="dxa"/>
            <w:gridSpan w:val="3"/>
            <w:tcBorders/>
            <w:shd w:fill="FFFFFF" w:val="clear"/>
            <w:tcMar>
              <w:top w:w="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5"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1,334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1,396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5"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firstLine="240"/>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1090" w:type="dxa"/>
            <w:gridSpan w:val="3"/>
            <w:tcBorders/>
            <w:shd w:fill="CCEEFF" w:val="clear"/>
            <w:tcMar>
              <w:top w:w="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spacing w:lineRule="auto" w:line="268" w:before="0" w:after="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spacing w:lineRule="auto" w:line="268" w:before="0" w:after="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5"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240"/>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w:t>
            </w:r>
          </w:p>
        </w:tc>
        <w:tc>
          <w:tcPr>
            <w:tcW w:w="1090" w:type="dxa"/>
            <w:gridSpan w:val="3"/>
            <w:tcBorders/>
            <w:shd w:fill="FFFFFF" w:val="clear"/>
            <w:tcMar>
              <w:top w:w="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spacing w:lineRule="auto" w:line="268" w:before="0" w:after="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spacing w:lineRule="auto" w:line="268" w:before="0" w:after="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5"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0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586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0"/>
              <w:jc w:val="right"/>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586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9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748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810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5"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24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0" w:type="dxa"/>
            <w:gridSpan w:val="3"/>
            <w:tcBorders/>
            <w:shd w:fill="FFFFFF" w:val="clear"/>
            <w:tcMar>
              <w:top w:w="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6,935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4,536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13,162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8,758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5"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firstLine="24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90" w:type="dxa"/>
            <w:gridSpan w:val="3"/>
            <w:tcBorders/>
            <w:shd w:fill="CCEEFF" w:val="clear"/>
            <w:tcMar>
              <w:top w:w="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10,484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1,902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20,816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3,682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5"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17,419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6,438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33,978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12,440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(16,671)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(6,367)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(33,168)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(12,192)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5"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firstLine="24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90" w:type="dxa"/>
            <w:gridSpan w:val="3"/>
            <w:tcBorders/>
            <w:shd w:fill="CCEEFF" w:val="clear"/>
            <w:tcMar>
              <w:top w:w="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582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5"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w:t>
            </w:r>
          </w:p>
        </w:tc>
        <w:tc>
          <w:tcPr>
            <w:tcW w:w="109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582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5"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firstLine="247"/>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available-for-sale securities</w:t>
            </w:r>
          </w:p>
        </w:tc>
        <w:tc>
          <w:tcPr>
            <w:tcW w:w="1090" w:type="dxa"/>
            <w:gridSpan w:val="3"/>
            <w:tcBorders/>
            <w:shd w:fill="CCEEFF" w:val="clear"/>
            <w:tcMar>
              <w:top w:w="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basic and 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basic and diluted</w:t>
            </w:r>
          </w:p>
        </w:tc>
        <w:tc>
          <w:tcPr>
            <w:tcW w:w="1090"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60,841,657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9,718,393</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090"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60,367,433</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090"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9,320,520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Seer, Inc.</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BALANCE SHEETS</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(in thousands)</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10205" w:type="dxa"/>
        <w:jc w:val="left"/>
        <w:tblInd w:w="0" w:type="dxa"/>
        <w:tblCellMar>
          <w:top w:w="28" w:type="dxa"/>
          <w:left w:w="28" w:type="dxa"/>
          <w:bottom w:w="28" w:type="dxa"/>
          <w:right w:w="28" w:type="dxa"/>
        </w:tblCellMar>
      </w:tblPr>
      <w:tblGrid>
        <w:gridCol w:w="2713"/>
        <w:gridCol w:w="2081"/>
        <w:gridCol w:w="2091"/>
        <w:gridCol w:w="211"/>
        <w:gridCol w:w="826"/>
        <w:gridCol w:w="109"/>
        <w:gridCol w:w="109"/>
        <w:gridCol w:w="109"/>
        <w:gridCol w:w="109"/>
        <w:gridCol w:w="109"/>
        <w:gridCol w:w="109"/>
        <w:gridCol w:w="109"/>
        <w:gridCol w:w="211"/>
        <w:gridCol w:w="826"/>
        <w:gridCol w:w="109"/>
        <w:gridCol w:w="109"/>
        <w:gridCol w:w="109"/>
        <w:gridCol w:w="156"/>
      </w:tblGrid>
      <w:tr>
        <w:trPr/>
        <w:tc>
          <w:tcPr>
            <w:tcW w:w="2713" w:type="dxa"/>
            <w:tcBorders/>
            <w:shd w:fill="auto" w:val="clear"/>
            <w:vAlign w:val="center"/>
          </w:tcPr>
          <w:p>
            <w:pPr>
              <w:pStyle w:val="TableContents"/>
              <w:spacing w:before="0" w:after="283"/>
              <w:rPr>
                <w:sz w:val="4"/>
                <w:szCs w:val="4"/>
              </w:rPr>
            </w:pPr>
            <w:r>
              <w:rPr>
                <w:sz w:val="4"/>
                <w:szCs w:val="4"/>
              </w:rPr>
            </w:r>
          </w:p>
        </w:tc>
        <w:tc>
          <w:tcPr>
            <w:tcW w:w="2081" w:type="dxa"/>
            <w:tcBorders/>
            <w:shd w:fill="auto" w:val="clear"/>
            <w:vAlign w:val="center"/>
          </w:tcPr>
          <w:p>
            <w:pPr>
              <w:pStyle w:val="TableContents"/>
              <w:spacing w:before="0" w:after="283"/>
              <w:rPr>
                <w:sz w:val="4"/>
                <w:szCs w:val="4"/>
              </w:rPr>
            </w:pPr>
            <w:r>
              <w:rPr>
                <w:sz w:val="4"/>
                <w:szCs w:val="4"/>
              </w:rPr>
            </w:r>
          </w:p>
        </w:tc>
        <w:tc>
          <w:tcPr>
            <w:tcW w:w="209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firstLine="24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333,585 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24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1146"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147,098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98,278</w:t>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firstLine="24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146"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896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color w:val="000000"/>
              </w:rPr>
            </w:pPr>
            <w:r>
              <w:rPr>
                <w:color w:val="000000"/>
              </w:rPr>
              <w:t>—</w:t>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240"/>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receivables</w:t>
            </w:r>
          </w:p>
        </w:tc>
        <w:tc>
          <w:tcPr>
            <w:tcW w:w="1146"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439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firstLine="240"/>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146" w:type="dxa"/>
            <w:gridSpan w:val="3"/>
            <w:tcBorders/>
            <w:shd w:fill="CCEEFF" w:val="clear"/>
            <w:tcMar>
              <w:top w:w="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240"/>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146"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2,670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551</w:t>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firstLine="24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46"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3,208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452</w:t>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525,326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433,128</w:t>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46"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10,776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8,441</w:t>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46"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46"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407</w:t>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68" w:before="0" w:after="0"/>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537,049 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firstLine="240"/>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24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146"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5,590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5,147</w:t>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firstLine="240"/>
              <w:jc w:val="left"/>
              <w:rPr>
                <w:rFonts w:ascii="Times New Roman;sans-serif" w:hAnsi="Times New Roman;sans-serif"/>
                <w:b w:val="false"/>
                <w:color w:val="000000"/>
                <w:sz w:val="20"/>
              </w:rPr>
            </w:pPr>
            <w:r>
              <w:rPr>
                <w:rFonts w:ascii="Times New Roman;sans-serif" w:hAnsi="Times New Roman;sans-serif"/>
                <w:b w:val="false"/>
                <w:color w:val="000000"/>
                <w:sz w:val="20"/>
              </w:rPr>
              <w:t>Accrued research and development</w:t>
            </w:r>
          </w:p>
        </w:tc>
        <w:tc>
          <w:tcPr>
            <w:tcW w:w="1146"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490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396</w:t>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240"/>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46"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firstLine="240"/>
              <w:jc w:val="left"/>
              <w:rPr>
                <w:rFonts w:ascii="Times New Roman;sans-serif" w:hAnsi="Times New Roman;sans-serif"/>
                <w:b w:val="false"/>
                <w:color w:val="000000"/>
                <w:sz w:val="20"/>
              </w:rPr>
            </w:pPr>
            <w:r>
              <w:rPr>
                <w:rFonts w:ascii="Times New Roman;sans-serif" w:hAnsi="Times New Roman;sans-serif"/>
                <w:b w:val="false"/>
                <w:color w:val="000000"/>
                <w:sz w:val="20"/>
              </w:rPr>
              <w:t>Deferred rent, current</w:t>
            </w:r>
          </w:p>
        </w:tc>
        <w:tc>
          <w:tcPr>
            <w:tcW w:w="1146"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8,355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8,094</w:t>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rent, net of current portion</w:t>
            </w:r>
          </w:p>
        </w:tc>
        <w:tc>
          <w:tcPr>
            <w:tcW w:w="1146"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2,248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1,899</w:t>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146"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402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717</w:t>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11,005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10,710</w:t>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spacing w:before="0" w:after="283"/>
              <w:ind w:left="0" w:right="0" w:firstLine="240"/>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$0.00001 par value; 5,000,000 shares authorized as of June 30, 2021 and December 31, 2020; zero shares issued and outstanding as of June 30, 2021 and December 31, 2020, respectively;</w:t>
            </w:r>
          </w:p>
        </w:tc>
        <w:tc>
          <w:tcPr>
            <w:tcW w:w="1146"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color w:val="000000"/>
              </w:rPr>
            </w:pPr>
            <w:r>
              <w:rPr>
                <w:color w:val="000000"/>
              </w:rPr>
              <w:t>—</w:t>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68" w:before="0" w:after="0"/>
              <w:ind w:left="0" w:right="0" w:firstLine="24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$0.00001 par value; 94,000,000 shares authorized as of June 30, 2021 and December 31, 2020; 56,722,925 and 53,395,319 shares issued and outstanding as of June 30, 2021 and December 31, 2020, respectively;</w:t>
            </w:r>
          </w:p>
        </w:tc>
        <w:tc>
          <w:tcPr>
            <w:tcW w:w="1146"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68" w:before="0" w:after="0"/>
              <w:ind w:left="0" w:right="0" w:firstLine="24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$0.00001 par value; 6,000,000 shares authorized as of June 30, 2021 and December 31, 2020; 4,700,338 and 5,865,732 shares issued and outstanding as of June 30, 2021 and December 31, 2020, respectively;</w:t>
            </w:r>
          </w:p>
        </w:tc>
        <w:tc>
          <w:tcPr>
            <w:tcW w:w="1146"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color w:val="000000"/>
              </w:rPr>
            </w:pPr>
            <w:r>
              <w:rPr>
                <w:color w:val="000000"/>
              </w:rPr>
              <w:t>—</w:t>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firstLine="24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46"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614,483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486,915</w:t>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24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146"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firstLine="24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46"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(88,406)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(55,361)</w:t>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526,044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431,609</w:t>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537,049 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442,319 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1733</Words>
  <CharactersWithSpaces>11085</CharactersWithSpaces>
  <Paragraphs>329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